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odttf" ContentType="application/vnd.openxmlformats-officedocument.obfuscatedFont"/>
  <Override PartName="/word/fonts/font20.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1FB3C">
      <w:pPr>
        <w:pStyle w:val="6"/>
        <w:rPr>
          <w:rFonts w:hint="eastAsia" w:ascii="Times New Roman" w:hAnsi="Times New Roman" w:eastAsia="方正小标宋简体" w:cs="Times New Roman"/>
          <w:color w:val="auto"/>
          <w:kern w:val="2"/>
          <w:sz w:val="72"/>
          <w:szCs w:val="72"/>
          <w:highlight w:val="none"/>
          <w:lang w:val="en-US" w:eastAsia="zh-CN" w:bidi="ar-SA"/>
        </w:rPr>
      </w:pPr>
      <w:bookmarkStart w:id="0" w:name="_Toc15377193"/>
      <w:bookmarkStart w:id="1" w:name="_Toc15378441"/>
      <w:bookmarkStart w:id="2" w:name="_Toc15377425"/>
      <w:bookmarkStart w:id="3" w:name="_Toc15396475"/>
      <w:bookmarkStart w:id="4" w:name="_Toc15396597"/>
      <w:bookmarkStart w:id="5" w:name="_Toc15306267"/>
    </w:p>
    <w:p w14:paraId="75FE5244">
      <w:pPr>
        <w:pStyle w:val="6"/>
        <w:rPr>
          <w:rFonts w:hint="eastAsia" w:ascii="Times New Roman" w:hAnsi="Times New Roman" w:eastAsia="方正小标宋简体" w:cs="Times New Roman"/>
          <w:color w:val="auto"/>
          <w:kern w:val="2"/>
          <w:sz w:val="72"/>
          <w:szCs w:val="72"/>
          <w:highlight w:val="none"/>
          <w:lang w:val="en-US" w:eastAsia="zh-CN" w:bidi="ar-SA"/>
        </w:rPr>
      </w:pPr>
    </w:p>
    <w:p w14:paraId="55969E80">
      <w:pPr>
        <w:pStyle w:val="6"/>
        <w:spacing w:before="93"/>
        <w:jc w:val="center"/>
        <w:outlineLvl w:val="0"/>
        <w:rPr>
          <w:rFonts w:hint="eastAsia" w:ascii="Times New Roman" w:eastAsia="方正小标宋简体"/>
          <w:spacing w:val="-20"/>
          <w:kern w:val="2"/>
          <w:sz w:val="44"/>
          <w:szCs w:val="44"/>
        </w:rPr>
      </w:pPr>
      <w:bookmarkStart w:id="6" w:name="_Toc20869"/>
      <w:r>
        <w:rPr>
          <w:rFonts w:hint="eastAsia" w:ascii="Times New Roman" w:eastAsia="方正小标宋简体"/>
          <w:spacing w:val="-20"/>
          <w:kern w:val="2"/>
          <w:sz w:val="44"/>
          <w:szCs w:val="44"/>
          <w:lang w:val="en-US" w:eastAsia="zh-CN"/>
        </w:rPr>
        <w:t>2025年度四川省</w:t>
      </w:r>
      <w:r>
        <w:rPr>
          <w:rFonts w:hint="eastAsia" w:ascii="Times New Roman" w:eastAsia="方正小标宋简体"/>
          <w:spacing w:val="-20"/>
          <w:kern w:val="2"/>
          <w:sz w:val="44"/>
          <w:szCs w:val="44"/>
        </w:rPr>
        <w:t>攀枝花市自然资源和规划局</w:t>
      </w:r>
      <w:bookmarkEnd w:id="6"/>
    </w:p>
    <w:p w14:paraId="2C97F17F">
      <w:pPr>
        <w:pStyle w:val="6"/>
        <w:spacing w:before="93"/>
        <w:jc w:val="center"/>
        <w:rPr>
          <w:rFonts w:ascii="Times New Roman" w:hAnsi="Times New Roman" w:eastAsia="方正小标宋简体"/>
          <w:color w:val="auto"/>
          <w:sz w:val="72"/>
          <w:szCs w:val="72"/>
          <w:highlight w:val="none"/>
        </w:rPr>
      </w:pPr>
      <w:r>
        <w:rPr>
          <w:rFonts w:hint="eastAsia" w:ascii="Times New Roman" w:eastAsia="方正小标宋简体"/>
          <w:kern w:val="2"/>
          <w:sz w:val="44"/>
          <w:szCs w:val="44"/>
        </w:rPr>
        <w:t>市</w:t>
      </w:r>
      <w:r>
        <w:rPr>
          <w:rFonts w:hint="eastAsia" w:ascii="Times New Roman" w:hAnsi="Times New Roman" w:eastAsia="方正小标宋简体"/>
          <w:kern w:val="2"/>
          <w:sz w:val="44"/>
          <w:szCs w:val="44"/>
        </w:rPr>
        <w:t>级部门决算公开文字说明</w:t>
      </w:r>
    </w:p>
    <w:p w14:paraId="2831B794">
      <w:pPr>
        <w:pStyle w:val="24"/>
        <w:rPr>
          <w:rFonts w:ascii="Times New Roman" w:hAnsi="Times New Roman"/>
        </w:rPr>
        <w:sectPr>
          <w:footerReference r:id="rId5" w:type="first"/>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2CC506E5">
      <w:pPr>
        <w:rPr>
          <w:rFonts w:ascii="Times New Roman" w:hAnsi="Times New Roman"/>
        </w:rPr>
      </w:pPr>
    </w:p>
    <w:p w14:paraId="1323A072">
      <w:pPr>
        <w:pStyle w:val="6"/>
        <w:jc w:val="center"/>
        <w:rPr>
          <w:rFonts w:hint="eastAsia" w:ascii="Times New Roman" w:hAnsi="Times New Roman" w:eastAsia="方正小标宋简体" w:cs="Times New Roman"/>
          <w:color w:val="auto"/>
          <w:kern w:val="2"/>
          <w:sz w:val="44"/>
          <w:szCs w:val="44"/>
          <w:highlight w:val="none"/>
          <w:lang w:val="en-US" w:eastAsia="zh-CN" w:bidi="ar-SA"/>
        </w:rPr>
      </w:pPr>
    </w:p>
    <w:p w14:paraId="14CC892C">
      <w:pPr>
        <w:pStyle w:val="6"/>
        <w:jc w:val="center"/>
        <w:rPr>
          <w:rFonts w:hint="eastAsia" w:ascii="Times New Roman" w:hAnsi="Times New Roman" w:eastAsia="方正小标宋简体" w:cs="Times New Roman"/>
          <w:color w:val="auto"/>
          <w:kern w:val="2"/>
          <w:sz w:val="44"/>
          <w:szCs w:val="44"/>
          <w:highlight w:val="none"/>
          <w:lang w:val="en-US" w:eastAsia="zh-CN" w:bidi="ar-SA"/>
        </w:rPr>
      </w:pPr>
    </w:p>
    <w:p w14:paraId="3A86EF92">
      <w:pPr>
        <w:pStyle w:val="6"/>
        <w:jc w:val="center"/>
        <w:rPr>
          <w:rFonts w:hint="eastAsia" w:ascii="Times New Roman" w:hAnsi="Times New Roman" w:eastAsia="方正小标宋简体" w:cs="Times New Roman"/>
          <w:color w:val="auto"/>
          <w:kern w:val="2"/>
          <w:sz w:val="44"/>
          <w:szCs w:val="44"/>
          <w:highlight w:val="none"/>
          <w:lang w:val="en-US" w:eastAsia="zh-CN" w:bidi="ar-SA"/>
        </w:rPr>
      </w:pPr>
    </w:p>
    <w:p w14:paraId="7FDE1B88">
      <w:pPr>
        <w:pStyle w:val="6"/>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14:paraId="013DD911">
      <w:pPr>
        <w:pStyle w:val="6"/>
        <w:jc w:val="center"/>
        <w:rPr>
          <w:rFonts w:hint="eastAsia" w:ascii="Times New Roman" w:hAnsi="Times New Roman" w:eastAsia="方正小标宋简体" w:cs="Times New Roman"/>
          <w:color w:val="auto"/>
          <w:kern w:val="2"/>
          <w:sz w:val="44"/>
          <w:szCs w:val="44"/>
          <w:highlight w:val="none"/>
          <w:lang w:val="en-US" w:eastAsia="zh-CN" w:bidi="ar-SA"/>
        </w:rPr>
      </w:pPr>
      <w:bookmarkStart w:id="7" w:name="_Toc15396598"/>
      <w:bookmarkStart w:id="8" w:name="_Toc15377426"/>
      <w:bookmarkStart w:id="9" w:name="_Toc15378442"/>
      <w:bookmarkStart w:id="10" w:name="_Toc15377194"/>
      <w:bookmarkStart w:id="11" w:name="_Toc15396476"/>
      <w:r>
        <w:rPr>
          <w:rFonts w:hint="eastAsia" w:ascii="Times New Roman" w:eastAsia="方正小标宋简体" w:cs="Times New Roman"/>
          <w:color w:val="auto"/>
          <w:kern w:val="2"/>
          <w:sz w:val="44"/>
          <w:szCs w:val="44"/>
          <w:highlight w:val="none"/>
          <w:lang w:val="en-US" w:eastAsia="zh-CN" w:bidi="ar-SA"/>
        </w:rPr>
        <w:t>2025年度</w:t>
      </w:r>
      <w:r>
        <w:rPr>
          <w:rFonts w:hint="eastAsia" w:ascii="Times New Roman" w:hAnsi="Times New Roman" w:eastAsia="方正小标宋简体" w:cs="Times New Roman"/>
          <w:color w:val="auto"/>
          <w:kern w:val="2"/>
          <w:sz w:val="44"/>
          <w:szCs w:val="44"/>
          <w:highlight w:val="none"/>
          <w:lang w:val="en-US" w:eastAsia="zh-CN" w:bidi="ar-SA"/>
        </w:rPr>
        <w:t>四川省</w:t>
      </w:r>
      <w:bookmarkEnd w:id="5"/>
      <w:bookmarkStart w:id="12" w:name="_Toc15306268"/>
      <w:r>
        <w:rPr>
          <w:rFonts w:hint="eastAsia" w:ascii="Times New Roman" w:eastAsia="方正小标宋简体"/>
          <w:kern w:val="2"/>
          <w:sz w:val="44"/>
          <w:szCs w:val="44"/>
        </w:rPr>
        <w:t>攀枝花市自然资源和规划局</w:t>
      </w:r>
      <w:r>
        <w:rPr>
          <w:rFonts w:hint="eastAsia" w:ascii="Times New Roman" w:hAnsi="Times New Roman" w:eastAsia="方正小标宋简体" w:cs="Times New Roman"/>
          <w:color w:val="auto"/>
          <w:kern w:val="2"/>
          <w:sz w:val="44"/>
          <w:szCs w:val="44"/>
          <w:highlight w:val="none"/>
          <w:lang w:val="en-US" w:eastAsia="zh-CN" w:bidi="ar-SA"/>
        </w:rPr>
        <w:t>部门决算</w:t>
      </w:r>
      <w:bookmarkEnd w:id="7"/>
      <w:bookmarkEnd w:id="8"/>
      <w:bookmarkEnd w:id="9"/>
      <w:bookmarkEnd w:id="10"/>
      <w:bookmarkEnd w:id="11"/>
      <w:bookmarkEnd w:id="12"/>
    </w:p>
    <w:p w14:paraId="4F75B77C">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val="en-US" w:eastAsia="zh-CN"/>
        </w:rPr>
      </w:pPr>
    </w:p>
    <w:p w14:paraId="681039F2">
      <w:pPr>
        <w:widowControl/>
        <w:jc w:val="center"/>
        <w:rPr>
          <w:rFonts w:hint="eastAsia" w:ascii="Times New Roman" w:hAnsi="Times New Roman" w:eastAsia="黑体"/>
          <w:color w:val="auto"/>
          <w:sz w:val="48"/>
          <w:szCs w:val="48"/>
          <w:highlight w:val="none"/>
        </w:rPr>
        <w:sectPr>
          <w:footerReference r:id="rId7" w:type="first"/>
          <w:footerReference r:id="rId6" w:type="default"/>
          <w:pgSz w:w="11906" w:h="16838"/>
          <w:pgMar w:top="1440" w:right="1800" w:bottom="1440" w:left="1800" w:header="851" w:footer="992" w:gutter="0"/>
          <w:pgNumType w:fmt="decimal" w:start="1"/>
          <w:cols w:space="425" w:num="1"/>
          <w:titlePg/>
          <w:docGrid w:type="lines" w:linePitch="312" w:charSpace="0"/>
        </w:sectPr>
      </w:pPr>
    </w:p>
    <w:p w14:paraId="04BB158D">
      <w:pPr>
        <w:widowControl/>
        <w:jc w:val="center"/>
        <w:outlineLvl w:val="0"/>
        <w:rPr>
          <w:rFonts w:ascii="Times New Roman" w:hAnsi="Times New Roman" w:eastAsia="黑体"/>
          <w:color w:val="auto"/>
          <w:sz w:val="48"/>
          <w:szCs w:val="48"/>
          <w:highlight w:val="none"/>
        </w:rPr>
      </w:pPr>
      <w:bookmarkStart w:id="13" w:name="_Toc2040"/>
      <w:r>
        <w:rPr>
          <w:rFonts w:hint="eastAsia" w:ascii="Times New Roman" w:hAnsi="Times New Roman" w:eastAsia="黑体"/>
          <w:color w:val="auto"/>
          <w:sz w:val="48"/>
          <w:szCs w:val="48"/>
          <w:highlight w:val="none"/>
        </w:rPr>
        <w:t>目录</w:t>
      </w:r>
      <w:bookmarkEnd w:id="13"/>
    </w:p>
    <w:p w14:paraId="3FCF2F68">
      <w:pPr>
        <w:widowControl/>
        <w:jc w:val="center"/>
        <w:rPr>
          <w:rFonts w:ascii="Times New Roman" w:hAnsi="Times New Roman" w:eastAsia="黑体" w:cstheme="minorBidi"/>
          <w:color w:val="auto"/>
          <w:sz w:val="28"/>
          <w:szCs w:val="28"/>
          <w:highlight w:val="none"/>
        </w:rPr>
      </w:pPr>
    </w:p>
    <w:p w14:paraId="56EBC9A0">
      <w:pPr>
        <w:pStyle w:val="15"/>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9</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日</w:t>
      </w:r>
    </w:p>
    <w:p w14:paraId="2F75142F">
      <w:pPr>
        <w:pStyle w:val="15"/>
        <w:tabs>
          <w:tab w:val="right" w:leader="dot" w:pos="8306"/>
          <w:tab w:val="clear" w:pos="8296"/>
        </w:tabs>
        <w:rPr>
          <w:rFonts w:hint="eastAsia" w:ascii="黑体" w:hAnsi="黑体" w:eastAsia="黑体" w:cs="黑体"/>
          <w:sz w:val="32"/>
          <w:szCs w:val="32"/>
        </w:rPr>
      </w:pPr>
      <w:r>
        <w:rPr>
          <w:rFonts w:hint="eastAsia"/>
        </w:rPr>
        <w:fldChar w:fldCharType="begin"/>
      </w:r>
      <w:r>
        <w:rPr>
          <w:rFonts w:hint="eastAsia"/>
        </w:rPr>
        <w:instrText xml:space="preserve">TOC \o "1-2" \h \u </w:instrText>
      </w:r>
      <w:r>
        <w:rPr>
          <w:rFonts w:hint="eastAsia"/>
        </w:rPr>
        <w:fldChar w:fldCharType="separate"/>
      </w:r>
    </w:p>
    <w:p w14:paraId="43C283C7">
      <w:pPr>
        <w:pStyle w:val="15"/>
        <w:tabs>
          <w:tab w:val="right" w:leader="dot" w:pos="8306"/>
          <w:tab w:val="clear" w:pos="8296"/>
        </w:tabs>
        <w:rPr>
          <w:rFonts w:hint="eastAsia"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_Toc2550 </w:instrText>
      </w:r>
      <w:r>
        <w:rPr>
          <w:rFonts w:hint="eastAsia" w:ascii="黑体" w:hAnsi="黑体" w:eastAsia="黑体" w:cs="黑体"/>
          <w:sz w:val="32"/>
          <w:szCs w:val="32"/>
        </w:rPr>
        <w:fldChar w:fldCharType="separate"/>
      </w:r>
      <w:r>
        <w:rPr>
          <w:rFonts w:hint="eastAsia" w:ascii="黑体" w:hAnsi="黑体" w:eastAsia="黑体" w:cs="黑体"/>
          <w:sz w:val="32"/>
          <w:szCs w:val="32"/>
          <w:highlight w:val="none"/>
        </w:rPr>
        <w:t>第一部分</w:t>
      </w:r>
      <w:r>
        <w:rPr>
          <w:rFonts w:hint="eastAsia" w:ascii="黑体" w:hAnsi="黑体" w:eastAsia="黑体" w:cs="黑体"/>
          <w:sz w:val="32"/>
          <w:szCs w:val="32"/>
          <w:highlight w:val="none"/>
          <w:lang w:val="en-US" w:eastAsia="zh-CN"/>
        </w:rPr>
        <w:t xml:space="preserve"> </w:t>
      </w:r>
      <w:r>
        <w:rPr>
          <w:rFonts w:hint="eastAsia" w:ascii="黑体" w:hAnsi="黑体" w:eastAsia="黑体" w:cs="黑体"/>
          <w:sz w:val="32"/>
          <w:szCs w:val="32"/>
          <w:highlight w:val="none"/>
        </w:rPr>
        <w:t xml:space="preserve"> </w:t>
      </w:r>
      <w:r>
        <w:rPr>
          <w:rFonts w:hint="eastAsia" w:ascii="黑体" w:hAnsi="黑体" w:eastAsia="黑体" w:cs="黑体"/>
          <w:bCs w:val="0"/>
          <w:sz w:val="32"/>
          <w:szCs w:val="32"/>
          <w:highlight w:val="none"/>
        </w:rPr>
        <w:t>部门概况</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_Toc2550 \h </w:instrText>
      </w:r>
      <w:r>
        <w:rPr>
          <w:rFonts w:hint="eastAsia" w:ascii="黑体" w:hAnsi="黑体" w:eastAsia="黑体" w:cs="黑体"/>
          <w:sz w:val="32"/>
          <w:szCs w:val="32"/>
        </w:rPr>
        <w:fldChar w:fldCharType="separate"/>
      </w:r>
      <w:r>
        <w:rPr>
          <w:rFonts w:hint="eastAsia" w:ascii="黑体" w:hAnsi="黑体" w:eastAsia="黑体" w:cs="黑体"/>
          <w:sz w:val="32"/>
          <w:szCs w:val="32"/>
        </w:rPr>
        <w:t>4</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p>
    <w:p w14:paraId="09C62E10">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_Toc23656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lang w:eastAsia="zh-CN"/>
        </w:rPr>
        <w:t xml:space="preserve">一、 </w:t>
      </w:r>
      <w:r>
        <w:rPr>
          <w:rFonts w:hint="eastAsia" w:ascii="方正仿宋_GB2312" w:hAnsi="方正仿宋_GB2312" w:eastAsia="方正仿宋_GB2312" w:cs="方正仿宋_GB2312"/>
          <w:sz w:val="32"/>
          <w:szCs w:val="32"/>
          <w:highlight w:val="none"/>
          <w:lang w:eastAsia="zh-CN"/>
        </w:rPr>
        <w:t>部门职责</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_Toc23656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5DF6DCE4">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_Toc17028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rPr>
        <w:t>二、机</w:t>
      </w:r>
      <w:r>
        <w:rPr>
          <w:rFonts w:hint="eastAsia" w:ascii="方正仿宋_GB2312" w:hAnsi="方正仿宋_GB2312" w:eastAsia="方正仿宋_GB2312" w:cs="方正仿宋_GB2312"/>
          <w:bCs w:val="0"/>
          <w:sz w:val="32"/>
          <w:szCs w:val="32"/>
          <w:highlight w:val="none"/>
        </w:rPr>
        <w:t>构设置</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_Toc17028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7208E70C">
      <w:pPr>
        <w:pStyle w:val="15"/>
        <w:tabs>
          <w:tab w:val="right" w:leader="dot" w:pos="8306"/>
          <w:tab w:val="clear" w:pos="8296"/>
        </w:tabs>
        <w:rPr>
          <w:rFonts w:hint="eastAsia"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_Toc968 </w:instrText>
      </w:r>
      <w:r>
        <w:rPr>
          <w:rFonts w:hint="eastAsia" w:ascii="黑体" w:hAnsi="黑体" w:eastAsia="黑体" w:cs="黑体"/>
          <w:sz w:val="32"/>
          <w:szCs w:val="32"/>
        </w:rPr>
        <w:fldChar w:fldCharType="separate"/>
      </w:r>
      <w:r>
        <w:rPr>
          <w:rFonts w:hint="eastAsia" w:ascii="黑体" w:hAnsi="黑体" w:eastAsia="黑体" w:cs="黑体"/>
          <w:sz w:val="32"/>
          <w:szCs w:val="32"/>
          <w:highlight w:val="none"/>
        </w:rPr>
        <w:t>第二部分</w:t>
      </w:r>
      <w:r>
        <w:rPr>
          <w:rFonts w:hint="eastAsia" w:ascii="黑体" w:hAnsi="黑体" w:eastAsia="黑体" w:cs="黑体"/>
          <w:sz w:val="32"/>
          <w:szCs w:val="32"/>
          <w:highlight w:val="none"/>
          <w:lang w:val="en-US" w:eastAsia="zh-CN"/>
        </w:rPr>
        <w:t xml:space="preserve"> </w:t>
      </w:r>
      <w:r>
        <w:rPr>
          <w:rFonts w:hint="eastAsia" w:ascii="黑体" w:hAnsi="黑体" w:eastAsia="黑体" w:cs="黑体"/>
          <w:sz w:val="32"/>
          <w:szCs w:val="32"/>
          <w:highlight w:val="none"/>
        </w:rPr>
        <w:t xml:space="preserve"> </w:t>
      </w:r>
      <w:r>
        <w:rPr>
          <w:rFonts w:hint="eastAsia" w:ascii="黑体" w:hAnsi="黑体" w:eastAsia="黑体" w:cs="黑体"/>
          <w:sz w:val="32"/>
          <w:szCs w:val="32"/>
          <w:highlight w:val="none"/>
          <w:lang w:val="en-US" w:eastAsia="zh-CN"/>
        </w:rPr>
        <w:t>2025年度</w:t>
      </w:r>
      <w:r>
        <w:rPr>
          <w:rFonts w:hint="eastAsia" w:ascii="黑体" w:hAnsi="黑体" w:eastAsia="黑体" w:cs="黑体"/>
          <w:sz w:val="32"/>
          <w:szCs w:val="32"/>
          <w:highlight w:val="none"/>
        </w:rPr>
        <w:t>部门决算情况说明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_Toc968 \h </w:instrText>
      </w:r>
      <w:r>
        <w:rPr>
          <w:rFonts w:hint="eastAsia" w:ascii="黑体" w:hAnsi="黑体" w:eastAsia="黑体" w:cs="黑体"/>
          <w:sz w:val="32"/>
          <w:szCs w:val="32"/>
        </w:rPr>
        <w:fldChar w:fldCharType="separate"/>
      </w:r>
      <w:r>
        <w:rPr>
          <w:rFonts w:hint="eastAsia" w:ascii="黑体" w:hAnsi="黑体" w:eastAsia="黑体" w:cs="黑体"/>
          <w:sz w:val="32"/>
          <w:szCs w:val="32"/>
        </w:rPr>
        <w:t>10</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p>
    <w:p w14:paraId="336FDB39">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_Toc354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一、</w:t>
      </w:r>
      <w:r>
        <w:rPr>
          <w:rFonts w:hint="eastAsia" w:ascii="方正仿宋_GB2312" w:hAnsi="方正仿宋_GB2312" w:eastAsia="方正仿宋_GB2312" w:cs="方正仿宋_GB2312"/>
          <w:sz w:val="32"/>
          <w:szCs w:val="32"/>
          <w:highlight w:val="none"/>
        </w:rPr>
        <w:t>收入支出决算总体情况说明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_Toc354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10</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3146F30A">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_Toc26133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二、收入决算情况说明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_Toc26133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10</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02C4F082">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_Toc32145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三、</w:t>
      </w:r>
      <w:r>
        <w:rPr>
          <w:rFonts w:hint="eastAsia" w:ascii="方正仿宋_GB2312" w:hAnsi="方正仿宋_GB2312" w:eastAsia="方正仿宋_GB2312" w:cs="方正仿宋_GB2312"/>
          <w:sz w:val="32"/>
          <w:szCs w:val="32"/>
          <w:highlight w:val="none"/>
        </w:rPr>
        <w:t>支出决算情况说明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_Toc32145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11</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112E3F75">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_Toc4076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rPr>
        <w:t>四、财政拨款收入支出决算总体情况说明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_Toc4076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12</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5D9A8825">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_Toc3753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rPr>
        <w:t>五、一般公共预算财政拨款支出决算情况说明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_Toc3753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13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3F1EB1B4">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_Toc3078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rPr>
        <w:t>六、一般公共预算财政拨款基本支出决算情况说明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_Toc3078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17</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5AF95697">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_Toc16483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rPr>
        <w:t>七、财政拨款“三公”经费支出决算情况说明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_Toc16483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18</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4CB05010">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_Toc12742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rPr>
        <w:t>八、政府性基金预算支出决算情况说明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_Toc12742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28BC6346">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_Toc11105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九、</w:t>
      </w:r>
      <w:r>
        <w:rPr>
          <w:rFonts w:hint="eastAsia" w:ascii="方正仿宋_GB2312" w:hAnsi="方正仿宋_GB2312" w:eastAsia="方正仿宋_GB2312" w:cs="方正仿宋_GB2312"/>
          <w:sz w:val="32"/>
          <w:szCs w:val="32"/>
          <w:highlight w:val="none"/>
        </w:rPr>
        <w:t>国有资本经营预算支出决算情况说明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_Toc11105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71D50751">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_Toc27301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十、</w:t>
      </w:r>
      <w:r>
        <w:rPr>
          <w:rFonts w:hint="eastAsia" w:ascii="方正仿宋_GB2312" w:hAnsi="方正仿宋_GB2312" w:eastAsia="方正仿宋_GB2312" w:cs="方正仿宋_GB2312"/>
          <w:sz w:val="32"/>
          <w:szCs w:val="32"/>
          <w:highlight w:val="none"/>
        </w:rPr>
        <w:t>其他重要事项的情况说明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_Toc27301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73E34814">
      <w:pPr>
        <w:pStyle w:val="15"/>
        <w:tabs>
          <w:tab w:val="right" w:leader="dot" w:pos="8306"/>
          <w:tab w:val="clear" w:pos="8296"/>
        </w:tabs>
        <w:jc w:val="left"/>
        <w:rPr>
          <w:rFonts w:hint="eastAsia"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_Toc12725 </w:instrText>
      </w:r>
      <w:r>
        <w:rPr>
          <w:rFonts w:hint="eastAsia" w:ascii="黑体" w:hAnsi="黑体" w:eastAsia="黑体" w:cs="黑体"/>
          <w:sz w:val="32"/>
          <w:szCs w:val="32"/>
        </w:rPr>
        <w:fldChar w:fldCharType="separate"/>
      </w:r>
      <w:r>
        <w:rPr>
          <w:rFonts w:hint="eastAsia" w:ascii="黑体" w:hAnsi="黑体" w:eastAsia="黑体" w:cs="黑体"/>
          <w:sz w:val="32"/>
          <w:szCs w:val="32"/>
          <w:highlight w:val="none"/>
        </w:rPr>
        <w:t>第</w:t>
      </w:r>
      <w:r>
        <w:rPr>
          <w:rFonts w:hint="eastAsia" w:ascii="黑体" w:hAnsi="黑体" w:eastAsia="黑体" w:cs="黑体"/>
          <w:sz w:val="32"/>
          <w:szCs w:val="32"/>
          <w:highlight w:val="none"/>
          <w:lang w:eastAsia="zh-CN"/>
        </w:rPr>
        <w:t>三</w:t>
      </w:r>
      <w:r>
        <w:rPr>
          <w:rFonts w:hint="eastAsia" w:ascii="黑体" w:hAnsi="黑体" w:eastAsia="黑体" w:cs="黑体"/>
          <w:sz w:val="32"/>
          <w:szCs w:val="32"/>
          <w:highlight w:val="none"/>
        </w:rPr>
        <w:t>部分</w:t>
      </w:r>
      <w:r>
        <w:rPr>
          <w:rFonts w:hint="eastAsia" w:ascii="黑体" w:hAnsi="黑体" w:eastAsia="黑体" w:cs="黑体"/>
          <w:sz w:val="32"/>
          <w:szCs w:val="32"/>
          <w:highlight w:val="none"/>
          <w:lang w:val="en-US" w:eastAsia="zh-CN"/>
        </w:rPr>
        <w:t xml:space="preserve">  </w:t>
      </w:r>
      <w:r>
        <w:rPr>
          <w:rFonts w:hint="eastAsia" w:ascii="黑体" w:hAnsi="黑体" w:eastAsia="黑体" w:cs="黑体"/>
          <w:sz w:val="32"/>
          <w:szCs w:val="32"/>
          <w:highlight w:val="none"/>
        </w:rPr>
        <w:t>名词解释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_Toc12725 \h </w:instrText>
      </w:r>
      <w:r>
        <w:rPr>
          <w:rFonts w:hint="eastAsia" w:ascii="黑体" w:hAnsi="黑体" w:eastAsia="黑体" w:cs="黑体"/>
          <w:sz w:val="32"/>
          <w:szCs w:val="32"/>
        </w:rPr>
        <w:fldChar w:fldCharType="separate"/>
      </w:r>
      <w:r>
        <w:rPr>
          <w:rFonts w:hint="eastAsia" w:ascii="黑体" w:hAnsi="黑体" w:eastAsia="黑体" w:cs="黑体"/>
          <w:sz w:val="32"/>
          <w:szCs w:val="32"/>
        </w:rPr>
        <w:t>51</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p>
    <w:p w14:paraId="3C67602A">
      <w:pPr>
        <w:pStyle w:val="17"/>
        <w:tabs>
          <w:tab w:val="right" w:leader="dot" w:pos="8306"/>
          <w:tab w:val="clear" w:pos="8296"/>
        </w:tabs>
        <w:ind w:left="0" w:leftChars="0" w:firstLine="0" w:firstLineChars="0"/>
        <w:jc w:val="left"/>
        <w:rPr>
          <w:rFonts w:hint="eastAsia"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_Toc13549 </w:instrText>
      </w:r>
      <w:r>
        <w:rPr>
          <w:rFonts w:hint="eastAsia" w:ascii="黑体" w:hAnsi="黑体" w:eastAsia="黑体" w:cs="黑体"/>
          <w:sz w:val="32"/>
          <w:szCs w:val="32"/>
        </w:rPr>
        <w:fldChar w:fldCharType="separate"/>
      </w:r>
      <w:r>
        <w:rPr>
          <w:rFonts w:hint="eastAsia" w:ascii="黑体" w:hAnsi="黑体" w:eastAsia="黑体" w:cs="黑体"/>
          <w:sz w:val="32"/>
          <w:szCs w:val="32"/>
          <w:highlight w:val="none"/>
        </w:rPr>
        <w:t>第四部分</w:t>
      </w:r>
      <w:r>
        <w:rPr>
          <w:rFonts w:hint="eastAsia" w:ascii="黑体" w:hAnsi="黑体" w:eastAsia="黑体" w:cs="黑体"/>
          <w:sz w:val="32"/>
          <w:szCs w:val="32"/>
          <w:highlight w:val="none"/>
          <w:lang w:val="en-US" w:eastAsia="zh-CN"/>
        </w:rPr>
        <w:t xml:space="preserve"> </w:t>
      </w:r>
      <w:r>
        <w:rPr>
          <w:rFonts w:hint="eastAsia" w:ascii="黑体" w:hAnsi="黑体" w:eastAsia="黑体" w:cs="黑体"/>
          <w:sz w:val="32"/>
          <w:szCs w:val="32"/>
          <w:highlight w:val="none"/>
        </w:rPr>
        <w:t xml:space="preserve"> 附件</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_Toc13549 \h </w:instrText>
      </w:r>
      <w:r>
        <w:rPr>
          <w:rFonts w:hint="eastAsia" w:ascii="黑体" w:hAnsi="黑体" w:eastAsia="黑体" w:cs="黑体"/>
          <w:sz w:val="32"/>
          <w:szCs w:val="32"/>
        </w:rPr>
        <w:fldChar w:fldCharType="separate"/>
      </w:r>
      <w:r>
        <w:rPr>
          <w:rFonts w:hint="eastAsia" w:ascii="黑体" w:hAnsi="黑体" w:eastAsia="黑体" w:cs="黑体"/>
          <w:sz w:val="32"/>
          <w:szCs w:val="32"/>
        </w:rPr>
        <w:t>56</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p>
    <w:p w14:paraId="2AB3C1FC">
      <w:pPr>
        <w:pStyle w:val="15"/>
        <w:tabs>
          <w:tab w:val="right" w:leader="dot" w:pos="8306"/>
          <w:tab w:val="clear" w:pos="8296"/>
        </w:tabs>
        <w:jc w:val="left"/>
        <w:rPr>
          <w:rFonts w:hint="eastAsia"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_Toc27682 </w:instrText>
      </w:r>
      <w:r>
        <w:rPr>
          <w:rFonts w:hint="eastAsia" w:ascii="黑体" w:hAnsi="黑体" w:eastAsia="黑体" w:cs="黑体"/>
          <w:sz w:val="32"/>
          <w:szCs w:val="32"/>
        </w:rPr>
        <w:fldChar w:fldCharType="separate"/>
      </w:r>
      <w:r>
        <w:rPr>
          <w:rFonts w:hint="eastAsia" w:ascii="黑体" w:hAnsi="黑体" w:eastAsia="黑体" w:cs="黑体"/>
          <w:sz w:val="32"/>
          <w:szCs w:val="32"/>
          <w:highlight w:val="none"/>
        </w:rPr>
        <w:t>第五部分 附表</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_Toc27682 \h </w:instrText>
      </w:r>
      <w:r>
        <w:rPr>
          <w:rFonts w:hint="eastAsia" w:ascii="黑体" w:hAnsi="黑体" w:eastAsia="黑体" w:cs="黑体"/>
          <w:sz w:val="32"/>
          <w:szCs w:val="32"/>
        </w:rPr>
        <w:fldChar w:fldCharType="separate"/>
      </w:r>
      <w:r>
        <w:rPr>
          <w:rFonts w:hint="eastAsia" w:ascii="黑体" w:hAnsi="黑体" w:eastAsia="黑体" w:cs="黑体"/>
          <w:sz w:val="32"/>
          <w:szCs w:val="32"/>
        </w:rPr>
        <w:t>249</w:t>
      </w:r>
      <w:r>
        <w:rPr>
          <w:rFonts w:hint="eastAsia" w:ascii="黑体" w:hAnsi="黑体" w:eastAsia="黑体" w:cs="黑体"/>
          <w:sz w:val="32"/>
          <w:szCs w:val="32"/>
        </w:rPr>
        <w:fldChar w:fldCharType="end"/>
      </w:r>
      <w:r>
        <w:rPr>
          <w:rFonts w:hint="eastAsia" w:ascii="黑体" w:hAnsi="黑体" w:eastAsia="黑体" w:cs="黑体"/>
          <w:sz w:val="32"/>
          <w:szCs w:val="32"/>
        </w:rPr>
        <w:fldChar w:fldCharType="end"/>
      </w:r>
    </w:p>
    <w:p w14:paraId="1F013A58">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_Toc22897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一、收入支出决算总表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_Toc22897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7E3C55B4">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_Toc31755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二、收入决算表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_Toc31755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1DB440FB">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_Toc13142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三、支出决算表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_Toc13142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174EDDEB">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_Toc21535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四、财政拨款收入支出决算总表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_Toc21535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7107634C">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_Toc29181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五、财政拨款支出决算明细表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_Toc29181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25227077">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_Toc23331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六、一般公共预算财政拨款支出决算表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_Toc23331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211CE262">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_Toc19740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七、一般公共预算财政拨款支出决算明细表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_Toc19740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3DC3F7EF">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_Toc19937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八、一般公共预算财政拨款基本支出决算表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_Toc19937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294C798B">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_Toc27318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九、一般公共预算财政拨款项目支出决算表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_Toc27318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310A8A97">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_Toc3388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十、政府性基金预算财政拨款收入支出决算表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_Toc3388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58FEDD89">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_Toc30533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十一、国有资本经营预算财政拨款收入支出决算表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_Toc30533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5278E687">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_Toc20046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十二、国有资本经营预算财政拨款支出决算表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_Toc20046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2FD38057">
      <w:pPr>
        <w:pStyle w:val="17"/>
        <w:tabs>
          <w:tab w:val="right" w:leader="dot" w:pos="8306"/>
          <w:tab w:val="clear" w:pos="8296"/>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_Toc11257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highlight w:val="none"/>
          <w:lang w:eastAsia="zh-CN"/>
        </w:rPr>
        <w:t>十三、财政拨款“三公”经费支出决算表</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_Toc11257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249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p>
    <w:p w14:paraId="3A53B474">
      <w:pPr>
        <w:rPr>
          <w:rFonts w:hint="eastAsia"/>
        </w:rPr>
      </w:pPr>
      <w:r>
        <w:rPr>
          <w:rFonts w:hint="eastAsia"/>
        </w:rPr>
        <w:fldChar w:fldCharType="end"/>
      </w:r>
    </w:p>
    <w:p w14:paraId="5A09AFBA">
      <w:pPr>
        <w:rPr>
          <w:rFonts w:ascii="Times New Roman" w:hAnsi="Times New Roman"/>
          <w:color w:val="auto"/>
          <w:highlight w:val="none"/>
        </w:rPr>
      </w:pPr>
    </w:p>
    <w:p w14:paraId="30D3C7E2">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4" w:name="_Toc15377196"/>
      <w:bookmarkStart w:id="15" w:name="_Toc15396599"/>
      <w:r>
        <w:rPr>
          <w:rFonts w:hint="eastAsia" w:ascii="Times New Roman" w:hAnsi="Times New Roman" w:eastAsia="仿宋_GB2312" w:cs="仿宋_GB2312"/>
          <w:b/>
          <w:color w:val="auto"/>
          <w:sz w:val="32"/>
          <w:szCs w:val="32"/>
          <w:highlight w:val="none"/>
        </w:rPr>
        <w:br w:type="page"/>
      </w:r>
    </w:p>
    <w:p w14:paraId="5FEC10BD">
      <w:pPr>
        <w:pStyle w:val="2"/>
        <w:jc w:val="center"/>
        <w:rPr>
          <w:rStyle w:val="33"/>
          <w:rFonts w:hint="eastAsia" w:ascii="Times New Roman" w:hAnsi="Times New Roman" w:eastAsia="方正小标宋简体" w:cs="方正小标宋简体"/>
          <w:b/>
          <w:bCs w:val="0"/>
          <w:color w:val="auto"/>
          <w:highlight w:val="none"/>
        </w:rPr>
      </w:pPr>
      <w:bookmarkStart w:id="16" w:name="_Toc2550"/>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3"/>
          <w:rFonts w:hint="eastAsia" w:ascii="Times New Roman" w:hAnsi="Times New Roman" w:eastAsia="方正小标宋简体" w:cs="方正小标宋简体"/>
          <w:b w:val="0"/>
          <w:bCs w:val="0"/>
          <w:color w:val="auto"/>
          <w:highlight w:val="none"/>
        </w:rPr>
        <w:t>部门概况</w:t>
      </w:r>
      <w:bookmarkEnd w:id="14"/>
      <w:bookmarkEnd w:id="15"/>
      <w:bookmarkEnd w:id="16"/>
    </w:p>
    <w:p w14:paraId="646A0C6F">
      <w:pPr>
        <w:widowControl/>
        <w:jc w:val="left"/>
        <w:rPr>
          <w:rFonts w:ascii="Times New Roman" w:hAnsi="Times New Roman" w:eastAsia="黑体"/>
          <w:color w:val="auto"/>
          <w:sz w:val="32"/>
          <w:szCs w:val="32"/>
          <w:highlight w:val="none"/>
        </w:rPr>
      </w:pPr>
    </w:p>
    <w:p w14:paraId="7748ED24">
      <w:pPr>
        <w:pStyle w:val="3"/>
        <w:numPr>
          <w:ilvl w:val="0"/>
          <w:numId w:val="1"/>
        </w:numPr>
        <w:rPr>
          <w:rFonts w:hint="eastAsia" w:ascii="Times New Roman" w:hAnsi="Times New Roman" w:eastAsia="黑体"/>
          <w:b w:val="0"/>
          <w:color w:val="auto"/>
          <w:highlight w:val="none"/>
          <w:lang w:eastAsia="zh-CN"/>
        </w:rPr>
      </w:pPr>
      <w:bookmarkStart w:id="17" w:name="_Toc23656"/>
      <w:r>
        <w:rPr>
          <w:rFonts w:hint="eastAsia" w:ascii="Times New Roman" w:hAnsi="Times New Roman" w:eastAsia="黑体"/>
          <w:b w:val="0"/>
          <w:color w:val="auto"/>
          <w:highlight w:val="none"/>
          <w:lang w:eastAsia="zh-CN"/>
        </w:rPr>
        <w:t>部门职责</w:t>
      </w:r>
      <w:bookmarkEnd w:id="17"/>
    </w:p>
    <w:p w14:paraId="5DF9C895">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（一）按照规定权限，履行全民所有土地、矿产、森林、草原、湿地、水等自然资源资产所有者职责和所有国土空间用途管制职责。贯彻执行国家、省有关自然资源和国土空间规划及测绘等方面的</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 xml:space="preserve">、规章，制定有关政策措施并组织实施。 </w:t>
      </w:r>
    </w:p>
    <w:p w14:paraId="0D621BCF">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负责全市自然资源调查监测评价。依照自然资源调查监测评价的指标体系和统计标准，建立统一规范的自然资源调查监测评价制度。实施自然资源基础调查、专项调查和监测。负责自然资源调查监测评价成果的监督管理和信息发布。指导县级自然资源调查监测评价工作。</w:t>
      </w:r>
    </w:p>
    <w:p w14:paraId="74069CA8">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负责全市自然资源统一确权登记工作。组织实施各类自然资源和不动产统一确权登记、权籍调查、不动产测绘、争议调处、成果应用的制度、标准、规范。负责全市自然资源和不动产登记信息管理基础平台建设。负责自然资源和不动产登记资料收集、整理、共享、汇交管理等。指导监督自然资源和不动产确权登记工作。 </w:t>
      </w:r>
    </w:p>
    <w:p w14:paraId="7D30B95F">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负责全市自然资源资产有偿使用工作。贯彻执行国家全民所有自然资源资产统计制度，负责全市全民所有自然资源资产核算。编制全民所有自然资源资产负债表，依照有关标准组织考核。按照规定权限，制定全民所有自然资源资产划拨、出让、租赁、作价出资和土地储备政策并贯彻执行，合理配置全民所有自然资源资产。负责自然资源资产价值评估管理，依法收缴相关资产收益。 </w:t>
      </w:r>
    </w:p>
    <w:p w14:paraId="11AFA8B6">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负责全市自然资源的合理开发利用。组织拟订自然资源发展规划和战略，制定自然资源开发利用地方标准并组织实施，建立政府公示自然资源价格体系，组织开展自然资源分等定级价格评估，开展自然资源利用评价考核，指导节约集约利用。负责自然资源市场监管。组织研究自然资源管理涉及宏观调控、区域协调和城乡统筹的政策措施。</w:t>
      </w:r>
    </w:p>
    <w:p w14:paraId="3A9C531E">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负责建立全市空间规划体系并监督实施。推进落实主体功能区战略和制度，组织编制并监督实施国土空间规划、城市控制性详细规划和相关专项规划。开展国土空间开发适宜性评价，建立国土空间规划实施监测、评估和预警体系。组织划定生态保护红线、永久基本农田、城市开发边界等控制线，构建节约资源和保护环境的生产、生活、生态空间布局。建立健全国土空间用途管制制度和城乡规划政策并监督实施。组织拟订并实施土地等自然资源年度利用计划。负责土地等国土空间用途转用工作。负责土地征收征用管理。指导、监督县（区）乡村规划的编制和实施。 </w:t>
      </w:r>
    </w:p>
    <w:p w14:paraId="20D6DE49">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负责城乡规划区范围内规划实施管理和监督检查。负责核发城乡规划区范围内建设工程项目“一书三证”、临时建设工程规划批准文件，出具建设用地规划条件。负责建设工程设计方案审查、建设工程验线管理、建设工程规划核实。 </w:t>
      </w:r>
    </w:p>
    <w:p w14:paraId="1FCE7BA9">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负责统筹全市国土空间生态修复。牵头组织编制全市国土空间生态修复规划并实施有关生态修复重大工程。负责开展国土空间综合整治、土地整理复垦、矿山地质环境恢复治理等工作。牵头建立和实施生态保护补偿制度，制定合理利用社会资金进行生态修复的政策措施，提出重大备选项目。</w:t>
      </w:r>
    </w:p>
    <w:p w14:paraId="6E5CDCD1">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负责组织实施最严格的耕地保护制度。牵头拟订并实施全市耕地保护政策，负责耕地数量、质量、生态保护。组织实施耕地保护责任目标考核和永久基本农田特殊保护。落实耕地占补平衡制度，监督占用耕地补偿制度执行情况。 </w:t>
      </w:r>
    </w:p>
    <w:p w14:paraId="77EE2872">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负责管理全市地质勘查行业和地质工作。贯彻执行地质勘查规划并监督检查执行情况。组织实施、管理全市地质调查和矿产资源勘查项目。负责地质灾害预防和治理，监督管理地下水过量开采及引发的地面沉降等地质问题。负责古生物化石的监督管理。 </w:t>
      </w:r>
    </w:p>
    <w:p w14:paraId="0C99E21A">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负责落实综合防灾减灾规划相关要求，组织编制并实施地质灾害防治规划和防护标准。组织、指导、协调和监督地质灾害调查评价及隐患的普查、详查、排查。组织、指导开展群测群防、专业监测和预报预警等工作，组织、指导开展地质灾害工程治理工作。承担地质灾害应急救援的技术保障工作。 </w:t>
      </w:r>
    </w:p>
    <w:p w14:paraId="10BB8BCA">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负责全市矿产资源管理工作。负责矿产资源储量管理及压覆矿产资源管理。负责矿业权管理。会同有关部门承担保护性开采的特定矿种、优势矿产的调控及相关管理工作。监督指导矿产资源合理利用和保护。</w:t>
      </w:r>
    </w:p>
    <w:p w14:paraId="3813DC5D">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负责测绘地理信息管理工作。负责基础测绘和测绘行业管理。负责测绘资质资格与信用管理，监督管理测绘成果质量、地理信息安全和市场秩序。负责地理信息公共服务管理和地图管理。负责测量标志保护。</w:t>
      </w:r>
    </w:p>
    <w:p w14:paraId="7B699704">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四）推动全市自然资源领域科技发展和对外合作。制定并实施全市自然资源领域科技创新发展和人才培养规划、计划。组织制定地方技术标准、规程规范并监督实施。组织实施重大科技工程及创新能力建设，推进自然资源信息化和信息资料的公共服务。组织参与对外交流合作。 </w:t>
      </w:r>
    </w:p>
    <w:p w14:paraId="70624278">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五）配合国家、省对县级政府落实党中央、国务院关于自然资源和国土空间规划的重大方针政策、决策部署及法律法规执行情况进行督察。按照市委、市政府安排，组织实施自然资源督察相关工作。查处全市自然资源开发利用、国土空间规划等领域重大违法案件。指导县级有关行政执法工作。 </w:t>
      </w:r>
    </w:p>
    <w:p w14:paraId="0D2C33CB">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（十六）负责职责范围内的安全生产和职业健康、生态环境保护、审批服务便民化等工作。 </w:t>
      </w:r>
    </w:p>
    <w:p w14:paraId="09189B76">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（十七）统一领导和管理市林业局。 </w:t>
      </w:r>
    </w:p>
    <w:p w14:paraId="545D5F30">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（十八）完成市委、市政府交办的其他任务。 </w:t>
      </w:r>
    </w:p>
    <w:p w14:paraId="21FE0EE9">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九）职能转变。落实关于统一行使全民所有自然资源资产所有者职责，统一行使所有国土空间用途管制和生态保护修复职责的要求，发挥国土空间规划的管控作用，为保护和合理开发利用自然资源提供科学指引。进一步加强自然资源的保护和合理开发利用，建立健全源头保护和全过程修复治理相结合的工作机制，实现整体保护、系统修复、综合治理。创新激励约束并举的制度措施，推进自然资源节约集约利用。进一步精简下放有关行政审批事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强化监管力度，充分发挥市场对资源配置的决定性作用，更</w:t>
      </w:r>
      <w:r>
        <w:rPr>
          <w:rFonts w:hint="eastAsia" w:ascii="仿宋_GB2312" w:hAnsi="仿宋_GB2312" w:eastAsia="仿宋_GB2312" w:cs="仿宋_GB2312"/>
          <w:sz w:val="32"/>
          <w:szCs w:val="32"/>
          <w:lang w:eastAsia="zh-CN"/>
        </w:rPr>
        <w:t>好地</w:t>
      </w:r>
      <w:r>
        <w:rPr>
          <w:rFonts w:hint="eastAsia" w:ascii="仿宋_GB2312" w:hAnsi="仿宋_GB2312" w:eastAsia="仿宋_GB2312" w:cs="仿宋_GB2312"/>
          <w:sz w:val="32"/>
          <w:szCs w:val="32"/>
        </w:rPr>
        <w:t>发挥政府作用，强化自然资源管理规则、标准、制度的约束性作用，推进自然资源确权登记和评估的便民高效。</w:t>
      </w:r>
    </w:p>
    <w:p w14:paraId="2E77713F">
      <w:pPr>
        <w:numPr>
          <w:ilvl w:val="0"/>
          <w:numId w:val="0"/>
        </w:numPr>
        <w:rPr>
          <w:rFonts w:hint="eastAsia"/>
          <w:lang w:eastAsia="zh-CN"/>
        </w:rPr>
      </w:pPr>
    </w:p>
    <w:p w14:paraId="09AF3DE8">
      <w:pPr>
        <w:pStyle w:val="3"/>
        <w:rPr>
          <w:rStyle w:val="34"/>
          <w:rFonts w:ascii="Times New Roman" w:hAnsi="Times New Roman"/>
          <w:b w:val="0"/>
          <w:bCs w:val="0"/>
          <w:color w:val="auto"/>
          <w:highlight w:val="none"/>
        </w:rPr>
      </w:pPr>
      <w:bookmarkStart w:id="18" w:name="_Toc15396601"/>
      <w:bookmarkStart w:id="19" w:name="_Toc17028"/>
      <w:bookmarkStart w:id="20" w:name="_Toc15377200"/>
      <w:r>
        <w:rPr>
          <w:rFonts w:hint="eastAsia" w:ascii="Times New Roman" w:hAnsi="Times New Roman" w:eastAsia="黑体"/>
          <w:b w:val="0"/>
          <w:color w:val="auto"/>
          <w:highlight w:val="none"/>
        </w:rPr>
        <w:t>二、机</w:t>
      </w:r>
      <w:r>
        <w:rPr>
          <w:rStyle w:val="34"/>
          <w:rFonts w:hint="eastAsia" w:ascii="Times New Roman" w:hAnsi="Times New Roman" w:eastAsia="黑体"/>
          <w:b w:val="0"/>
          <w:bCs w:val="0"/>
          <w:color w:val="auto"/>
          <w:highlight w:val="none"/>
        </w:rPr>
        <w:t>构设置</w:t>
      </w:r>
      <w:bookmarkEnd w:id="18"/>
      <w:bookmarkEnd w:id="19"/>
      <w:bookmarkEnd w:id="20"/>
    </w:p>
    <w:p w14:paraId="609EF64A">
      <w:pPr>
        <w:ind w:firstLine="800" w:firstLineChars="250"/>
        <w:rPr>
          <w:rFonts w:hint="eastAsia" w:ascii="Times New Roman" w:hAnsi="Times New Roman" w:eastAsia="仿宋_GB2312" w:cs="仿宋_GB2312"/>
          <w:color w:val="auto"/>
          <w:sz w:val="32"/>
          <w:szCs w:val="32"/>
        </w:rPr>
      </w:pPr>
      <w:r>
        <w:rPr>
          <w:rFonts w:hint="eastAsia" w:ascii="仿宋_GB2312" w:hAnsi="仿宋_GB2312" w:eastAsia="仿宋_GB2312" w:cs="仿宋_GB2312"/>
          <w:color w:val="auto"/>
          <w:sz w:val="32"/>
          <w:szCs w:val="32"/>
        </w:rPr>
        <w:t>攀枝花市自然资源和规划局</w:t>
      </w:r>
      <w:r>
        <w:rPr>
          <w:rFonts w:hint="eastAsia" w:ascii="Times New Roman" w:hAnsi="Times New Roman" w:eastAsia="仿宋_GB2312" w:cs="仿宋_GB2312"/>
          <w:color w:val="auto"/>
          <w:sz w:val="32"/>
          <w:szCs w:val="32"/>
        </w:rPr>
        <w:t>下属二级预算单位</w:t>
      </w:r>
      <w:r>
        <w:rPr>
          <w:rFonts w:hint="eastAsia" w:eastAsia="仿宋_GB2312" w:cs="仿宋_GB2312"/>
          <w:color w:val="auto"/>
          <w:sz w:val="32"/>
          <w:szCs w:val="32"/>
        </w:rPr>
        <w:t>11</w:t>
      </w:r>
      <w:r>
        <w:rPr>
          <w:rFonts w:hint="eastAsia" w:ascii="Times New Roman" w:hAnsi="Times New Roman" w:eastAsia="仿宋_GB2312" w:cs="仿宋_GB2312"/>
          <w:color w:val="auto"/>
          <w:sz w:val="32"/>
          <w:szCs w:val="32"/>
        </w:rPr>
        <w:t>个，其中行政单位</w:t>
      </w:r>
      <w:r>
        <w:rPr>
          <w:rFonts w:hint="eastAsia" w:eastAsia="仿宋_GB2312" w:cs="仿宋_GB2312"/>
          <w:color w:val="auto"/>
          <w:sz w:val="32"/>
          <w:szCs w:val="32"/>
        </w:rPr>
        <w:t>3</w:t>
      </w:r>
      <w:r>
        <w:rPr>
          <w:rFonts w:hint="eastAsia" w:ascii="Times New Roman" w:hAnsi="Times New Roman" w:eastAsia="仿宋_GB2312" w:cs="仿宋_GB2312"/>
          <w:color w:val="auto"/>
          <w:sz w:val="32"/>
          <w:szCs w:val="32"/>
        </w:rPr>
        <w:t>个，其他事业单位</w:t>
      </w:r>
      <w:r>
        <w:rPr>
          <w:rFonts w:hint="eastAsia" w:eastAsia="仿宋_GB2312" w:cs="仿宋_GB2312"/>
          <w:color w:val="auto"/>
          <w:sz w:val="32"/>
          <w:szCs w:val="32"/>
          <w:lang w:val="en-US" w:eastAsia="zh-CN"/>
        </w:rPr>
        <w:t>8</w:t>
      </w:r>
      <w:r>
        <w:rPr>
          <w:rFonts w:hint="eastAsia" w:ascii="Times New Roman" w:hAnsi="Times New Roman" w:eastAsia="仿宋_GB2312" w:cs="仿宋_GB2312"/>
          <w:color w:val="auto"/>
          <w:sz w:val="32"/>
          <w:szCs w:val="32"/>
        </w:rPr>
        <w:t>个。</w:t>
      </w:r>
    </w:p>
    <w:p w14:paraId="09C38240">
      <w:pPr>
        <w:pStyle w:val="6"/>
        <w:adjustRightInd w:val="0"/>
        <w:snapToGrid w:val="0"/>
        <w:spacing w:before="93" w:line="600" w:lineRule="exact"/>
        <w:ind w:firstLine="672" w:firstLineChars="210"/>
        <w:rPr>
          <w:rFonts w:hint="eastAsia" w:ascii="Times New Roman" w:hAnsi="Times New Roman" w:cs="仿宋_GB2312"/>
          <w:sz w:val="32"/>
          <w:szCs w:val="32"/>
        </w:rPr>
      </w:pPr>
      <w:r>
        <w:rPr>
          <w:rFonts w:hint="eastAsia" w:ascii="Times New Roman" w:hAnsi="Times New Roman" w:cs="仿宋_GB2312"/>
          <w:sz w:val="32"/>
          <w:szCs w:val="32"/>
        </w:rPr>
        <w:t>纳入</w:t>
      </w:r>
      <w:r>
        <w:rPr>
          <w:sz w:val="32"/>
          <w:szCs w:val="32"/>
        </w:rPr>
        <w:t>攀枝花市自然资源和规划局</w:t>
      </w:r>
      <w:r>
        <w:rPr>
          <w:rFonts w:hint="eastAsia" w:ascii="Times New Roman" w:hAnsi="Times New Roman" w:cs="仿宋_GB2312"/>
          <w:sz w:val="32"/>
          <w:szCs w:val="32"/>
        </w:rPr>
        <w:t>202</w:t>
      </w:r>
      <w:r>
        <w:rPr>
          <w:rFonts w:hint="eastAsia" w:ascii="Times New Roman" w:hAnsi="Times New Roman" w:cs="仿宋_GB2312"/>
          <w:sz w:val="32"/>
          <w:szCs w:val="32"/>
          <w:lang w:val="en-US" w:eastAsia="zh-CN"/>
        </w:rPr>
        <w:t>5</w:t>
      </w:r>
      <w:r>
        <w:rPr>
          <w:rFonts w:hint="eastAsia" w:ascii="Times New Roman" w:hAnsi="Times New Roman" w:cs="仿宋_GB2312"/>
          <w:sz w:val="32"/>
          <w:szCs w:val="32"/>
        </w:rPr>
        <w:t>年度部门决算编制范围的二级预算单位包括：</w:t>
      </w:r>
    </w:p>
    <w:p w14:paraId="64EF2DF1">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bookmarkStart w:id="21" w:name="_Toc15377201"/>
      <w:bookmarkStart w:id="22" w:name="_Toc15378448"/>
      <w:bookmarkStart w:id="23" w:name="_Toc15377432"/>
      <w:bookmarkStart w:id="24" w:name="_Toc15306275"/>
      <w:r>
        <w:rPr>
          <w:rFonts w:hint="eastAsia" w:ascii="Times New Roman" w:cs="仿宋_GB2312"/>
          <w:sz w:val="32"/>
          <w:szCs w:val="32"/>
        </w:rPr>
        <w:t>攀枝花市自然资源和规划局（本级）</w:t>
      </w:r>
      <w:bookmarkEnd w:id="21"/>
      <w:bookmarkEnd w:id="22"/>
      <w:bookmarkEnd w:id="23"/>
      <w:bookmarkEnd w:id="24"/>
    </w:p>
    <w:p w14:paraId="3FDB3611">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bookmarkStart w:id="25" w:name="_Toc15306277"/>
      <w:bookmarkStart w:id="26" w:name="_Toc15377203"/>
      <w:bookmarkStart w:id="27" w:name="_Toc15378450"/>
      <w:bookmarkStart w:id="28" w:name="_Toc15377434"/>
      <w:r>
        <w:rPr>
          <w:rFonts w:hint="eastAsia" w:ascii="Times New Roman" w:cs="仿宋_GB2312"/>
          <w:sz w:val="32"/>
          <w:szCs w:val="32"/>
        </w:rPr>
        <w:t>攀枝花市土地储备中心</w:t>
      </w:r>
      <w:bookmarkEnd w:id="25"/>
      <w:bookmarkEnd w:id="26"/>
      <w:bookmarkEnd w:id="27"/>
      <w:bookmarkEnd w:id="28"/>
    </w:p>
    <w:p w14:paraId="09475A46">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r>
        <w:rPr>
          <w:rFonts w:hint="eastAsia" w:ascii="Times New Roman" w:cs="仿宋_GB2312"/>
          <w:sz w:val="32"/>
          <w:szCs w:val="32"/>
        </w:rPr>
        <w:t>攀枝花市国土整治中心</w:t>
      </w:r>
    </w:p>
    <w:p w14:paraId="12D14F17">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r>
        <w:rPr>
          <w:rFonts w:hint="eastAsia" w:ascii="Times New Roman" w:cs="仿宋_GB2312"/>
          <w:sz w:val="32"/>
          <w:szCs w:val="32"/>
        </w:rPr>
        <w:t>攀枝花市不动产登记中心</w:t>
      </w:r>
    </w:p>
    <w:p w14:paraId="4F1F9452">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r>
        <w:rPr>
          <w:rFonts w:hint="eastAsia" w:ascii="Times New Roman" w:hAnsi="Times New Roman" w:cs="仿宋_GB2312"/>
          <w:sz w:val="32"/>
          <w:szCs w:val="32"/>
        </w:rPr>
        <w:t>攀枝花市地理信息中心</w:t>
      </w:r>
    </w:p>
    <w:p w14:paraId="35BF7F5B">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r>
        <w:rPr>
          <w:rFonts w:hint="eastAsia" w:ascii="Times New Roman" w:hAnsi="Times New Roman" w:cs="仿宋_GB2312"/>
          <w:sz w:val="32"/>
          <w:szCs w:val="32"/>
        </w:rPr>
        <w:t>攀枝花市国土空间规划编制研究中心</w:t>
      </w:r>
    </w:p>
    <w:p w14:paraId="78B67B37">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r>
        <w:rPr>
          <w:rFonts w:hint="eastAsia" w:ascii="Times New Roman" w:hAnsi="Times New Roman" w:cs="仿宋_GB2312"/>
          <w:sz w:val="32"/>
          <w:szCs w:val="32"/>
        </w:rPr>
        <w:t>攀枝花市自然资源和规划局东区分局</w:t>
      </w:r>
    </w:p>
    <w:p w14:paraId="46590251">
      <w:pPr>
        <w:pStyle w:val="6"/>
        <w:numPr>
          <w:ilvl w:val="0"/>
          <w:numId w:val="2"/>
        </w:numPr>
        <w:adjustRightInd w:val="0"/>
        <w:snapToGrid w:val="0"/>
        <w:spacing w:before="93" w:line="600" w:lineRule="exact"/>
        <w:outlineLvl w:val="2"/>
        <w:rPr>
          <w:rFonts w:hint="eastAsia" w:ascii="Times New Roman" w:hAnsi="Times New Roman" w:cs="仿宋_GB2312"/>
          <w:sz w:val="32"/>
          <w:szCs w:val="32"/>
        </w:rPr>
      </w:pPr>
      <w:r>
        <w:rPr>
          <w:rFonts w:hint="eastAsia" w:ascii="Times New Roman" w:hAnsi="Times New Roman" w:cs="仿宋_GB2312"/>
          <w:sz w:val="32"/>
          <w:szCs w:val="32"/>
        </w:rPr>
        <w:t>攀枝花市自然资源和规划局西区分局</w:t>
      </w:r>
    </w:p>
    <w:p w14:paraId="29571C33">
      <w:pPr>
        <w:pStyle w:val="6"/>
        <w:numPr>
          <w:ilvl w:val="0"/>
          <w:numId w:val="2"/>
        </w:numPr>
        <w:adjustRightInd w:val="0"/>
        <w:snapToGrid w:val="0"/>
        <w:spacing w:before="93" w:line="600" w:lineRule="exact"/>
        <w:outlineLvl w:val="2"/>
        <w:rPr>
          <w:rFonts w:ascii="Times New Roman" w:hAnsi="Times New Roman" w:eastAsia="仿宋"/>
          <w:color w:val="auto"/>
          <w:kern w:val="0"/>
          <w:sz w:val="32"/>
          <w:szCs w:val="32"/>
          <w:highlight w:val="none"/>
        </w:rPr>
      </w:pPr>
      <w:r>
        <w:rPr>
          <w:rFonts w:hint="eastAsia" w:ascii="Times New Roman" w:hAnsi="Times New Roman" w:cs="仿宋_GB2312"/>
          <w:sz w:val="32"/>
          <w:szCs w:val="32"/>
        </w:rPr>
        <w:t>攀枝花市自然资源和规划局</w:t>
      </w:r>
      <w:r>
        <w:rPr>
          <w:rFonts w:hint="eastAsia" w:ascii="Times New Roman" w:cs="仿宋_GB2312"/>
          <w:sz w:val="32"/>
          <w:szCs w:val="32"/>
          <w:lang w:val="en-US" w:eastAsia="zh-CN"/>
        </w:rPr>
        <w:t>仁和区分局</w:t>
      </w:r>
      <w:r>
        <w:rPr>
          <w:rFonts w:ascii="Times New Roman" w:hAnsi="Times New Roman" w:eastAsia="仿宋"/>
          <w:color w:val="auto"/>
          <w:sz w:val="32"/>
          <w:szCs w:val="32"/>
          <w:highlight w:val="none"/>
        </w:rPr>
        <w:br w:type="page"/>
      </w:r>
    </w:p>
    <w:p w14:paraId="20B0ED1E">
      <w:pPr>
        <w:pStyle w:val="2"/>
        <w:jc w:val="center"/>
        <w:rPr>
          <w:rFonts w:hint="eastAsia" w:ascii="Times New Roman" w:hAnsi="Times New Roman" w:eastAsia="方正小标宋简体" w:cs="方正小标宋简体"/>
          <w:b w:val="0"/>
          <w:color w:val="auto"/>
          <w:highlight w:val="none"/>
        </w:rPr>
      </w:pPr>
      <w:bookmarkStart w:id="29" w:name="_Toc15396602"/>
      <w:bookmarkStart w:id="30" w:name="_Toc15377204"/>
      <w:bookmarkStart w:id="31" w:name="_Toc968"/>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29"/>
      <w:bookmarkEnd w:id="30"/>
      <w:bookmarkEnd w:id="31"/>
    </w:p>
    <w:p w14:paraId="4E99E39D">
      <w:pPr>
        <w:rPr>
          <w:rFonts w:ascii="Times New Roman" w:hAnsi="Times New Roman"/>
          <w:color w:val="auto"/>
          <w:highlight w:val="none"/>
        </w:rPr>
      </w:pPr>
    </w:p>
    <w:p w14:paraId="3AAB853D">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4"/>
          <w:rFonts w:hint="eastAsia" w:ascii="Times New Roman" w:hAnsi="Times New Roman" w:eastAsia="黑体"/>
          <w:b w:val="0"/>
          <w:color w:val="auto"/>
          <w:highlight w:val="none"/>
        </w:rPr>
      </w:pPr>
      <w:bookmarkStart w:id="32" w:name="_Toc354"/>
      <w:bookmarkStart w:id="33" w:name="_Toc15396603"/>
      <w:bookmarkStart w:id="34"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4"/>
          <w:rFonts w:hint="eastAsia" w:ascii="Times New Roman" w:hAnsi="Times New Roman" w:eastAsia="黑体"/>
          <w:b w:val="0"/>
          <w:color w:val="auto"/>
          <w:highlight w:val="none"/>
        </w:rPr>
        <w:t>入支出决算总体情况说明</w:t>
      </w:r>
      <w:bookmarkEnd w:id="32"/>
      <w:bookmarkEnd w:id="33"/>
      <w:bookmarkEnd w:id="34"/>
    </w:p>
    <w:p w14:paraId="654EE504">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eastAsia="zh-CN"/>
        </w:rPr>
      </w:pPr>
      <w:bookmarkStart w:id="35" w:name="_Toc12248"/>
      <w:r>
        <w:rPr>
          <w:rFonts w:hint="eastAsia" w:eastAsia="仿宋_GB2312" w:cs="仿宋_GB2312"/>
          <w:color w:val="auto"/>
          <w:sz w:val="32"/>
          <w:szCs w:val="32"/>
          <w:highlight w:val="none"/>
          <w:lang w:eastAsia="zh-CN"/>
        </w:rPr>
        <w:t>2025年度收入、支出总计均为79225.47万元。与上年度相比（2024年度收入、支出总计均为44449.58万元），收入、支出总计各增加 34,775.89 万元，增长 78.24%。主要变动原因是：收入方面，一般公共预算财政拨款收入较上年增加 38,428.83 万元，带动收入总计大幅增长；支出方面，农林水支出较上年增加 34,997.46 万元，自然资源海洋气象等支出增加 4,393.11 万元，拉动支出总计上升。</w:t>
      </w:r>
      <w:bookmarkEnd w:id="35"/>
    </w:p>
    <w:p w14:paraId="32DCC824">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9"/>
        <w:rPr>
          <w:rFonts w:hint="eastAsia" w:eastAsia="仿宋_GB2312" w:cs="仿宋_GB2312"/>
          <w:color w:val="auto"/>
          <w:sz w:val="32"/>
          <w:szCs w:val="32"/>
          <w:highlight w:val="none"/>
          <w:lang w:eastAsia="zh-CN"/>
        </w:rPr>
      </w:pPr>
      <w:r>
        <w:drawing>
          <wp:anchor distT="0" distB="0" distL="114300" distR="114300" simplePos="0" relativeHeight="251659264" behindDoc="0" locked="0" layoutInCell="1" allowOverlap="1">
            <wp:simplePos x="0" y="0"/>
            <wp:positionH relativeFrom="column">
              <wp:posOffset>134620</wp:posOffset>
            </wp:positionH>
            <wp:positionV relativeFrom="paragraph">
              <wp:posOffset>309245</wp:posOffset>
            </wp:positionV>
            <wp:extent cx="5266055" cy="2252345"/>
            <wp:effectExtent l="0" t="0" r="0" b="0"/>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1"/>
                    <a:stretch>
                      <a:fillRect/>
                    </a:stretch>
                  </pic:blipFill>
                  <pic:spPr>
                    <a:xfrm>
                      <a:off x="0" y="0"/>
                      <a:ext cx="5266055" cy="2252345"/>
                    </a:xfrm>
                    <a:prstGeom prst="rect">
                      <a:avLst/>
                    </a:prstGeom>
                    <a:noFill/>
                    <a:ln>
                      <a:noFill/>
                    </a:ln>
                  </pic:spPr>
                </pic:pic>
              </a:graphicData>
            </a:graphic>
          </wp:anchor>
        </w:drawing>
      </w:r>
    </w:p>
    <w:p w14:paraId="0B081C28">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eastAsia="仿宋_GB2312" w:cs="仿宋_GB2312"/>
          <w:color w:val="auto"/>
          <w:sz w:val="32"/>
          <w:szCs w:val="32"/>
          <w:highlight w:val="none"/>
          <w:lang w:eastAsia="zh-CN"/>
        </w:rPr>
      </w:pPr>
    </w:p>
    <w:p w14:paraId="705EDEAE">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eastAsia="仿宋_GB2312" w:cs="仿宋_GB2312"/>
          <w:color w:val="auto"/>
          <w:sz w:val="32"/>
          <w:szCs w:val="32"/>
          <w:highlight w:val="none"/>
          <w:lang w:eastAsia="zh-CN"/>
        </w:rPr>
      </w:pPr>
    </w:p>
    <w:p w14:paraId="6D882C4F">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eastAsia="仿宋_GB2312" w:cs="仿宋_GB2312"/>
          <w:color w:val="auto"/>
          <w:sz w:val="32"/>
          <w:szCs w:val="32"/>
          <w:highlight w:val="none"/>
          <w:lang w:eastAsia="zh-CN"/>
        </w:rPr>
      </w:pPr>
    </w:p>
    <w:p w14:paraId="3FDB1694">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eastAsia="仿宋_GB2312" w:cs="仿宋_GB2312"/>
          <w:color w:val="auto"/>
          <w:sz w:val="32"/>
          <w:szCs w:val="32"/>
          <w:highlight w:val="none"/>
          <w:lang w:eastAsia="zh-CN"/>
        </w:rPr>
      </w:pPr>
    </w:p>
    <w:p w14:paraId="77BFC665">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rPr>
      </w:pPr>
    </w:p>
    <w:p w14:paraId="3C607A80">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rPr>
      </w:pPr>
    </w:p>
    <w:p w14:paraId="6AE58745">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bookmarkStart w:id="36" w:name="_Toc11354"/>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w:t>
      </w:r>
      <w:bookmarkEnd w:id="36"/>
    </w:p>
    <w:p w14:paraId="405C1997">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37" w:name="_Toc15377206"/>
      <w:bookmarkStart w:id="38" w:name="_Toc26133"/>
      <w:bookmarkStart w:id="39" w:name="_Toc15396604"/>
      <w:r>
        <w:rPr>
          <w:rFonts w:hint="eastAsia" w:ascii="Times New Roman" w:hAnsi="Times New Roman" w:eastAsia="黑体"/>
          <w:color w:val="auto"/>
          <w:sz w:val="32"/>
          <w:szCs w:val="32"/>
          <w:highlight w:val="none"/>
          <w:lang w:eastAsia="zh-CN"/>
        </w:rPr>
        <w:t>二、收入决算情况说明</w:t>
      </w:r>
      <w:bookmarkEnd w:id="37"/>
      <w:bookmarkEnd w:id="38"/>
      <w:bookmarkEnd w:id="39"/>
    </w:p>
    <w:p w14:paraId="4D4E1D93">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bookmarkStart w:id="40" w:name="_Toc5712"/>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51273.59</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48398.31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94.39</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373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0.72</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2502.28</w:t>
      </w:r>
      <w:r>
        <w:drawing>
          <wp:anchor distT="0" distB="0" distL="114300" distR="114300" simplePos="0" relativeHeight="251660288" behindDoc="0" locked="0" layoutInCell="1" allowOverlap="1">
            <wp:simplePos x="0" y="0"/>
            <wp:positionH relativeFrom="column">
              <wp:posOffset>-2481580</wp:posOffset>
            </wp:positionH>
            <wp:positionV relativeFrom="paragraph">
              <wp:posOffset>347980</wp:posOffset>
            </wp:positionV>
            <wp:extent cx="9641840" cy="4124325"/>
            <wp:effectExtent l="0" t="0" r="0" b="0"/>
            <wp:wrapNone/>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tretch>
                      <a:fillRect/>
                    </a:stretch>
                  </pic:blipFill>
                  <pic:spPr>
                    <a:xfrm>
                      <a:off x="0" y="0"/>
                      <a:ext cx="9641840" cy="4124325"/>
                    </a:xfrm>
                    <a:prstGeom prst="rect">
                      <a:avLst/>
                    </a:prstGeom>
                    <a:noFill/>
                    <a:ln>
                      <a:noFill/>
                    </a:ln>
                  </pic:spPr>
                </pic:pic>
              </a:graphicData>
            </a:graphic>
          </wp:anchor>
        </w:drawing>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4.88</w:t>
      </w:r>
      <w:r>
        <w:rPr>
          <w:rFonts w:hint="eastAsia" w:ascii="Times New Roman" w:hAnsi="Times New Roman" w:eastAsia="仿宋_GB2312" w:cs="仿宋_GB2312"/>
          <w:color w:val="auto"/>
          <w:sz w:val="32"/>
          <w:szCs w:val="32"/>
          <w:highlight w:val="none"/>
          <w:lang w:eastAsia="zh-CN"/>
        </w:rPr>
        <w:t>%。</w:t>
      </w:r>
      <w:bookmarkEnd w:id="40"/>
    </w:p>
    <w:p w14:paraId="661E0EAB">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3C70AF92">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4549EB35">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66C156CB">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08AB44F0">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183D219C">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016DC84F">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60741ADF">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31921668">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769E78D1">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230D9E99">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511F3C1A">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bookmarkStart w:id="41" w:name="_Toc27593"/>
      <w:r>
        <w:rPr>
          <w:rFonts w:hint="eastAsia" w:ascii="Times New Roman" w:hAnsi="Times New Roman" w:eastAsia="仿宋_GB2312" w:cs="仿宋_GB2312"/>
          <w:color w:val="auto"/>
          <w:sz w:val="32"/>
          <w:szCs w:val="32"/>
          <w:highlight w:val="none"/>
          <w:lang w:eastAsia="zh-CN"/>
        </w:rPr>
        <w:t>（图2：收入决算结构图）</w:t>
      </w:r>
      <w:bookmarkEnd w:id="41"/>
    </w:p>
    <w:p w14:paraId="1DFE5308">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4"/>
          <w:rFonts w:hint="eastAsia" w:ascii="Times New Roman" w:hAnsi="Times New Roman" w:eastAsia="黑体"/>
          <w:b w:val="0"/>
          <w:color w:val="auto"/>
          <w:highlight w:val="none"/>
        </w:rPr>
      </w:pPr>
      <w:bookmarkStart w:id="42" w:name="_Toc32145"/>
      <w:bookmarkStart w:id="43" w:name="_Toc15396605"/>
      <w:bookmarkStart w:id="44"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4"/>
          <w:rFonts w:hint="eastAsia" w:ascii="Times New Roman" w:hAnsi="Times New Roman" w:eastAsia="黑体"/>
          <w:b w:val="0"/>
          <w:color w:val="auto"/>
          <w:highlight w:val="none"/>
        </w:rPr>
        <w:t>出决算情况说明</w:t>
      </w:r>
      <w:bookmarkEnd w:id="42"/>
      <w:bookmarkEnd w:id="43"/>
      <w:bookmarkEnd w:id="44"/>
    </w:p>
    <w:p w14:paraId="69322788">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bookmarkStart w:id="45" w:name="_Toc909"/>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51301.86</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5443.11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10.6</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45858.75</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89.39</w:t>
      </w:r>
      <w:r>
        <w:rPr>
          <w:rFonts w:hint="eastAsia" w:ascii="Times New Roman" w:hAnsi="Times New Roman" w:eastAsia="仿宋_GB2312" w:cs="仿宋_GB2312"/>
          <w:color w:val="auto"/>
          <w:sz w:val="32"/>
          <w:szCs w:val="32"/>
          <w:highlight w:val="none"/>
          <w:lang w:eastAsia="zh-CN"/>
        </w:rPr>
        <w:t>%。</w:t>
      </w:r>
      <w:bookmarkEnd w:id="45"/>
    </w:p>
    <w:p w14:paraId="23A46CB1">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9"/>
        <w:rPr>
          <w:rFonts w:hint="eastAsia" w:ascii="Times New Roman" w:hAnsi="Times New Roman" w:eastAsia="仿宋_GB2312" w:cs="仿宋_GB2312"/>
          <w:color w:val="auto"/>
          <w:sz w:val="32"/>
          <w:szCs w:val="32"/>
          <w:highlight w:val="none"/>
          <w:lang w:eastAsia="zh-CN"/>
        </w:rPr>
      </w:pPr>
      <w:r>
        <w:drawing>
          <wp:anchor distT="0" distB="0" distL="114300" distR="114300" simplePos="0" relativeHeight="251661312" behindDoc="0" locked="0" layoutInCell="1" allowOverlap="1">
            <wp:simplePos x="0" y="0"/>
            <wp:positionH relativeFrom="column">
              <wp:posOffset>695325</wp:posOffset>
            </wp:positionH>
            <wp:positionV relativeFrom="paragraph">
              <wp:posOffset>224790</wp:posOffset>
            </wp:positionV>
            <wp:extent cx="2600325" cy="2600325"/>
            <wp:effectExtent l="0" t="0" r="9525" b="9525"/>
            <wp:wrapNone/>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3"/>
                    <a:stretch>
                      <a:fillRect/>
                    </a:stretch>
                  </pic:blipFill>
                  <pic:spPr>
                    <a:xfrm>
                      <a:off x="0" y="0"/>
                      <a:ext cx="2600325" cy="2600325"/>
                    </a:xfrm>
                    <a:prstGeom prst="rect">
                      <a:avLst/>
                    </a:prstGeom>
                    <a:noFill/>
                    <a:ln>
                      <a:noFill/>
                    </a:ln>
                  </pic:spPr>
                </pic:pic>
              </a:graphicData>
            </a:graphic>
          </wp:anchor>
        </w:drawing>
      </w:r>
    </w:p>
    <w:p w14:paraId="7961FA89">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7EEAD490">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5B23D9AC">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2E9F5B7E">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2445C2FC">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00993B3E">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0B78C4FA">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9"/>
        <w:rPr>
          <w:rFonts w:hint="eastAsia" w:ascii="Times New Roman" w:hAnsi="Times New Roman" w:eastAsia="仿宋_GB2312" w:cs="仿宋_GB2312"/>
          <w:color w:val="auto"/>
          <w:sz w:val="32"/>
          <w:szCs w:val="32"/>
          <w:highlight w:val="none"/>
          <w:lang w:eastAsia="zh-CN"/>
        </w:rPr>
      </w:pPr>
    </w:p>
    <w:p w14:paraId="70316EFC">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bookmarkStart w:id="46" w:name="_Toc10699"/>
      <w:r>
        <w:rPr>
          <w:rFonts w:hint="eastAsia" w:ascii="Times New Roman" w:hAnsi="Times New Roman" w:eastAsia="仿宋_GB2312" w:cs="仿宋_GB2312"/>
          <w:color w:val="auto"/>
          <w:sz w:val="32"/>
          <w:szCs w:val="32"/>
          <w:highlight w:val="none"/>
          <w:lang w:eastAsia="zh-CN"/>
        </w:rPr>
        <w:t>（图3：支出决算结构图）</w:t>
      </w:r>
      <w:bookmarkEnd w:id="46"/>
    </w:p>
    <w:p w14:paraId="567B192C">
      <w:pPr>
        <w:spacing w:line="600" w:lineRule="exact"/>
        <w:ind w:firstLine="640" w:firstLineChars="200"/>
        <w:outlineLvl w:val="1"/>
        <w:rPr>
          <w:rStyle w:val="34"/>
          <w:rFonts w:ascii="Times New Roman" w:hAnsi="Times New Roman" w:eastAsia="黑体"/>
          <w:b w:val="0"/>
          <w:color w:val="auto"/>
          <w:highlight w:val="none"/>
        </w:rPr>
      </w:pPr>
      <w:bookmarkStart w:id="47" w:name="_Toc15396606"/>
      <w:bookmarkStart w:id="48" w:name="_Toc15377208"/>
      <w:bookmarkStart w:id="49" w:name="_Toc4076"/>
      <w:r>
        <w:rPr>
          <w:rFonts w:hint="eastAsia" w:ascii="Times New Roman" w:hAnsi="Times New Roman" w:eastAsia="黑体"/>
          <w:color w:val="auto"/>
          <w:sz w:val="32"/>
          <w:szCs w:val="32"/>
          <w:highlight w:val="none"/>
        </w:rPr>
        <w:t>四、财</w:t>
      </w:r>
      <w:r>
        <w:rPr>
          <w:rStyle w:val="34"/>
          <w:rFonts w:hint="eastAsia" w:ascii="Times New Roman" w:hAnsi="Times New Roman" w:eastAsia="黑体"/>
          <w:b w:val="0"/>
          <w:color w:val="auto"/>
          <w:highlight w:val="none"/>
        </w:rPr>
        <w:t>政拨款收入支出决算总体情况说明</w:t>
      </w:r>
      <w:bookmarkEnd w:id="47"/>
      <w:bookmarkEnd w:id="48"/>
      <w:bookmarkEnd w:id="49"/>
    </w:p>
    <w:p w14:paraId="58F02B0E">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 年度财政拨款收入、支出总计均为48,771.31万元。与上年度</w:t>
      </w:r>
      <w:r>
        <w:rPr>
          <w:rFonts w:hint="eastAsia" w:eastAsia="仿宋_GB2312" w:cs="仿宋_GB2312"/>
          <w:color w:val="auto"/>
          <w:kern w:val="2"/>
          <w:sz w:val="32"/>
          <w:szCs w:val="32"/>
          <w:highlight w:val="none"/>
          <w:lang w:val="en-US" w:eastAsia="zh-CN" w:bidi="ar-SA"/>
        </w:rPr>
        <w:t>（2024 年度财政拨款收支总计 10,762.09 万元）</w:t>
      </w:r>
      <w:r>
        <w:rPr>
          <w:rFonts w:hint="eastAsia" w:ascii="Times New Roman" w:hAnsi="Times New Roman" w:eastAsia="仿宋_GB2312" w:cs="仿宋_GB2312"/>
          <w:color w:val="auto"/>
          <w:kern w:val="2"/>
          <w:sz w:val="32"/>
          <w:szCs w:val="32"/>
          <w:highlight w:val="none"/>
          <w:lang w:val="en-US" w:eastAsia="zh-CN" w:bidi="ar-SA"/>
        </w:rPr>
        <w:t>相比，财政拨款收入、支出总计各增加 38,009.22 万元，增长353.18%。主要变动原因是：农林水支出由上年度的0万元大幅增加至35,000万元（占增量的92%以上），同时自然资源海洋气象等支出由6,668.23万元增至 10,862.82万元（净增4,194.59万元）、其他支出净增269.84 万元；而城乡社区支出（</w:t>
      </w:r>
      <w:r>
        <w:rPr>
          <w:rFonts w:hint="eastAsia" w:eastAsia="仿宋_GB2312" w:cs="仿宋_GB2312"/>
          <w:color w:val="auto"/>
          <w:kern w:val="2"/>
          <w:sz w:val="32"/>
          <w:szCs w:val="32"/>
          <w:highlight w:val="none"/>
          <w:lang w:val="en-US" w:eastAsia="zh-CN" w:bidi="ar-SA"/>
        </w:rPr>
        <w:t>减少</w:t>
      </w:r>
      <w:r>
        <w:rPr>
          <w:rFonts w:hint="eastAsia" w:ascii="Times New Roman" w:hAnsi="Times New Roman" w:eastAsia="仿宋_GB2312" w:cs="仿宋_GB2312"/>
          <w:color w:val="auto"/>
          <w:kern w:val="2"/>
          <w:sz w:val="32"/>
          <w:szCs w:val="32"/>
          <w:highlight w:val="none"/>
          <w:lang w:val="en-US" w:eastAsia="zh-CN" w:bidi="ar-SA"/>
        </w:rPr>
        <w:t>1,210.80 万元）、灾害防治及应急管理支出（</w:t>
      </w:r>
      <w:r>
        <w:rPr>
          <w:rFonts w:hint="eastAsia" w:eastAsia="仿宋_GB2312" w:cs="仿宋_GB2312"/>
          <w:color w:val="auto"/>
          <w:kern w:val="2"/>
          <w:sz w:val="32"/>
          <w:szCs w:val="32"/>
          <w:highlight w:val="none"/>
          <w:lang w:val="en-US" w:eastAsia="zh-CN" w:bidi="ar-SA"/>
        </w:rPr>
        <w:t>减少</w:t>
      </w:r>
      <w:r>
        <w:rPr>
          <w:rFonts w:hint="eastAsia" w:ascii="Times New Roman" w:hAnsi="Times New Roman" w:eastAsia="仿宋_GB2312" w:cs="仿宋_GB2312"/>
          <w:color w:val="auto"/>
          <w:kern w:val="2"/>
          <w:sz w:val="32"/>
          <w:szCs w:val="32"/>
          <w:highlight w:val="none"/>
          <w:lang w:val="en-US" w:eastAsia="zh-CN" w:bidi="ar-SA"/>
        </w:rPr>
        <w:t>192.01 万元）等有所下降。</w:t>
      </w:r>
    </w:p>
    <w:p w14:paraId="71867B69">
      <w:pPr>
        <w:spacing w:line="600" w:lineRule="exact"/>
        <w:ind w:firstLine="480" w:firstLineChars="200"/>
        <w:rPr>
          <w:rFonts w:hint="eastAsia" w:ascii="Times New Roman" w:hAnsi="Times New Roman" w:eastAsia="仿宋_GB2312" w:cs="仿宋_GB2312"/>
          <w:color w:val="auto"/>
          <w:kern w:val="2"/>
          <w:sz w:val="32"/>
          <w:szCs w:val="32"/>
          <w:highlight w:val="none"/>
          <w:lang w:val="en-US" w:eastAsia="zh-CN" w:bidi="ar-SA"/>
        </w:rPr>
      </w:pPr>
      <w:r>
        <w:rPr>
          <w:rFonts w:ascii="宋体" w:hAnsi="宋体" w:eastAsia="宋体" w:cs="宋体"/>
          <w:sz w:val="24"/>
          <w:szCs w:val="24"/>
        </w:rPr>
        <w:drawing>
          <wp:anchor distT="0" distB="0" distL="114300" distR="114300" simplePos="0" relativeHeight="251662336" behindDoc="0" locked="0" layoutInCell="1" allowOverlap="1">
            <wp:simplePos x="0" y="0"/>
            <wp:positionH relativeFrom="column">
              <wp:posOffset>828675</wp:posOffset>
            </wp:positionH>
            <wp:positionV relativeFrom="paragraph">
              <wp:posOffset>248920</wp:posOffset>
            </wp:positionV>
            <wp:extent cx="3472180" cy="3388995"/>
            <wp:effectExtent l="0" t="0" r="14605" b="0"/>
            <wp:wrapNone/>
            <wp:docPr id="15"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56"/>
                    <pic:cNvPicPr>
                      <a:picLocks noChangeAspect="1"/>
                    </pic:cNvPicPr>
                  </pic:nvPicPr>
                  <pic:blipFill>
                    <a:blip r:embed="rId14"/>
                    <a:stretch>
                      <a:fillRect/>
                    </a:stretch>
                  </pic:blipFill>
                  <pic:spPr>
                    <a:xfrm>
                      <a:off x="0" y="0"/>
                      <a:ext cx="3472180" cy="3388995"/>
                    </a:xfrm>
                    <a:prstGeom prst="rect">
                      <a:avLst/>
                    </a:prstGeom>
                    <a:noFill/>
                    <a:ln w="9525">
                      <a:noFill/>
                    </a:ln>
                  </pic:spPr>
                </pic:pic>
              </a:graphicData>
            </a:graphic>
          </wp:anchor>
        </w:drawing>
      </w:r>
    </w:p>
    <w:p w14:paraId="35626943">
      <w:pPr>
        <w:spacing w:line="600" w:lineRule="exact"/>
        <w:ind w:firstLine="480" w:firstLineChars="200"/>
        <w:rPr>
          <w:rFonts w:hint="eastAsia" w:ascii="Times New Roman" w:hAnsi="Times New Roman" w:eastAsia="仿宋_GB2312" w:cs="仿宋_GB2312"/>
          <w:color w:val="auto"/>
          <w:kern w:val="2"/>
          <w:sz w:val="32"/>
          <w:szCs w:val="32"/>
          <w:highlight w:val="none"/>
          <w:lang w:val="en-US" w:eastAsia="zh-CN" w:bidi="ar-SA"/>
        </w:rPr>
      </w:pPr>
      <w:r>
        <w:rPr>
          <w:rFonts w:ascii="宋体" w:hAnsi="宋体" w:eastAsia="宋体" w:cs="宋体"/>
          <w:sz w:val="24"/>
          <w:szCs w:val="24"/>
        </w:rPr>
        <w:drawing>
          <wp:inline distT="0" distB="0" distL="114300" distR="114300">
            <wp:extent cx="4476750" cy="4000500"/>
            <wp:effectExtent l="0" t="0" r="0" b="0"/>
            <wp:docPr id="14"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IMG_256"/>
                    <pic:cNvPicPr>
                      <a:picLocks noChangeAspect="1"/>
                    </pic:cNvPicPr>
                  </pic:nvPicPr>
                  <pic:blipFill>
                    <a:blip r:embed="rId15"/>
                    <a:stretch>
                      <a:fillRect/>
                    </a:stretch>
                  </pic:blipFill>
                  <pic:spPr>
                    <a:xfrm>
                      <a:off x="0" y="0"/>
                      <a:ext cx="4476750" cy="4000500"/>
                    </a:xfrm>
                    <a:prstGeom prst="rect">
                      <a:avLst/>
                    </a:prstGeom>
                    <a:noFill/>
                    <a:ln w="9525">
                      <a:noFill/>
                    </a:ln>
                  </pic:spPr>
                </pic:pic>
              </a:graphicData>
            </a:graphic>
          </wp:inline>
        </w:drawing>
      </w:r>
    </w:p>
    <w:p w14:paraId="2256C8C8">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14:paraId="01854809">
      <w:pPr>
        <w:spacing w:line="600" w:lineRule="exact"/>
        <w:ind w:firstLine="420" w:firstLineChars="200"/>
        <w:rPr>
          <w:rFonts w:hint="eastAsia" w:ascii="Times New Roman" w:hAnsi="Times New Roman" w:eastAsia="仿宋_GB2312" w:cs="仿宋_GB2312"/>
          <w:color w:val="auto"/>
          <w:kern w:val="2"/>
          <w:sz w:val="32"/>
          <w:szCs w:val="32"/>
          <w:highlight w:val="none"/>
          <w:lang w:val="en-US" w:eastAsia="zh-CN" w:bidi="ar-SA"/>
        </w:rPr>
      </w:pPr>
      <w:r>
        <w:drawing>
          <wp:inline distT="0" distB="0" distL="114300" distR="114300">
            <wp:extent cx="4476750" cy="4000500"/>
            <wp:effectExtent l="0" t="0" r="0" b="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icPr>
                  <pic:blipFill>
                    <a:blip r:embed="rId16"/>
                    <a:stretch>
                      <a:fillRect/>
                    </a:stretch>
                  </pic:blipFill>
                  <pic:spPr>
                    <a:xfrm>
                      <a:off x="0" y="0"/>
                      <a:ext cx="4476750" cy="4000500"/>
                    </a:xfrm>
                    <a:prstGeom prst="rect">
                      <a:avLst/>
                    </a:prstGeom>
                    <a:noFill/>
                    <a:ln>
                      <a:noFill/>
                    </a:ln>
                  </pic:spPr>
                </pic:pic>
              </a:graphicData>
            </a:graphic>
          </wp:inline>
        </w:drawing>
      </w:r>
    </w:p>
    <w:p w14:paraId="5537C0F2">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14:paraId="4DF26B11">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14:paraId="56FEC255">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14:paraId="60D1CDF1">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14:paraId="63DDA2F2">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14:paraId="17C12585">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w:t>
      </w:r>
    </w:p>
    <w:p w14:paraId="2AFC142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F4C391D">
      <w:pPr>
        <w:spacing w:line="600" w:lineRule="exact"/>
        <w:ind w:firstLine="640" w:firstLineChars="200"/>
        <w:outlineLvl w:val="1"/>
        <w:rPr>
          <w:rStyle w:val="34"/>
          <w:rFonts w:ascii="Times New Roman" w:hAnsi="Times New Roman" w:eastAsia="黑体"/>
          <w:b w:val="0"/>
          <w:color w:val="auto"/>
          <w:highlight w:val="none"/>
        </w:rPr>
      </w:pPr>
      <w:bookmarkStart w:id="50" w:name="_Toc15396607"/>
      <w:bookmarkStart w:id="51" w:name="_Toc15377209"/>
      <w:bookmarkStart w:id="52" w:name="_Toc3753"/>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4"/>
          <w:rFonts w:hint="eastAsia" w:ascii="Times New Roman" w:hAnsi="Times New Roman" w:eastAsia="黑体"/>
          <w:b w:val="0"/>
          <w:color w:val="auto"/>
          <w:highlight w:val="none"/>
        </w:rPr>
        <w:t>般公共预算财政拨款支出决算情况说明</w:t>
      </w:r>
      <w:bookmarkEnd w:id="50"/>
      <w:bookmarkEnd w:id="51"/>
      <w:bookmarkEnd w:id="52"/>
    </w:p>
    <w:p w14:paraId="7B2DC10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3"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53"/>
    </w:p>
    <w:p w14:paraId="64B240A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025年度一般公共预算财政拨款支出48,398.31万元，占本年支出合计的 94.34%。与上年度相比，一般公共预算财政拨款支出增加38,369.07万元，增长382.57%。主要变动原因是：农林水支出由上年度的0万元大幅增加至35,000万元（农业生态资源保护科目），自然资源海洋气象等支出由 6,668.23万元增至10,862.82万元（其中自然资源利用与保护支出净增约4,844万元），两项合计拉动支出大幅上升；同时城乡社区支出（</w:t>
      </w:r>
      <w:r>
        <w:rPr>
          <w:rFonts w:hint="eastAsia" w:eastAsia="仿宋_GB2312" w:cs="仿宋_GB2312"/>
          <w:color w:val="auto"/>
          <w:kern w:val="2"/>
          <w:sz w:val="32"/>
          <w:szCs w:val="32"/>
          <w:highlight w:val="none"/>
          <w:lang w:val="en-US" w:eastAsia="zh-CN" w:bidi="ar-SA"/>
        </w:rPr>
        <w:t>减少</w:t>
      </w:r>
      <w:r>
        <w:rPr>
          <w:rFonts w:hint="eastAsia" w:ascii="Times New Roman" w:hAnsi="Times New Roman" w:eastAsia="仿宋_GB2312" w:cs="仿宋_GB2312"/>
          <w:color w:val="auto"/>
          <w:kern w:val="2"/>
          <w:sz w:val="32"/>
          <w:szCs w:val="32"/>
          <w:highlight w:val="none"/>
          <w:lang w:val="en-US" w:eastAsia="zh-CN" w:bidi="ar-SA"/>
        </w:rPr>
        <w:t>581.12 万元）、灾害防治及应急管理支出（</w:t>
      </w:r>
      <w:r>
        <w:rPr>
          <w:rFonts w:hint="eastAsia" w:eastAsia="仿宋_GB2312" w:cs="仿宋_GB2312"/>
          <w:color w:val="auto"/>
          <w:kern w:val="2"/>
          <w:sz w:val="32"/>
          <w:szCs w:val="32"/>
          <w:highlight w:val="none"/>
          <w:lang w:val="en-US" w:eastAsia="zh-CN" w:bidi="ar-SA"/>
        </w:rPr>
        <w:t>减少</w:t>
      </w:r>
      <w:r>
        <w:rPr>
          <w:rFonts w:hint="eastAsia" w:ascii="Times New Roman" w:hAnsi="Times New Roman" w:eastAsia="仿宋_GB2312" w:cs="仿宋_GB2312"/>
          <w:color w:val="auto"/>
          <w:kern w:val="2"/>
          <w:sz w:val="32"/>
          <w:szCs w:val="32"/>
          <w:highlight w:val="none"/>
          <w:lang w:val="en-US" w:eastAsia="zh-CN" w:bidi="ar-SA"/>
        </w:rPr>
        <w:t>192.01万元）等有所下降。</w:t>
      </w:r>
    </w:p>
    <w:p w14:paraId="5612430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ascii="宋体" w:hAnsi="宋体" w:eastAsia="宋体" w:cs="宋体"/>
          <w:sz w:val="24"/>
          <w:szCs w:val="24"/>
        </w:rPr>
        <w:drawing>
          <wp:anchor distT="0" distB="0" distL="114300" distR="114300" simplePos="0" relativeHeight="251663360" behindDoc="0" locked="0" layoutInCell="1" allowOverlap="1">
            <wp:simplePos x="0" y="0"/>
            <wp:positionH relativeFrom="column">
              <wp:posOffset>1054735</wp:posOffset>
            </wp:positionH>
            <wp:positionV relativeFrom="paragraph">
              <wp:posOffset>252095</wp:posOffset>
            </wp:positionV>
            <wp:extent cx="2769235" cy="2474595"/>
            <wp:effectExtent l="0" t="0" r="0" b="0"/>
            <wp:wrapNone/>
            <wp:docPr id="17"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IMG_256"/>
                    <pic:cNvPicPr>
                      <a:picLocks noChangeAspect="1"/>
                    </pic:cNvPicPr>
                  </pic:nvPicPr>
                  <pic:blipFill>
                    <a:blip r:embed="rId17"/>
                    <a:stretch>
                      <a:fillRect/>
                    </a:stretch>
                  </pic:blipFill>
                  <pic:spPr>
                    <a:xfrm>
                      <a:off x="0" y="0"/>
                      <a:ext cx="2769235" cy="2474595"/>
                    </a:xfrm>
                    <a:prstGeom prst="rect">
                      <a:avLst/>
                    </a:prstGeom>
                    <a:noFill/>
                    <a:ln w="9525">
                      <a:noFill/>
                    </a:ln>
                  </pic:spPr>
                </pic:pic>
              </a:graphicData>
            </a:graphic>
          </wp:anchor>
        </w:drawing>
      </w:r>
    </w:p>
    <w:p w14:paraId="1A12A9E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2F64F5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98C62D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553507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E57FAA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B65EF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261C82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w:t>
      </w:r>
    </w:p>
    <w:p w14:paraId="61AB165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4"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54"/>
    </w:p>
    <w:p w14:paraId="3635BB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2025年度一般公共预算财政拨款支出48398.31万元，主要用于以下方面：一般公共服务支出16.53万元，占0.03%；社会保障和就业支出849.94万元，占1.76%；卫生健康支出 271.98万元，占0.56%；住房保障支出348.08万元，占0.72%；城乡社区支出16.40万元，占0.03%；农林水支出35000.00 万元，占72.32%；交通运输支出0.86万元；自然资源海洋气象等支出10862.82万元，占22.44%；灾害防治及应急管理支出 1031.69万元，占2.13%。</w:t>
      </w:r>
    </w:p>
    <w:p w14:paraId="7826473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ascii="宋体" w:hAnsi="宋体" w:eastAsia="宋体" w:cs="宋体"/>
          <w:sz w:val="24"/>
          <w:szCs w:val="24"/>
        </w:rPr>
        <w:drawing>
          <wp:anchor distT="0" distB="0" distL="114300" distR="114300" simplePos="0" relativeHeight="251664384" behindDoc="0" locked="0" layoutInCell="1" allowOverlap="1">
            <wp:simplePos x="0" y="0"/>
            <wp:positionH relativeFrom="column">
              <wp:posOffset>537210</wp:posOffset>
            </wp:positionH>
            <wp:positionV relativeFrom="paragraph">
              <wp:posOffset>127000</wp:posOffset>
            </wp:positionV>
            <wp:extent cx="3168015" cy="2830830"/>
            <wp:effectExtent l="0" t="0" r="0" b="0"/>
            <wp:wrapNone/>
            <wp:docPr id="18"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IMG_256"/>
                    <pic:cNvPicPr>
                      <a:picLocks noChangeAspect="1"/>
                    </pic:cNvPicPr>
                  </pic:nvPicPr>
                  <pic:blipFill>
                    <a:blip r:embed="rId18"/>
                    <a:stretch>
                      <a:fillRect/>
                    </a:stretch>
                  </pic:blipFill>
                  <pic:spPr>
                    <a:xfrm>
                      <a:off x="0" y="0"/>
                      <a:ext cx="3168015" cy="2830830"/>
                    </a:xfrm>
                    <a:prstGeom prst="rect">
                      <a:avLst/>
                    </a:prstGeom>
                    <a:noFill/>
                    <a:ln w="9525">
                      <a:noFill/>
                    </a:ln>
                  </pic:spPr>
                </pic:pic>
              </a:graphicData>
            </a:graphic>
          </wp:anchor>
        </w:drawing>
      </w:r>
    </w:p>
    <w:p w14:paraId="6E5C966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314B1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DF81B4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6E58BC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6A3DF6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34B6B0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BC28D5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95D0A5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w:t>
      </w:r>
    </w:p>
    <w:p w14:paraId="087E3E8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5"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55"/>
    </w:p>
    <w:p w14:paraId="3FD50779">
      <w:pPr>
        <w:spacing w:line="600" w:lineRule="exact"/>
        <w:ind w:firstLine="640"/>
        <w:rPr>
          <w:rFonts w:hint="eastAsia" w:eastAsia="仿宋_GB2312" w:cs="仿宋_GB2312"/>
          <w:color w:val="auto"/>
          <w:kern w:val="2"/>
          <w:sz w:val="32"/>
          <w:szCs w:val="32"/>
          <w:highlight w:val="none"/>
          <w:lang w:val="en-US" w:eastAsia="zh-CN" w:bidi="ar-SA"/>
        </w:rPr>
      </w:pPr>
      <w:bookmarkStart w:id="56" w:name="_Toc15377444"/>
      <w:bookmarkStart w:id="57" w:name="_Toc15377213"/>
      <w:bookmarkStart w:id="58" w:name="_Toc15378460"/>
      <w:r>
        <w:rPr>
          <w:rFonts w:hint="eastAsia" w:eastAsia="仿宋_GB2312" w:cs="仿宋_GB2312"/>
          <w:color w:val="auto"/>
          <w:kern w:val="2"/>
          <w:sz w:val="32"/>
          <w:szCs w:val="32"/>
          <w:highlight w:val="none"/>
          <w:lang w:val="en-US" w:eastAsia="zh-CN" w:bidi="ar-SA"/>
        </w:rPr>
        <w:t>2</w:t>
      </w:r>
      <w:bookmarkEnd w:id="56"/>
      <w:bookmarkEnd w:id="57"/>
      <w:bookmarkEnd w:id="58"/>
      <w:r>
        <w:rPr>
          <w:rFonts w:hint="eastAsia" w:eastAsia="仿宋_GB2312" w:cs="仿宋_GB2312"/>
          <w:color w:val="auto"/>
          <w:kern w:val="2"/>
          <w:sz w:val="32"/>
          <w:szCs w:val="32"/>
          <w:highlight w:val="none"/>
          <w:lang w:val="en-US" w:eastAsia="zh-CN" w:bidi="ar-SA"/>
        </w:rPr>
        <w:t>025年度一般公共预算支出决算数为48398.31万元，完成预算100%。其中：</w:t>
      </w:r>
    </w:p>
    <w:p w14:paraId="4CF7E47B">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1.一般公共服务（类）人大事务（款）行政运行（项）：支出决算为0.30万元，完成预算100%。</w:t>
      </w:r>
    </w:p>
    <w:p w14:paraId="4AE9AC6B">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2.一般公共服务（类）纪检监察事务（款）派驻派出机构（项）：支出决算为3.00万元，完成预算100%。</w:t>
      </w:r>
    </w:p>
    <w:p w14:paraId="0EA198AE">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3.一般公共服务（类）组织事务（款）其他组织事务支出（项）：支出决算为13.23万元，完成预算100%。</w:t>
      </w:r>
    </w:p>
    <w:p w14:paraId="0A21BA14">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4.社会保障和就业（类）人力资源和社会保障管理事务（款）其他人力资源和社会保障管理事务支出（项）：支出决算为15.00万元，完成预算100%。</w:t>
      </w:r>
    </w:p>
    <w:p w14:paraId="47F4C55F">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5.社会保障和就业（类）行政事业单位养老支出（款）行政单位离退休（项）：支出决算为146.14万元，完成预算100%。</w:t>
      </w:r>
    </w:p>
    <w:p w14:paraId="29B4B7EC">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6.社会保障和就业（类）行政事业单位养老支出（款）事业单位离退休（项）：支出决算为138.95万元，完成预算100%。</w:t>
      </w:r>
    </w:p>
    <w:p w14:paraId="5CBB54ED">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7.社会保障和就业（类）行政事业单位养老支出（款）机关事业单位基本养老保险缴费支出（项）：支出决算为453.04万元，完成预算100%。</w:t>
      </w:r>
    </w:p>
    <w:p w14:paraId="3A069D77">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8.社会保障和就业（类）行政事业单位养老支出（款）机关事业单位职业年金缴费支出（项）：支出决算为96.33万元，完成预算100%。</w:t>
      </w:r>
    </w:p>
    <w:p w14:paraId="725941E1">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9.社会保障和就业（类）社会福利（款）儿童福利（项）：支出决算为0.48万元，完成预算100%。</w:t>
      </w:r>
    </w:p>
    <w:p w14:paraId="7F19A0F1">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10.卫生健康（类）行政事业单位医疗（款）行政单位医疗（项）：支出决算为93.31万元，完成预算100%。</w:t>
      </w:r>
    </w:p>
    <w:p w14:paraId="17DA37BC">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11.卫生健康（类）行政事业单位医疗（款）事业单位医疗（项）：支出决算为137.19万元，完成预算100%。</w:t>
      </w:r>
    </w:p>
    <w:p w14:paraId="7AB2FA1C">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12.卫生健康（类）行政事业单位医疗（款）公务员医疗补助（项）：支出决算为27.43万元，完成预算100%。</w:t>
      </w:r>
    </w:p>
    <w:p w14:paraId="03D3C0AF">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13.卫生健康（类）行政事业单位医疗（款）其他行政事业单位医疗支出（项）：支出决算为14.05万元，完成预算100%。</w:t>
      </w:r>
    </w:p>
    <w:p w14:paraId="50C00E1F">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14.城乡社区（类）城乡社区公共设施（款）其他城乡社区公共设施支出（项）：支出决算为16.40万元，完成预算100%。</w:t>
      </w:r>
    </w:p>
    <w:p w14:paraId="037A204A">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15.农林水（类）农业农村（款）农业生态资源保护（项）：支出决算为35000.00万元，完成预算100%。</w:t>
      </w:r>
    </w:p>
    <w:p w14:paraId="4CE9B700">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16.交通运输（类）公路水路运输（款）行政运行（项）：支出决算为0.86万元，完成预算100%。</w:t>
      </w:r>
    </w:p>
    <w:p w14:paraId="7A5E146F">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17.自然资源海洋气象等（类）自然资源事务（款）行政运行（项）：支出决算为1582.46万元，完成预算100%。</w:t>
      </w:r>
    </w:p>
    <w:p w14:paraId="461FD644">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18.自然资源海洋气象等（类）自然资源事务（款）一般行政管理事务（项）：支出决算为9.15万元，完成预算100%。</w:t>
      </w:r>
    </w:p>
    <w:p w14:paraId="4CA1353C">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19.自然资源海洋气象等（类）自然资源事务（款）自然资源规划及管理（项）：支出决算为323.83万元，完成预算100%。</w:t>
      </w:r>
    </w:p>
    <w:p w14:paraId="1751BE0E">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20.自然资源海洋气象等（类）自然资源事务（款）自然资源利用与保护（项）：支出决算为5030.00万元，完成预算100%。</w:t>
      </w:r>
    </w:p>
    <w:p w14:paraId="2935D1A9">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21. 自然资源海洋气象等（类）自然资源事务（款）自然资源行业业务管理（项）：支出决算为510.23万元，完成预算100%。</w:t>
      </w:r>
    </w:p>
    <w:p w14:paraId="7B1C4474">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22.自然资源海洋气象等（类）自然资源事务（款）自然资源调查与确权登记（项）：支出决算为69.58万元，完成预算100%。</w:t>
      </w:r>
    </w:p>
    <w:p w14:paraId="3D023592">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23.自然资源海洋气象等（类）自然资源事务（款）土地资源储备支出（项）：支出决算为8.26万元，完成预算100%。</w:t>
      </w:r>
    </w:p>
    <w:p w14:paraId="203BF6DD">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24.自然资源海洋气象等（类）自然资源事务（款）地质勘查与矿产资源管理（项）：支出决算为227.91万元，完成预算100%。</w:t>
      </w:r>
    </w:p>
    <w:p w14:paraId="18C1024A">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25.自然资源海洋气象等（类）自然资源事务（款）基础测绘与地理信息监管（项）：支出决算为5.00万元，完成预算100%。</w:t>
      </w:r>
    </w:p>
    <w:p w14:paraId="57F13DD4">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26.自然资源海洋气象等（类）自然资源事务（款）事业运行（项）：支出决算为2332.25万元，完成预算100%。</w:t>
      </w:r>
    </w:p>
    <w:p w14:paraId="3D342B22">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27.自然资源海洋气象等（类）自然资源事务（款）其他自然资源事务支出（项）：支出决算为764.16万元，完成预算100%。</w:t>
      </w:r>
    </w:p>
    <w:p w14:paraId="7E5D0159">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28.住房保障（类）住房改革支出（款）住房公积金（项）：支出决算为348.08万元，完成预算100%。</w:t>
      </w:r>
    </w:p>
    <w:p w14:paraId="46F0EED1">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29.灾害防治及应急管理（类）自然灾害防治（款）地质灾害防治（项）：支出决算为1031.69万元，完成预算100%。</w:t>
      </w:r>
    </w:p>
    <w:p w14:paraId="61BAEBC2">
      <w:pPr>
        <w:tabs>
          <w:tab w:val="right" w:pos="8306"/>
        </w:tabs>
        <w:spacing w:line="600" w:lineRule="exact"/>
        <w:ind w:firstLine="640"/>
        <w:outlineLvl w:val="1"/>
        <w:rPr>
          <w:rStyle w:val="34"/>
          <w:rFonts w:ascii="Times New Roman" w:hAnsi="Times New Roman"/>
          <w:color w:val="auto"/>
          <w:highlight w:val="none"/>
        </w:rPr>
      </w:pPr>
      <w:bookmarkStart w:id="59" w:name="_Toc3078"/>
      <w:bookmarkStart w:id="60" w:name="_Toc15377214"/>
      <w:bookmarkStart w:id="61"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4"/>
          <w:rFonts w:hint="eastAsia" w:ascii="Times New Roman" w:hAnsi="Times New Roman" w:eastAsia="黑体"/>
          <w:b w:val="0"/>
          <w:color w:val="auto"/>
          <w:highlight w:val="none"/>
        </w:rPr>
        <w:t>般公共预算财政拨款基本支出决算情况说明</w:t>
      </w:r>
      <w:bookmarkEnd w:id="59"/>
      <w:bookmarkEnd w:id="60"/>
      <w:bookmarkEnd w:id="61"/>
      <w:r>
        <w:rPr>
          <w:rStyle w:val="34"/>
          <w:rFonts w:ascii="Times New Roman" w:hAnsi="Times New Roman" w:eastAsia="黑体"/>
          <w:b w:val="0"/>
          <w:color w:val="auto"/>
          <w:highlight w:val="none"/>
        </w:rPr>
        <w:tab/>
      </w:r>
    </w:p>
    <w:p w14:paraId="108C1A3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5420.23</w:t>
      </w:r>
      <w:r>
        <w:rPr>
          <w:rFonts w:hint="eastAsia" w:ascii="Times New Roman" w:hAnsi="Times New Roman" w:eastAsia="仿宋_GB2312" w:cs="仿宋_GB2312"/>
          <w:color w:val="auto"/>
          <w:kern w:val="2"/>
          <w:sz w:val="32"/>
          <w:szCs w:val="32"/>
          <w:highlight w:val="none"/>
          <w:lang w:val="en-US" w:eastAsia="zh-CN" w:bidi="ar-SA"/>
        </w:rPr>
        <w:t>万元，其中：</w:t>
      </w:r>
    </w:p>
    <w:p w14:paraId="0CEBFC7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4912.4</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507.83</w:t>
      </w:r>
      <w:r>
        <w:rPr>
          <w:rFonts w:hint="eastAsia" w:ascii="Times New Roman" w:hAnsi="Times New Roman" w:eastAsia="仿宋_GB2312" w:cs="仿宋_GB2312"/>
          <w:color w:val="auto"/>
          <w:kern w:val="2"/>
          <w:sz w:val="32"/>
          <w:szCs w:val="32"/>
          <w:highlight w:val="none"/>
          <w:lang w:val="en-US" w:eastAsia="zh-CN" w:bidi="ar-SA"/>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3682C255">
      <w:pPr>
        <w:spacing w:line="600" w:lineRule="exact"/>
        <w:ind w:firstLine="640"/>
        <w:outlineLvl w:val="1"/>
        <w:rPr>
          <w:rStyle w:val="34"/>
          <w:rFonts w:ascii="Times New Roman" w:hAnsi="Times New Roman" w:eastAsia="黑体"/>
          <w:b w:val="0"/>
          <w:color w:val="auto"/>
          <w:highlight w:val="none"/>
        </w:rPr>
      </w:pPr>
      <w:bookmarkStart w:id="62" w:name="_Toc15377215"/>
      <w:bookmarkStart w:id="63" w:name="_Toc15396609"/>
      <w:bookmarkStart w:id="64" w:name="_Toc16483"/>
      <w:r>
        <w:rPr>
          <w:rFonts w:hint="eastAsia" w:ascii="Times New Roman" w:hAnsi="Times New Roman" w:eastAsia="黑体"/>
          <w:color w:val="auto"/>
          <w:sz w:val="32"/>
          <w:szCs w:val="32"/>
          <w:highlight w:val="none"/>
        </w:rPr>
        <w:t>七、</w:t>
      </w:r>
      <w:r>
        <w:rPr>
          <w:rStyle w:val="34"/>
          <w:rFonts w:hint="eastAsia" w:ascii="Times New Roman" w:hAnsi="Times New Roman" w:eastAsia="黑体"/>
          <w:b w:val="0"/>
          <w:color w:val="auto"/>
          <w:highlight w:val="none"/>
        </w:rPr>
        <w:t>财政拨款</w:t>
      </w:r>
      <w:r>
        <w:rPr>
          <w:rStyle w:val="34"/>
          <w:rFonts w:hint="eastAsia" w:ascii="Times New Roman" w:hAnsi="Times New Roman" w:eastAsia="黑体"/>
          <w:color w:val="auto"/>
          <w:highlight w:val="none"/>
        </w:rPr>
        <w:t>“</w:t>
      </w:r>
      <w:r>
        <w:rPr>
          <w:rStyle w:val="34"/>
          <w:rFonts w:hint="eastAsia" w:ascii="Times New Roman" w:hAnsi="Times New Roman" w:eastAsia="黑体"/>
          <w:b w:val="0"/>
          <w:color w:val="auto"/>
          <w:highlight w:val="none"/>
        </w:rPr>
        <w:t>三公”经费支出决算情况说明</w:t>
      </w:r>
      <w:bookmarkEnd w:id="62"/>
      <w:bookmarkEnd w:id="63"/>
      <w:bookmarkEnd w:id="64"/>
    </w:p>
    <w:p w14:paraId="1B83121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5"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65"/>
    </w:p>
    <w:p w14:paraId="51851267">
      <w:pPr>
        <w:spacing w:line="600" w:lineRule="exact"/>
        <w:ind w:firstLine="640"/>
        <w:rPr>
          <w:rFonts w:hint="eastAsia" w:eastAsia="仿宋_GB2312" w:cs="仿宋_GB2312"/>
          <w:color w:val="auto"/>
          <w:kern w:val="2"/>
          <w:sz w:val="32"/>
          <w:szCs w:val="32"/>
          <w:highlight w:val="none"/>
          <w:lang w:val="en-US" w:eastAsia="zh-CN" w:bidi="ar-SA"/>
        </w:rPr>
      </w:pPr>
      <w:bookmarkStart w:id="66" w:name="_Toc15377217"/>
      <w:r>
        <w:rPr>
          <w:rFonts w:hint="eastAsia" w:eastAsia="仿宋_GB2312" w:cs="仿宋_GB2312"/>
          <w:color w:val="auto"/>
          <w:kern w:val="2"/>
          <w:sz w:val="32"/>
          <w:szCs w:val="32"/>
          <w:highlight w:val="none"/>
          <w:lang w:val="en-US" w:eastAsia="zh-CN" w:bidi="ar-SA"/>
        </w:rPr>
        <w:t>2025 年度财政拨款“三公”经费支出决算为87.54万元，完成预算99.84%，较上年度增加7.76 万元，增长9.73%。决算数小于预算数的主要原因是：公务用车运行维护费实际支出47.72万元，较全年预算数47.86万元节约0.14万元，导致“三公”经费总决算数87.54万元小于全年预算数87.68 万元；公务接待费、公务用车购置费决算数与预算数持平，因公出国（境）费全年未发生。</w:t>
      </w:r>
    </w:p>
    <w:p w14:paraId="652A22D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（二）财政拨款“三公”经费支出决算具体情况说明</w:t>
      </w:r>
      <w:bookmarkEnd w:id="66"/>
    </w:p>
    <w:p w14:paraId="5C8E99E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2025年度财政拨款“三公”经费支出决算中，因公出国（境）费支出决算0万元，占0.00%；公务用车购置及运行维护费支出决算82.52万元，占94.27%；公务接待费支出决算5.03万元，占5.75%。具体情况如下：</w:t>
      </w:r>
    </w:p>
    <w:p w14:paraId="49C89AE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FBB259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ascii="宋体" w:hAnsi="宋体" w:eastAsia="宋体" w:cs="宋体"/>
          <w:sz w:val="24"/>
          <w:szCs w:val="24"/>
        </w:rPr>
        <w:drawing>
          <wp:anchor distT="0" distB="0" distL="114300" distR="114300" simplePos="0" relativeHeight="251665408" behindDoc="0" locked="0" layoutInCell="1" allowOverlap="1">
            <wp:simplePos x="0" y="0"/>
            <wp:positionH relativeFrom="column">
              <wp:posOffset>900430</wp:posOffset>
            </wp:positionH>
            <wp:positionV relativeFrom="paragraph">
              <wp:posOffset>96520</wp:posOffset>
            </wp:positionV>
            <wp:extent cx="3171825" cy="2834640"/>
            <wp:effectExtent l="0" t="0" r="0" b="0"/>
            <wp:wrapNone/>
            <wp:docPr id="20"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descr="IMG_256"/>
                    <pic:cNvPicPr>
                      <a:picLocks noChangeAspect="1"/>
                    </pic:cNvPicPr>
                  </pic:nvPicPr>
                  <pic:blipFill>
                    <a:blip r:embed="rId19"/>
                    <a:stretch>
                      <a:fillRect/>
                    </a:stretch>
                  </pic:blipFill>
                  <pic:spPr>
                    <a:xfrm>
                      <a:off x="0" y="0"/>
                      <a:ext cx="3171825" cy="2834640"/>
                    </a:xfrm>
                    <a:prstGeom prst="rect">
                      <a:avLst/>
                    </a:prstGeom>
                    <a:noFill/>
                    <a:ln w="9525">
                      <a:noFill/>
                    </a:ln>
                  </pic:spPr>
                </pic:pic>
              </a:graphicData>
            </a:graphic>
          </wp:anchor>
        </w:drawing>
      </w:r>
    </w:p>
    <w:p w14:paraId="08B4B27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58BC99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6B4555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A811A6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2E5F3E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ascii="宋体" w:hAnsi="宋体" w:eastAsia="宋体" w:cs="宋体"/>
          <w:sz w:val="24"/>
          <w:szCs w:val="24"/>
        </w:rPr>
        <w:drawing>
          <wp:inline distT="0" distB="0" distL="114300" distR="114300">
            <wp:extent cx="4476750" cy="4000500"/>
            <wp:effectExtent l="0" t="0" r="0" b="0"/>
            <wp:docPr id="19"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IMG_256"/>
                    <pic:cNvPicPr>
                      <a:picLocks noChangeAspect="1"/>
                    </pic:cNvPicPr>
                  </pic:nvPicPr>
                  <pic:blipFill>
                    <a:blip r:embed="rId19"/>
                    <a:stretch>
                      <a:fillRect/>
                    </a:stretch>
                  </pic:blipFill>
                  <pic:spPr>
                    <a:xfrm>
                      <a:off x="0" y="0"/>
                      <a:ext cx="4476750" cy="4000500"/>
                    </a:xfrm>
                    <a:prstGeom prst="rect">
                      <a:avLst/>
                    </a:prstGeom>
                    <a:noFill/>
                    <a:ln w="9525">
                      <a:noFill/>
                    </a:ln>
                  </pic:spPr>
                </pic:pic>
              </a:graphicData>
            </a:graphic>
          </wp:inline>
        </w:drawing>
      </w:r>
    </w:p>
    <w:p w14:paraId="24B5D5E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16FD93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w:t>
      </w:r>
    </w:p>
    <w:p w14:paraId="385E2C7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color w:val="auto"/>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color w:val="auto"/>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color w:val="auto"/>
          <w:sz w:val="32"/>
          <w:szCs w:val="32"/>
        </w:rPr>
        <w:t>0</w:t>
      </w:r>
      <w:r>
        <w:rPr>
          <w:rFonts w:hint="eastAsia" w:ascii="Times New Roman" w:hAnsi="Times New Roman" w:eastAsia="仿宋_GB2312" w:cs="仿宋_GB2312"/>
          <w:color w:val="auto"/>
          <w:kern w:val="2"/>
          <w:sz w:val="32"/>
          <w:szCs w:val="32"/>
          <w:highlight w:val="none"/>
          <w:lang w:val="en-US" w:eastAsia="zh-CN" w:bidi="ar-SA"/>
        </w:rPr>
        <w:t>人。</w:t>
      </w:r>
    </w:p>
    <w:p w14:paraId="6A69861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82.52</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上年度增加 6.95 万元，增长 9.20%</w:t>
      </w:r>
      <w:r>
        <w:rPr>
          <w:rFonts w:hint="eastAsia" w:ascii="Times New Roman" w:hAnsi="Times New Roman" w:eastAsia="仿宋_GB2312" w:cs="仿宋_GB2312"/>
          <w:color w:val="auto"/>
          <w:kern w:val="2"/>
          <w:sz w:val="32"/>
          <w:szCs w:val="32"/>
          <w:highlight w:val="none"/>
          <w:lang w:val="en-US" w:eastAsia="zh-CN" w:bidi="ar-SA"/>
        </w:rPr>
        <w:t>。主要原因是新增部分公务用车购置相关支出，同时现有公务用车燃油、保险、维修保养等运行维护费用正常增长，导致公务用车购置及运行维护费总体增加。</w:t>
      </w:r>
    </w:p>
    <w:p w14:paraId="7F1A2131">
      <w:pPr>
        <w:spacing w:line="600" w:lineRule="exact"/>
        <w:ind w:firstLine="640"/>
        <w:rPr>
          <w:rFonts w:eastAsia="仿宋_GB2312" w:cs="仿宋_GB2312"/>
          <w:sz w:val="32"/>
          <w:szCs w:val="32"/>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color w:val="auto"/>
          <w:sz w:val="32"/>
          <w:szCs w:val="32"/>
        </w:rPr>
        <w:t>34.8</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按规定</w:t>
      </w:r>
      <w:r>
        <w:rPr>
          <w:rFonts w:eastAsia="仿宋_GB2312"/>
          <w:sz w:val="32"/>
          <w:szCs w:val="32"/>
        </w:rPr>
        <w:t>更新购置公务用车1辆，其中：轿车0辆、金额0万元，越野车1辆、金额34.8万元，载客汽车0辆、金额0万元，主要用于地质灾害防治检查等工作。</w:t>
      </w:r>
      <w:r>
        <w:rPr>
          <w:rFonts w:hint="eastAsia" w:eastAsia="仿宋_GB2312" w:cs="仿宋_GB2312"/>
          <w:sz w:val="32"/>
          <w:szCs w:val="32"/>
        </w:rPr>
        <w:t>截至2025年12月31日，单位共有公务用车</w:t>
      </w:r>
      <w:r>
        <w:rPr>
          <w:rFonts w:hint="eastAsia" w:eastAsia="仿宋_GB2312" w:cs="仿宋_GB2312"/>
          <w:sz w:val="32"/>
          <w:szCs w:val="32"/>
          <w:lang w:val="en-US" w:eastAsia="zh-CN"/>
        </w:rPr>
        <w:t>21</w:t>
      </w:r>
      <w:r>
        <w:rPr>
          <w:rFonts w:hint="eastAsia" w:eastAsia="仿宋_GB2312" w:cs="仿宋_GB2312"/>
          <w:sz w:val="32"/>
          <w:szCs w:val="32"/>
        </w:rPr>
        <w:t>辆</w:t>
      </w:r>
      <w:r>
        <w:rPr>
          <w:rFonts w:hint="eastAsia" w:eastAsia="仿宋_GB2312" w:cs="仿宋_GB2312"/>
          <w:sz w:val="32"/>
          <w:szCs w:val="32"/>
          <w:lang w:eastAsia="zh-CN"/>
        </w:rPr>
        <w:t>（</w:t>
      </w:r>
      <w:r>
        <w:rPr>
          <w:rFonts w:hint="eastAsia" w:eastAsia="仿宋_GB2312" w:cs="仿宋_GB2312"/>
          <w:sz w:val="32"/>
          <w:szCs w:val="32"/>
          <w:lang w:val="en-US" w:eastAsia="zh-CN"/>
        </w:rPr>
        <w:t>整治中心1辆、编研中心1辆、不动产1辆、东区分局1辆、西区分局1辆、仁和分局9辆、机关7辆</w:t>
      </w:r>
      <w:r>
        <w:rPr>
          <w:rFonts w:hint="eastAsia" w:eastAsia="仿宋_GB2312" w:cs="仿宋_GB2312"/>
          <w:sz w:val="32"/>
          <w:szCs w:val="32"/>
          <w:lang w:eastAsia="zh-CN"/>
        </w:rPr>
        <w:t>）</w:t>
      </w:r>
      <w:r>
        <w:rPr>
          <w:rFonts w:hint="eastAsia" w:eastAsia="仿宋_GB2312" w:cs="仿宋_GB2312"/>
          <w:sz w:val="32"/>
          <w:szCs w:val="32"/>
        </w:rPr>
        <w:t>，其中：轿车</w:t>
      </w:r>
      <w:r>
        <w:rPr>
          <w:rFonts w:hint="eastAsia" w:eastAsia="仿宋_GB2312" w:cs="仿宋_GB2312"/>
          <w:sz w:val="32"/>
          <w:szCs w:val="32"/>
          <w:lang w:val="en-US" w:eastAsia="zh-CN"/>
        </w:rPr>
        <w:t>1</w:t>
      </w:r>
      <w:r>
        <w:rPr>
          <w:rFonts w:hint="eastAsia" w:eastAsia="仿宋_GB2312" w:cs="仿宋_GB2312"/>
          <w:sz w:val="32"/>
          <w:szCs w:val="32"/>
        </w:rPr>
        <w:t>辆</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编研中心1辆</w:t>
      </w:r>
      <w:r>
        <w:rPr>
          <w:rFonts w:hint="eastAsia" w:ascii="Times New Roman" w:hAnsi="Times New Roman" w:eastAsia="仿宋_GB2312" w:cs="仿宋_GB2312"/>
          <w:sz w:val="32"/>
          <w:szCs w:val="32"/>
          <w:lang w:eastAsia="zh-CN"/>
        </w:rPr>
        <w:t>）</w:t>
      </w:r>
      <w:r>
        <w:rPr>
          <w:rFonts w:hint="eastAsia" w:eastAsia="仿宋_GB2312" w:cs="仿宋_GB2312"/>
          <w:sz w:val="32"/>
          <w:szCs w:val="32"/>
          <w:lang w:eastAsia="zh-CN"/>
        </w:rPr>
        <w:t>，</w:t>
      </w:r>
      <w:r>
        <w:rPr>
          <w:rFonts w:hint="eastAsia" w:eastAsia="仿宋_GB2312" w:cs="仿宋_GB2312"/>
          <w:sz w:val="32"/>
          <w:szCs w:val="32"/>
        </w:rPr>
        <w:t>越野车</w:t>
      </w:r>
      <w:r>
        <w:rPr>
          <w:rFonts w:hint="eastAsia" w:eastAsia="仿宋_GB2312" w:cs="仿宋_GB2312"/>
          <w:sz w:val="32"/>
          <w:szCs w:val="32"/>
          <w:lang w:val="en-US" w:eastAsia="zh-CN"/>
        </w:rPr>
        <w:t>19</w:t>
      </w:r>
      <w:r>
        <w:rPr>
          <w:rFonts w:hint="eastAsia" w:eastAsia="仿宋_GB2312" w:cs="仿宋_GB2312"/>
          <w:sz w:val="32"/>
          <w:szCs w:val="32"/>
        </w:rPr>
        <w:t>辆</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整治中心1辆、不动产1辆、西区分局1辆、东区分局1辆、仁和分局9辆、机关6辆</w:t>
      </w:r>
      <w:r>
        <w:rPr>
          <w:rFonts w:hint="eastAsia" w:ascii="Times New Roman" w:hAnsi="Times New Roman" w:eastAsia="仿宋_GB2312" w:cs="仿宋_GB2312"/>
          <w:sz w:val="32"/>
          <w:szCs w:val="32"/>
          <w:lang w:eastAsia="zh-CN"/>
        </w:rPr>
        <w:t>），</w:t>
      </w:r>
      <w:r>
        <w:rPr>
          <w:rFonts w:hint="eastAsia" w:eastAsia="仿宋_GB2312" w:cs="仿宋_GB2312"/>
          <w:sz w:val="32"/>
          <w:szCs w:val="32"/>
        </w:rPr>
        <w:t>载客汽车</w:t>
      </w:r>
      <w:r>
        <w:rPr>
          <w:rFonts w:hint="eastAsia" w:eastAsia="仿宋_GB2312" w:cs="仿宋_GB2312"/>
          <w:sz w:val="32"/>
          <w:szCs w:val="32"/>
          <w:lang w:val="en-US" w:eastAsia="zh-CN"/>
        </w:rPr>
        <w:t>1</w:t>
      </w:r>
      <w:r>
        <w:rPr>
          <w:rFonts w:hint="eastAsia" w:eastAsia="仿宋_GB2312" w:cs="仿宋_GB2312"/>
          <w:sz w:val="32"/>
          <w:szCs w:val="32"/>
        </w:rPr>
        <w:t>辆</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机关1辆</w:t>
      </w:r>
      <w:r>
        <w:rPr>
          <w:rFonts w:hint="eastAsia" w:ascii="Times New Roman" w:hAnsi="Times New Roman" w:eastAsia="仿宋_GB2312" w:cs="仿宋_GB2312"/>
          <w:sz w:val="32"/>
          <w:szCs w:val="32"/>
          <w:lang w:eastAsia="zh-CN"/>
        </w:rPr>
        <w:t>）</w:t>
      </w:r>
      <w:r>
        <w:rPr>
          <w:rFonts w:hint="eastAsia" w:eastAsia="仿宋_GB2312" w:cs="仿宋_GB2312"/>
          <w:sz w:val="32"/>
          <w:szCs w:val="32"/>
        </w:rPr>
        <w:t>。</w:t>
      </w:r>
    </w:p>
    <w:p w14:paraId="66F8F77E">
      <w:pPr>
        <w:spacing w:line="600" w:lineRule="exact"/>
        <w:ind w:firstLine="640"/>
        <w:rPr>
          <w:rFonts w:hint="eastAsia" w:ascii="Times New Roman" w:hAnsi="Times New Roman" w:eastAsia="仿宋_GB2312" w:cs="仿宋_GB2312"/>
          <w:sz w:val="32"/>
          <w:szCs w:val="32"/>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color w:val="auto"/>
          <w:sz w:val="32"/>
          <w:szCs w:val="32"/>
        </w:rPr>
        <w:t>47.72</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sz w:val="32"/>
          <w:szCs w:val="32"/>
        </w:rPr>
        <w:t>主要用于</w:t>
      </w:r>
      <w:r>
        <w:rPr>
          <w:rFonts w:hint="eastAsia" w:eastAsia="仿宋_GB2312"/>
          <w:sz w:val="32"/>
          <w:szCs w:val="32"/>
        </w:rPr>
        <w:t>自然资源、规划、地质灾害等</w:t>
      </w:r>
      <w:r>
        <w:rPr>
          <w:rFonts w:hint="eastAsia" w:eastAsia="仿宋_GB2312"/>
          <w:sz w:val="32"/>
          <w:szCs w:val="32"/>
          <w:lang w:eastAsia="zh-CN"/>
        </w:rPr>
        <w:t>工作</w:t>
      </w:r>
      <w:r>
        <w:rPr>
          <w:rFonts w:hint="eastAsia" w:ascii="Times New Roman" w:hAnsi="Times New Roman" w:eastAsia="仿宋_GB2312" w:cs="仿宋_GB2312"/>
          <w:sz w:val="32"/>
          <w:szCs w:val="32"/>
        </w:rPr>
        <w:t>所需的公务用车燃料费、维修费、过路过桥费、保险费等支出。</w:t>
      </w:r>
    </w:p>
    <w:p w14:paraId="57D8B32B">
      <w:pPr>
        <w:spacing w:line="600" w:lineRule="exact"/>
        <w:ind w:firstLine="640"/>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5.03</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年度增加0.82万元，增长19.48%。</w:t>
      </w:r>
      <w:r>
        <w:rPr>
          <w:rFonts w:hint="eastAsia" w:ascii="Times New Roman" w:hAnsi="Times New Roman" w:eastAsia="仿宋_GB2312" w:cs="仿宋_GB2312"/>
          <w:sz w:val="32"/>
          <w:szCs w:val="32"/>
        </w:rPr>
        <w:t>主要原因是公务接待增加。其中：国内公务接待支</w:t>
      </w:r>
      <w:r>
        <w:rPr>
          <w:rFonts w:hint="eastAsia" w:ascii="仿宋_GB2312" w:hAnsi="仿宋_GB2312" w:eastAsia="仿宋_GB2312" w:cs="仿宋_GB2312"/>
          <w:sz w:val="32"/>
          <w:szCs w:val="32"/>
        </w:rPr>
        <w:t>出</w:t>
      </w:r>
      <w:r>
        <w:rPr>
          <w:rFonts w:hint="eastAsia" w:ascii="仿宋_GB2312" w:hAnsi="仿宋_GB2312" w:eastAsia="仿宋_GB2312" w:cs="仿宋_GB2312"/>
          <w:sz w:val="32"/>
          <w:szCs w:val="32"/>
          <w:lang w:val="en-US" w:eastAsia="zh-CN"/>
        </w:rPr>
        <w:t>5.03</w:t>
      </w:r>
      <w:r>
        <w:rPr>
          <w:rFonts w:hint="eastAsia" w:ascii="仿宋_GB2312" w:hAnsi="仿宋_GB2312" w:eastAsia="仿宋_GB2312" w:cs="仿宋_GB2312"/>
          <w:sz w:val="32"/>
          <w:szCs w:val="32"/>
        </w:rPr>
        <w:t>万</w:t>
      </w:r>
      <w:r>
        <w:rPr>
          <w:rFonts w:hint="eastAsia" w:ascii="Times New Roman" w:hAnsi="Times New Roman" w:eastAsia="仿宋_GB2312" w:cs="仿宋_GB2312"/>
          <w:sz w:val="32"/>
          <w:szCs w:val="32"/>
        </w:rPr>
        <w:t>元，主要用于</w:t>
      </w:r>
      <w:r>
        <w:rPr>
          <w:rFonts w:hint="eastAsia" w:eastAsia="仿宋_GB2312"/>
          <w:color w:val="000000"/>
          <w:sz w:val="32"/>
          <w:szCs w:val="32"/>
        </w:rPr>
        <w:t>自然资源、</w:t>
      </w:r>
      <w:r>
        <w:rPr>
          <w:rFonts w:hint="eastAsia" w:eastAsia="仿宋_GB2312"/>
          <w:color w:val="000000"/>
          <w:sz w:val="32"/>
          <w:szCs w:val="32"/>
          <w:lang w:val="en-US" w:eastAsia="zh-CN"/>
        </w:rPr>
        <w:t>确权登记、</w:t>
      </w:r>
      <w:r>
        <w:rPr>
          <w:rFonts w:hint="eastAsia" w:eastAsia="仿宋_GB2312"/>
          <w:color w:val="000000"/>
          <w:sz w:val="32"/>
          <w:szCs w:val="32"/>
        </w:rPr>
        <w:t>规划及</w:t>
      </w:r>
      <w:r>
        <w:rPr>
          <w:rFonts w:hint="eastAsia" w:eastAsia="仿宋_GB2312"/>
          <w:color w:val="000000"/>
          <w:sz w:val="32"/>
          <w:szCs w:val="32"/>
          <w:lang w:eastAsia="zh-CN"/>
        </w:rPr>
        <w:t>地质灾害</w:t>
      </w:r>
      <w:r>
        <w:rPr>
          <w:rFonts w:hint="eastAsia" w:eastAsia="仿宋_GB2312"/>
          <w:color w:val="000000"/>
          <w:sz w:val="32"/>
          <w:szCs w:val="32"/>
        </w:rPr>
        <w:t>等</w:t>
      </w:r>
      <w:r>
        <w:rPr>
          <w:rFonts w:hint="eastAsia" w:ascii="Times New Roman" w:hAnsi="Times New Roman" w:eastAsia="仿宋_GB2312" w:cs="仿宋_GB2312"/>
          <w:sz w:val="32"/>
          <w:szCs w:val="32"/>
        </w:rPr>
        <w:t>执行公务、开展业务活动开支的交通费、住宿费、用餐费等。国内公务接</w:t>
      </w:r>
      <w:r>
        <w:rPr>
          <w:rFonts w:hint="eastAsia" w:ascii="仿宋_GB2312" w:hAnsi="仿宋_GB2312" w:eastAsia="仿宋_GB2312" w:cs="仿宋_GB2312"/>
          <w:sz w:val="32"/>
          <w:szCs w:val="32"/>
        </w:rPr>
        <w:t>待44批次、394人次</w:t>
      </w:r>
      <w:r>
        <w:rPr>
          <w:rFonts w:hint="eastAsia" w:ascii="Times New Roman" w:hAnsi="Times New Roman" w:eastAsia="仿宋_GB2312" w:cs="仿宋_GB2312"/>
          <w:sz w:val="32"/>
          <w:szCs w:val="32"/>
        </w:rPr>
        <w:t>（不包括陪同人员），共计支出</w:t>
      </w:r>
      <w:r>
        <w:rPr>
          <w:rFonts w:hint="eastAsia" w:ascii="Times New Roman" w:hAnsi="Times New Roman" w:eastAsia="仿宋_GB2312" w:cs="仿宋_GB2312"/>
          <w:sz w:val="32"/>
          <w:szCs w:val="32"/>
          <w:lang w:val="en-US" w:eastAsia="zh-CN"/>
        </w:rPr>
        <w:t>5.03</w:t>
      </w:r>
      <w:r>
        <w:rPr>
          <w:rFonts w:hint="eastAsia" w:ascii="Times New Roman" w:hAnsi="Times New Roman" w:eastAsia="仿宋_GB2312" w:cs="仿宋_GB2312"/>
          <w:sz w:val="32"/>
          <w:szCs w:val="32"/>
        </w:rPr>
        <w:t>万元</w:t>
      </w:r>
      <w:r>
        <w:rPr>
          <w:rFonts w:hint="eastAsia" w:ascii="Times New Roman" w:hAnsi="Times New Roman" w:eastAsia="仿宋_GB2312" w:cs="仿宋_GB2312"/>
          <w:sz w:val="32"/>
          <w:szCs w:val="32"/>
          <w:lang w:eastAsia="zh-CN"/>
        </w:rPr>
        <w:t>。</w:t>
      </w:r>
    </w:p>
    <w:p w14:paraId="72FE5ABC">
      <w:pPr>
        <w:spacing w:line="600" w:lineRule="exact"/>
        <w:ind w:firstLine="640"/>
        <w:rPr>
          <w:rFonts w:hint="eastAsia" w:ascii="Times New Roman" w:hAnsi="Times New Roman" w:eastAsia="方正仿宋_GBK" w:cs="Times New Roman"/>
          <w:sz w:val="32"/>
          <w:szCs w:val="32"/>
          <w:lang w:val="en-US" w:eastAsia="zh-CN"/>
        </w:rPr>
      </w:pPr>
      <w:r>
        <w:rPr>
          <w:rFonts w:eastAsia="仿宋_GB2312"/>
          <w:b/>
          <w:bCs/>
          <w:sz w:val="32"/>
          <w:szCs w:val="32"/>
        </w:rPr>
        <w:t>具体内容包括：</w:t>
      </w:r>
      <w:r>
        <w:rPr>
          <w:rFonts w:eastAsia="仿宋_GB2312"/>
          <w:sz w:val="32"/>
          <w:szCs w:val="32"/>
        </w:rPr>
        <w:t>接待成都理工大学来攀对接常隆庆120周年纪念活动一行8人接待费0.16万元；接待四川省地质局来攀交流对接工作一行16人接待费0.29万元；接待省厅矿保处调研攀枝花钒钛磁铁矿有关工作一行7人接待费0.14万元；接待省厅督察办来攀开展实地复查中央生态环境保护督察反馈问题整改工作一行2人接待费0.05万元；接待常隆庆长孙一行2人接待费0.09万元（含住宿费0.06万元）；接待四川省自然资源资料馆开展自然资源档案数字化转型工作一行4人接待费0.09万元；接待四川省测绘地理信息局来攀开展调研工作一行6人接待费0.12万元；接待省厅执法局开展交叉核查工作一行9人接待费0.13万元；接待巴中市自然资源和规划局来攀考察学习一行6人接待费0.12万元；接待省厅人事处来攀开展公务活动一行3人接待费0.11万元；接待国家自然资源督察局成都局</w:t>
      </w:r>
      <w:r>
        <w:rPr>
          <w:rFonts w:hint="eastAsia" w:eastAsia="仿宋_GB2312"/>
          <w:sz w:val="32"/>
          <w:szCs w:val="32"/>
          <w:lang w:eastAsia="zh-CN"/>
        </w:rPr>
        <w:t>开展2025年度</w:t>
      </w:r>
      <w:r>
        <w:rPr>
          <w:rFonts w:eastAsia="仿宋_GB2312"/>
          <w:sz w:val="32"/>
          <w:szCs w:val="32"/>
        </w:rPr>
        <w:t>例行督察工作一行5人接待费0.14万元；接待四川钒钛产业投资发展集团开展红格南钒钛磁铁矿开发利用调研一行9人接待费0.18万元；接待省厅来攀开展矿产资源勘查开发实地调研一行8人接待费0.2万元；接待省厅赴攀开展用地审批业务培训一行3人接待费0.12万元；接待乐山自规局赴攀调研一行6人接待费0.5万元；接待自然资源部矿保司和厅矿保处来攀开展攀西地区矿产资源调研一行7人接待费0.17万元；接待省不动产登记中心来攀开展集中整治不动产登记“难”问题工作调研一行3人接待费0.04万元；接待省厅调监处来攀开展耕林园空间治理</w:t>
      </w:r>
      <w:r>
        <w:rPr>
          <w:rFonts w:hint="eastAsia" w:eastAsia="仿宋_GB2312"/>
          <w:sz w:val="32"/>
          <w:szCs w:val="32"/>
          <w:lang w:eastAsia="zh-CN"/>
        </w:rPr>
        <w:t>“一张图”</w:t>
      </w:r>
      <w:r>
        <w:rPr>
          <w:rFonts w:eastAsia="仿宋_GB2312"/>
          <w:sz w:val="32"/>
          <w:szCs w:val="32"/>
        </w:rPr>
        <w:t>建设一阶段调研一行4人</w:t>
      </w:r>
      <w:r>
        <w:rPr>
          <w:rFonts w:hint="eastAsia" w:eastAsia="仿宋_GB2312"/>
          <w:sz w:val="32"/>
          <w:szCs w:val="32"/>
          <w:lang w:eastAsia="zh-CN"/>
        </w:rPr>
        <w:t>，接待费</w:t>
      </w:r>
      <w:r>
        <w:rPr>
          <w:rFonts w:eastAsia="仿宋_GB2312"/>
          <w:sz w:val="32"/>
          <w:szCs w:val="32"/>
        </w:rPr>
        <w:t>0.11万元；接待省厅地灾防治处来攀开展世运会期间地灾防治、集中整治不动产登记难工作调研一行5人接待费0.12万元；接待省厅国土空间规划局来攀开展国土空间规划</w:t>
      </w:r>
      <w:r>
        <w:rPr>
          <w:rFonts w:hint="eastAsia" w:eastAsia="仿宋_GB2312"/>
          <w:sz w:val="32"/>
          <w:szCs w:val="32"/>
          <w:lang w:eastAsia="zh-CN"/>
        </w:rPr>
        <w:t>工作</w:t>
      </w:r>
      <w:r>
        <w:rPr>
          <w:rFonts w:eastAsia="仿宋_GB2312"/>
          <w:sz w:val="32"/>
          <w:szCs w:val="32"/>
        </w:rPr>
        <w:t>情况调研一行5人接待费0.05万元；接待省矿产资源储量评审中心来攀实地核查开采信息工作一行4人接待费0.09万元；接待省测绘局赴攀开展测绘地理信息管理与应用情况调研一行4人接待费0.08万元；接待省厅开展</w:t>
      </w:r>
      <w:r>
        <w:rPr>
          <w:rFonts w:hint="eastAsia" w:eastAsia="仿宋_GB2312"/>
          <w:sz w:val="32"/>
          <w:szCs w:val="32"/>
          <w:lang w:eastAsia="zh-CN"/>
        </w:rPr>
        <w:t>《中华人民共和国矿产资源法实施条例》</w:t>
      </w:r>
      <w:r>
        <w:rPr>
          <w:rFonts w:eastAsia="仿宋_GB2312"/>
          <w:sz w:val="32"/>
          <w:szCs w:val="32"/>
        </w:rPr>
        <w:t>专题调研一行7人接待费0.2万元；接待省厅宣教中心赴攀开展征订及理事会建设工作一行3人接待费0.09万元；接待省厅开展人事干部工作一行3人接待费0.13万元；接待省国土整治中心来攀开展土地综合整治和永久基本农田保护调研工作一行4人接待费0.13万元；接待省政府参事、省社会主义学院来攀开展新一轮找矿突破战略行动课题研究一行9人接待费0.24</w:t>
      </w:r>
      <w:r>
        <w:rPr>
          <w:rFonts w:hint="eastAsia" w:eastAsia="仿宋_GB2312"/>
          <w:sz w:val="32"/>
          <w:szCs w:val="32"/>
          <w:lang w:eastAsia="zh-CN"/>
        </w:rPr>
        <w:t>万元</w:t>
      </w:r>
      <w:r>
        <w:rPr>
          <w:rFonts w:eastAsia="仿宋_GB2312"/>
          <w:sz w:val="32"/>
          <w:szCs w:val="32"/>
        </w:rPr>
        <w:t>；接待自然资源部及察隅县赴攀考察乡村振兴工作一行13人接待费0.23万元；接待自然资源部及省厅开展矿业权出让收益和占用费相关政策专题调研一行11人接待费0.18万元</w:t>
      </w:r>
      <w:r>
        <w:rPr>
          <w:rFonts w:hint="eastAsia" w:eastAsia="仿宋_GB2312"/>
          <w:sz w:val="32"/>
          <w:szCs w:val="32"/>
          <w:lang w:eastAsia="zh-CN"/>
        </w:rPr>
        <w:t>；</w:t>
      </w:r>
      <w:r>
        <w:rPr>
          <w:rFonts w:hint="default" w:ascii="Times New Roman" w:hAnsi="Times New Roman" w:eastAsia="方正仿宋_GBK" w:cs="Times New Roman"/>
          <w:sz w:val="32"/>
          <w:szCs w:val="32"/>
        </w:rPr>
        <w:t>接待</w:t>
      </w:r>
      <w:r>
        <w:rPr>
          <w:rFonts w:hint="default" w:ascii="Times New Roman" w:hAnsi="Times New Roman" w:eastAsia="方正仿宋_GBK" w:cs="Times New Roman"/>
          <w:sz w:val="32"/>
          <w:szCs w:val="32"/>
          <w:lang w:eastAsia="zh-CN"/>
        </w:rPr>
        <w:t>厅自然资源确权登记局</w:t>
      </w:r>
      <w:r>
        <w:rPr>
          <w:rFonts w:hint="default" w:ascii="Times New Roman" w:hAnsi="Times New Roman" w:eastAsia="方正仿宋_GBK" w:cs="Times New Roman"/>
          <w:sz w:val="32"/>
          <w:szCs w:val="32"/>
        </w:rPr>
        <w:t>来攀开展</w:t>
      </w:r>
      <w:r>
        <w:rPr>
          <w:rFonts w:hint="default" w:ascii="Times New Roman" w:hAnsi="Times New Roman" w:eastAsia="方正仿宋_GBK" w:cs="Times New Roman"/>
          <w:sz w:val="32"/>
          <w:szCs w:val="32"/>
          <w:lang w:val="en-US" w:eastAsia="zh-CN"/>
        </w:rPr>
        <w:t>房地一体核查及</w:t>
      </w:r>
      <w:r>
        <w:rPr>
          <w:rFonts w:hint="eastAsia" w:eastAsia="方正仿宋_GBK" w:cs="Times New Roman"/>
          <w:sz w:val="32"/>
          <w:szCs w:val="32"/>
          <w:lang w:val="en-US" w:eastAsia="zh-CN"/>
        </w:rPr>
        <w:t>保交房、保交楼等调研</w:t>
      </w:r>
      <w:r>
        <w:rPr>
          <w:rFonts w:hint="default" w:ascii="Times New Roman" w:hAnsi="Times New Roman" w:eastAsia="方正仿宋_GBK" w:cs="Times New Roman"/>
          <w:sz w:val="32"/>
          <w:szCs w:val="32"/>
        </w:rPr>
        <w:t>一行4人</w:t>
      </w:r>
      <w:r>
        <w:rPr>
          <w:rFonts w:hint="eastAsia" w:eastAsia="方正仿宋_GBK" w:cs="Times New Roman"/>
          <w:sz w:val="32"/>
          <w:szCs w:val="32"/>
          <w:lang w:eastAsia="zh-CN"/>
        </w:rPr>
        <w:t>，陪餐</w:t>
      </w:r>
      <w:r>
        <w:rPr>
          <w:rFonts w:hint="eastAsia" w:eastAsia="方正仿宋_GBK" w:cs="Times New Roman"/>
          <w:sz w:val="32"/>
          <w:szCs w:val="32"/>
          <w:lang w:val="en-US" w:eastAsia="zh-CN"/>
        </w:rPr>
        <w:t>3人，</w:t>
      </w:r>
      <w:r>
        <w:rPr>
          <w:rFonts w:hint="default" w:ascii="Times New Roman" w:hAnsi="Times New Roman" w:eastAsia="方正仿宋_GBK" w:cs="Times New Roman"/>
          <w:sz w:val="32"/>
          <w:szCs w:val="32"/>
        </w:rPr>
        <w:t>接待费0.09万元</w:t>
      </w:r>
      <w:r>
        <w:rPr>
          <w:rFonts w:hint="default" w:ascii="Times New Roman" w:hAnsi="Times New Roman" w:eastAsia="方正仿宋_GBK" w:cs="Times New Roman"/>
          <w:sz w:val="32"/>
          <w:szCs w:val="32"/>
          <w:lang w:eastAsia="zh-CN"/>
        </w:rPr>
        <w:t>；接待广元市不动产登记中心来攀考察学习交流等</w:t>
      </w:r>
      <w:r>
        <w:rPr>
          <w:rFonts w:hint="default" w:ascii="Times New Roman" w:hAnsi="Times New Roman" w:eastAsia="方正仿宋_GBK" w:cs="Times New Roman"/>
          <w:sz w:val="32"/>
          <w:szCs w:val="32"/>
          <w:lang w:val="en-US" w:eastAsia="zh-CN"/>
        </w:rPr>
        <w:t>1人</w:t>
      </w:r>
      <w:r>
        <w:rPr>
          <w:rFonts w:hint="eastAsia" w:eastAsia="方正仿宋_GBK" w:cs="Times New Roman"/>
          <w:sz w:val="32"/>
          <w:szCs w:val="32"/>
          <w:lang w:val="en-US" w:eastAsia="zh-CN"/>
        </w:rPr>
        <w:t>，陪餐3人，</w:t>
      </w:r>
      <w:r>
        <w:rPr>
          <w:rFonts w:hint="default" w:ascii="Times New Roman" w:hAnsi="Times New Roman" w:eastAsia="方正仿宋_GBK" w:cs="Times New Roman"/>
          <w:sz w:val="32"/>
          <w:szCs w:val="32"/>
          <w:lang w:val="en-US" w:eastAsia="zh-CN"/>
        </w:rPr>
        <w:t>接待费0.04万元</w:t>
      </w:r>
      <w:r>
        <w:rPr>
          <w:rFonts w:hint="eastAsia" w:eastAsia="方正仿宋_GBK" w:cs="Times New Roman"/>
          <w:sz w:val="32"/>
          <w:szCs w:val="32"/>
          <w:lang w:val="en-US" w:eastAsia="zh-CN"/>
        </w:rPr>
        <w:t>；</w:t>
      </w:r>
      <w:r>
        <w:rPr>
          <w:rFonts w:hint="eastAsia" w:eastAsia="仿宋_GB2312" w:cs="仿宋_GB2312"/>
          <w:color w:val="auto"/>
          <w:kern w:val="2"/>
          <w:sz w:val="32"/>
          <w:szCs w:val="32"/>
          <w:highlight w:val="none"/>
          <w:lang w:val="en-US" w:eastAsia="zh-CN" w:bidi="ar-SA"/>
        </w:rPr>
        <w:t>市局督导检查打击私挖乱采矿产资源工作，支出0.06万元；省厅综合执法监督局到西区格里坪镇核查土地矿产卫片执法图斑，支出0.09万元；市级督导组检查耕地“非农化”问题，支出0.04万元；</w:t>
      </w:r>
      <w:r>
        <w:rPr>
          <w:rFonts w:hint="eastAsia" w:eastAsia="仿宋_GB2312" w:cs="Times New Roman"/>
          <w:sz w:val="32"/>
          <w:szCs w:val="32"/>
          <w:lang w:eastAsia="zh-CN"/>
        </w:rPr>
        <w:t>广元市朝天区人民政府来攀考察学习规划管理先进经验，接待人数</w:t>
      </w:r>
      <w:r>
        <w:rPr>
          <w:rFonts w:hint="eastAsia" w:eastAsia="仿宋_GB2312" w:cs="Times New Roman"/>
          <w:sz w:val="32"/>
          <w:szCs w:val="32"/>
          <w:lang w:val="en-US" w:eastAsia="zh-CN"/>
        </w:rPr>
        <w:t>11人，</w:t>
      </w:r>
      <w:r>
        <w:rPr>
          <w:rFonts w:hint="default" w:ascii="Times New Roman" w:hAnsi="Times New Roman" w:eastAsia="仿宋_GB2312" w:cs="Times New Roman"/>
          <w:sz w:val="32"/>
          <w:szCs w:val="32"/>
        </w:rPr>
        <w:t>接待用餐</w:t>
      </w:r>
      <w:r>
        <w:rPr>
          <w:rFonts w:hint="eastAsia" w:eastAsia="仿宋_GB2312" w:cs="Times New Roman"/>
          <w:sz w:val="32"/>
          <w:szCs w:val="32"/>
          <w:lang w:eastAsia="zh-CN"/>
        </w:rPr>
        <w:t>费</w:t>
      </w:r>
      <w:r>
        <w:rPr>
          <w:rFonts w:hint="default" w:ascii="Times New Roman" w:hAnsi="Times New Roman" w:eastAsia="仿宋_GB2312" w:cs="Times New Roman"/>
          <w:sz w:val="32"/>
          <w:szCs w:val="32"/>
        </w:rPr>
        <w:t>0.</w:t>
      </w:r>
      <w:r>
        <w:rPr>
          <w:rFonts w:hint="eastAsia" w:eastAsia="仿宋_GB2312" w:cs="Times New Roman"/>
          <w:sz w:val="32"/>
          <w:szCs w:val="32"/>
          <w:lang w:val="en-US" w:eastAsia="zh-CN"/>
        </w:rPr>
        <w:t>15</w:t>
      </w:r>
      <w:r>
        <w:rPr>
          <w:rFonts w:hint="default" w:ascii="Times New Roman" w:hAnsi="Times New Roman" w:eastAsia="仿宋_GB2312" w:cs="Times New Roman"/>
          <w:sz w:val="32"/>
          <w:szCs w:val="32"/>
        </w:rPr>
        <w:t>万元</w:t>
      </w:r>
      <w:r>
        <w:rPr>
          <w:rFonts w:hint="eastAsia" w:eastAsia="仿宋_GB2312" w:cs="Times New Roman"/>
          <w:sz w:val="32"/>
          <w:szCs w:val="32"/>
          <w:lang w:eastAsia="zh-CN"/>
        </w:rPr>
        <w:t>；</w:t>
      </w:r>
      <w:r>
        <w:rPr>
          <w:rFonts w:hint="eastAsia" w:eastAsia="仿宋_GB2312" w:cs="Times New Roman"/>
          <w:sz w:val="32"/>
          <w:szCs w:val="32"/>
          <w:lang w:val="en-US" w:eastAsia="zh-CN"/>
        </w:rPr>
        <w:t>省自然资源厅专家组到东区开展矿业人勘查开采信息管理实地核查工作，接待人数3人，</w:t>
      </w:r>
      <w:r>
        <w:rPr>
          <w:rFonts w:hint="default" w:ascii="Times New Roman" w:hAnsi="Times New Roman" w:eastAsia="仿宋_GB2312" w:cs="Times New Roman"/>
          <w:sz w:val="32"/>
          <w:szCs w:val="32"/>
        </w:rPr>
        <w:t>接待用餐</w:t>
      </w:r>
      <w:r>
        <w:rPr>
          <w:rFonts w:hint="eastAsia" w:eastAsia="仿宋_GB2312" w:cs="Times New Roman"/>
          <w:sz w:val="32"/>
          <w:szCs w:val="32"/>
          <w:lang w:eastAsia="zh-CN"/>
        </w:rPr>
        <w:t>费</w:t>
      </w:r>
      <w:r>
        <w:rPr>
          <w:rFonts w:hint="default" w:ascii="Times New Roman" w:hAnsi="Times New Roman" w:eastAsia="仿宋_GB2312" w:cs="Times New Roman"/>
          <w:sz w:val="32"/>
          <w:szCs w:val="32"/>
        </w:rPr>
        <w:t>0.</w:t>
      </w:r>
      <w:r>
        <w:rPr>
          <w:rFonts w:hint="eastAsia" w:eastAsia="仿宋_GB2312" w:cs="Times New Roman"/>
          <w:sz w:val="32"/>
          <w:szCs w:val="32"/>
          <w:lang w:val="en-US" w:eastAsia="zh-CN"/>
        </w:rPr>
        <w:t>08</w:t>
      </w:r>
      <w:r>
        <w:rPr>
          <w:rFonts w:hint="default" w:ascii="Times New Roman" w:hAnsi="Times New Roman" w:eastAsia="仿宋_GB2312" w:cs="Times New Roman"/>
          <w:sz w:val="32"/>
          <w:szCs w:val="32"/>
        </w:rPr>
        <w:t>万元</w:t>
      </w:r>
      <w:r>
        <w:rPr>
          <w:rFonts w:hint="eastAsia" w:eastAsia="仿宋_GB2312" w:cs="Times New Roman"/>
          <w:sz w:val="32"/>
          <w:szCs w:val="32"/>
          <w:lang w:val="en-US" w:eastAsia="zh-CN"/>
        </w:rPr>
        <w:t>；</w:t>
      </w:r>
      <w:r>
        <w:rPr>
          <w:rFonts w:hint="eastAsia" w:eastAsia="仿宋_GB2312" w:cs="仿宋_GB2312"/>
          <w:sz w:val="32"/>
          <w:szCs w:val="32"/>
        </w:rPr>
        <w:t>省自然资源厅</w:t>
      </w:r>
      <w:r>
        <w:rPr>
          <w:rFonts w:hint="eastAsia" w:eastAsia="仿宋_GB2312" w:cs="仿宋_GB2312"/>
          <w:sz w:val="32"/>
          <w:szCs w:val="32"/>
          <w:lang w:eastAsia="zh-CN"/>
        </w:rPr>
        <w:t>对仁和区</w:t>
      </w:r>
      <w:r>
        <w:rPr>
          <w:rFonts w:hint="eastAsia" w:eastAsia="仿宋_GB2312" w:cs="仿宋_GB2312"/>
          <w:sz w:val="32"/>
          <w:szCs w:val="32"/>
        </w:rPr>
        <w:t>自然资源领域重点违法行为</w:t>
      </w:r>
      <w:r>
        <w:rPr>
          <w:rFonts w:hint="eastAsia" w:eastAsia="仿宋_GB2312" w:cs="仿宋_GB2312"/>
          <w:sz w:val="32"/>
          <w:szCs w:val="32"/>
          <w:lang w:eastAsia="zh-CN"/>
        </w:rPr>
        <w:t>进行交叉</w:t>
      </w:r>
      <w:r>
        <w:rPr>
          <w:rFonts w:hint="eastAsia" w:eastAsia="仿宋_GB2312" w:cs="仿宋_GB2312"/>
          <w:sz w:val="32"/>
          <w:szCs w:val="32"/>
        </w:rPr>
        <w:t>检查接待10人，</w:t>
      </w:r>
      <w:r>
        <w:rPr>
          <w:rFonts w:hint="eastAsia" w:eastAsia="仿宋_GB2312" w:cs="仿宋_GB2312"/>
          <w:sz w:val="32"/>
          <w:szCs w:val="32"/>
          <w:lang w:eastAsia="zh-CN"/>
        </w:rPr>
        <w:t>支出0</w:t>
      </w:r>
      <w:r>
        <w:rPr>
          <w:rFonts w:hint="eastAsia" w:eastAsia="仿宋_GB2312" w:cs="仿宋_GB2312"/>
          <w:sz w:val="32"/>
          <w:szCs w:val="32"/>
          <w:lang w:val="en-US" w:eastAsia="zh-CN"/>
        </w:rPr>
        <w:t>.11万元；巴中市自然资源局赴攀交流学习12人，0.07万元；省自然资源确权登记局关于协助开展保交房调研工作11人。0.09万元；市局年度规划实施管理监督检查9人，0.05万元；市政府督导检查防汛减灾、地灾防治工作7人，0.1万元；省厅土整中心调研仁和区耕地保护和田长制工作6人，0.04万元；成都督察局赴攀开展问题图斑现场核实4人，0.04万元；省自然资源厅开展自然资源督察工作9人，0.1万元；</w:t>
      </w:r>
      <w:r>
        <w:rPr>
          <w:rFonts w:hint="eastAsia" w:eastAsia="仿宋_GB2312" w:cs="Times New Roman"/>
          <w:sz w:val="32"/>
          <w:szCs w:val="32"/>
          <w:lang w:eastAsia="zh-CN"/>
        </w:rPr>
        <w:t>广元市朝天区人民政府来攀考察学习规划管理先进经验，接待人数</w:t>
      </w:r>
      <w:r>
        <w:rPr>
          <w:rFonts w:hint="eastAsia" w:eastAsia="仿宋_GB2312" w:cs="Times New Roman"/>
          <w:sz w:val="32"/>
          <w:szCs w:val="32"/>
          <w:lang w:val="en-US" w:eastAsia="zh-CN"/>
        </w:rPr>
        <w:t>11人，</w:t>
      </w:r>
      <w:r>
        <w:rPr>
          <w:rFonts w:hint="default" w:ascii="Times New Roman" w:hAnsi="Times New Roman" w:eastAsia="仿宋_GB2312" w:cs="Times New Roman"/>
          <w:sz w:val="32"/>
          <w:szCs w:val="32"/>
        </w:rPr>
        <w:t>接待用餐</w:t>
      </w:r>
      <w:r>
        <w:rPr>
          <w:rFonts w:hint="eastAsia" w:eastAsia="仿宋_GB2312" w:cs="Times New Roman"/>
          <w:sz w:val="32"/>
          <w:szCs w:val="32"/>
          <w:lang w:eastAsia="zh-CN"/>
        </w:rPr>
        <w:t>费</w:t>
      </w:r>
      <w:r>
        <w:rPr>
          <w:rFonts w:hint="default" w:ascii="Times New Roman" w:hAnsi="Times New Roman" w:eastAsia="仿宋_GB2312" w:cs="Times New Roman"/>
          <w:sz w:val="32"/>
          <w:szCs w:val="32"/>
        </w:rPr>
        <w:t>0.</w:t>
      </w:r>
      <w:r>
        <w:rPr>
          <w:rFonts w:hint="eastAsia" w:eastAsia="仿宋_GB2312" w:cs="Times New Roman"/>
          <w:sz w:val="32"/>
          <w:szCs w:val="32"/>
          <w:lang w:val="en-US" w:eastAsia="zh-CN"/>
        </w:rPr>
        <w:t>15</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w:t>
      </w:r>
      <w:r>
        <w:rPr>
          <w:rFonts w:hint="eastAsia" w:eastAsia="仿宋_GB2312" w:cs="Times New Roman"/>
          <w:sz w:val="32"/>
          <w:szCs w:val="32"/>
          <w:lang w:val="en-US" w:eastAsia="zh-CN"/>
        </w:rPr>
        <w:t>省自然资源厅专家组到东区开展矿业人勘查开采信息管理实地核查工作，接待人数3人，</w:t>
      </w:r>
      <w:r>
        <w:rPr>
          <w:rFonts w:hint="default" w:ascii="Times New Roman" w:hAnsi="Times New Roman" w:eastAsia="仿宋_GB2312" w:cs="Times New Roman"/>
          <w:sz w:val="32"/>
          <w:szCs w:val="32"/>
        </w:rPr>
        <w:t>接待用餐</w:t>
      </w:r>
      <w:r>
        <w:rPr>
          <w:rFonts w:hint="eastAsia" w:eastAsia="仿宋_GB2312" w:cs="Times New Roman"/>
          <w:sz w:val="32"/>
          <w:szCs w:val="32"/>
          <w:lang w:eastAsia="zh-CN"/>
        </w:rPr>
        <w:t>费</w:t>
      </w:r>
      <w:r>
        <w:rPr>
          <w:rFonts w:hint="default" w:ascii="Times New Roman" w:hAnsi="Times New Roman" w:eastAsia="仿宋_GB2312" w:cs="Times New Roman"/>
          <w:sz w:val="32"/>
          <w:szCs w:val="32"/>
        </w:rPr>
        <w:t>0.</w:t>
      </w:r>
      <w:r>
        <w:rPr>
          <w:rFonts w:hint="eastAsia" w:eastAsia="仿宋_GB2312" w:cs="Times New Roman"/>
          <w:sz w:val="32"/>
          <w:szCs w:val="32"/>
          <w:lang w:val="en-US" w:eastAsia="zh-CN"/>
        </w:rPr>
        <w:t>08</w:t>
      </w:r>
      <w:r>
        <w:rPr>
          <w:rFonts w:hint="default" w:ascii="Times New Roman" w:hAnsi="Times New Roman" w:eastAsia="仿宋_GB2312" w:cs="Times New Roman"/>
          <w:sz w:val="32"/>
          <w:szCs w:val="32"/>
        </w:rPr>
        <w:t>万元</w:t>
      </w:r>
      <w:r>
        <w:rPr>
          <w:rFonts w:hint="eastAsia" w:eastAsia="仿宋_GB2312" w:cs="Times New Roman"/>
          <w:sz w:val="32"/>
          <w:szCs w:val="32"/>
          <w:lang w:val="en-US" w:eastAsia="zh-CN"/>
        </w:rPr>
        <w:t>。</w:t>
      </w:r>
    </w:p>
    <w:p w14:paraId="1EEAA16C">
      <w:pPr>
        <w:spacing w:line="600" w:lineRule="exact"/>
        <w:ind w:firstLine="640"/>
        <w:outlineLvl w:val="1"/>
        <w:rPr>
          <w:rFonts w:hint="eastAsia" w:ascii="Times New Roman" w:hAnsi="Times New Roman" w:eastAsia="仿宋_GB2312" w:cs="仿宋_GB2312"/>
          <w:color w:val="auto"/>
          <w:kern w:val="2"/>
          <w:sz w:val="32"/>
          <w:szCs w:val="32"/>
          <w:highlight w:val="none"/>
          <w:lang w:val="en-US" w:eastAsia="zh-CN" w:bidi="ar-SA"/>
        </w:rPr>
      </w:pPr>
      <w:bookmarkStart w:id="67" w:name="_Toc4708"/>
      <w:bookmarkStart w:id="68" w:name="_Toc15377218"/>
      <w:bookmarkStart w:id="69" w:name="_Toc15396610"/>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人次（不包括陪同人员），共计支出0万元。</w:t>
      </w:r>
      <w:bookmarkEnd w:id="67"/>
    </w:p>
    <w:p w14:paraId="3E078118">
      <w:pPr>
        <w:spacing w:line="600" w:lineRule="exact"/>
        <w:ind w:firstLine="640"/>
        <w:outlineLvl w:val="1"/>
        <w:rPr>
          <w:rStyle w:val="34"/>
          <w:rFonts w:ascii="Times New Roman" w:hAnsi="Times New Roman" w:eastAsia="黑体"/>
          <w:color w:val="auto"/>
          <w:highlight w:val="none"/>
        </w:rPr>
      </w:pPr>
      <w:bookmarkStart w:id="70" w:name="_Toc12742"/>
      <w:r>
        <w:rPr>
          <w:rFonts w:hint="eastAsia" w:ascii="Times New Roman" w:hAnsi="Times New Roman" w:eastAsia="黑体"/>
          <w:color w:val="auto"/>
          <w:sz w:val="32"/>
          <w:szCs w:val="32"/>
          <w:highlight w:val="none"/>
        </w:rPr>
        <w:t>八、</w:t>
      </w:r>
      <w:r>
        <w:rPr>
          <w:rStyle w:val="34"/>
          <w:rFonts w:hint="eastAsia" w:ascii="Times New Roman" w:hAnsi="Times New Roman" w:eastAsia="黑体"/>
          <w:b w:val="0"/>
          <w:color w:val="auto"/>
          <w:highlight w:val="none"/>
        </w:rPr>
        <w:t>政府性基金预算支出决算情况说明</w:t>
      </w:r>
      <w:bookmarkEnd w:id="68"/>
      <w:bookmarkEnd w:id="69"/>
      <w:bookmarkEnd w:id="70"/>
    </w:p>
    <w:p w14:paraId="17B286D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71" w:name="_Toc15396611"/>
      <w:bookmarkStart w:id="72" w:name="_Toc15377219"/>
      <w:r>
        <w:rPr>
          <w:rFonts w:hint="eastAsia" w:ascii="Times New Roman" w:hAnsi="Times New Roman" w:eastAsia="仿宋_GB2312" w:cs="仿宋_GB2312"/>
          <w:color w:val="auto"/>
          <w:kern w:val="2"/>
          <w:sz w:val="32"/>
          <w:szCs w:val="32"/>
          <w:highlight w:val="none"/>
          <w:lang w:val="en-US" w:eastAsia="zh-CN" w:bidi="ar-SA"/>
        </w:rPr>
        <w:t>2025年度政府性基金预算财政拨款支出373万元，占本年支出合计的0.72%。与上年度相比，政府性基金预算财政拨款支出减少359.85万元，下降49.10%。主要变动原因是：2025年国有土地使用权出让收入安排的支出规模明显下降（城乡社区支出由上年732.85万元降至103.16万元，其中土地开发支出上年491.66万元</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本年不再安排），虽新增其他政府性基金债务收入安排的支出269.84万元，增减相抵后政府性基金预算支出总体仍呈下降</w:t>
      </w:r>
      <w:r>
        <w:rPr>
          <w:rFonts w:hint="eastAsia" w:eastAsia="仿宋_GB2312" w:cs="仿宋_GB2312"/>
          <w:color w:val="auto"/>
          <w:kern w:val="2"/>
          <w:sz w:val="32"/>
          <w:szCs w:val="32"/>
          <w:highlight w:val="none"/>
          <w:lang w:val="en-US" w:eastAsia="zh-CN" w:bidi="ar-SA"/>
        </w:rPr>
        <w:t>态势。</w:t>
      </w:r>
    </w:p>
    <w:p w14:paraId="5A3A0CE6">
      <w:pPr>
        <w:numPr>
          <w:ilvl w:val="0"/>
          <w:numId w:val="0"/>
        </w:numPr>
        <w:spacing w:line="600" w:lineRule="exact"/>
        <w:ind w:left="630" w:leftChars="0"/>
        <w:outlineLvl w:val="1"/>
        <w:rPr>
          <w:rStyle w:val="34"/>
          <w:rFonts w:ascii="Times New Roman" w:hAnsi="Times New Roman" w:eastAsia="黑体"/>
          <w:b w:val="0"/>
          <w:color w:val="auto"/>
          <w:highlight w:val="none"/>
        </w:rPr>
      </w:pPr>
      <w:bookmarkStart w:id="73" w:name="_Toc11105"/>
      <w:r>
        <w:rPr>
          <w:rStyle w:val="34"/>
          <w:rFonts w:hint="eastAsia" w:ascii="Times New Roman" w:hAnsi="Times New Roman" w:eastAsia="黑体"/>
          <w:b w:val="0"/>
          <w:color w:val="auto"/>
          <w:highlight w:val="none"/>
          <w:lang w:eastAsia="zh-CN"/>
        </w:rPr>
        <w:t>九、</w:t>
      </w:r>
      <w:r>
        <w:rPr>
          <w:rStyle w:val="34"/>
          <w:rFonts w:hint="eastAsia" w:ascii="Times New Roman" w:hAnsi="Times New Roman" w:eastAsia="黑体"/>
          <w:b w:val="0"/>
          <w:color w:val="auto"/>
          <w:highlight w:val="none"/>
        </w:rPr>
        <w:t>国有资本经营预算支出决算情况说明</w:t>
      </w:r>
      <w:bookmarkEnd w:id="71"/>
      <w:bookmarkEnd w:id="72"/>
      <w:bookmarkEnd w:id="73"/>
    </w:p>
    <w:p w14:paraId="265DC89D">
      <w:pPr>
        <w:numPr>
          <w:ilvl w:val="0"/>
          <w:numId w:val="0"/>
        </w:numPr>
        <w:spacing w:line="600" w:lineRule="exact"/>
        <w:ind w:left="630" w:leftChars="0"/>
        <w:outlineLvl w:val="1"/>
        <w:rPr>
          <w:rFonts w:hint="eastAsia" w:ascii="Times New Roman" w:hAnsi="Times New Roman" w:eastAsia="仿宋_GB2312" w:cs="仿宋_GB2312"/>
          <w:sz w:val="32"/>
          <w:szCs w:val="32"/>
        </w:rPr>
      </w:pPr>
      <w:bookmarkStart w:id="74" w:name="_Toc12157"/>
      <w:r>
        <w:rPr>
          <w:rFonts w:hint="eastAsia" w:eastAsia="仿宋_GB2312" w:cs="仿宋_GB2312"/>
          <w:color w:val="auto"/>
          <w:kern w:val="2"/>
          <w:sz w:val="32"/>
          <w:szCs w:val="32"/>
          <w:highlight w:val="none"/>
          <w:lang w:val="en-US" w:eastAsia="zh-CN" w:bidi="ar-SA"/>
        </w:rPr>
        <w:t>2025年度</w:t>
      </w:r>
      <w:bookmarkStart w:id="75" w:name="_Toc15377221"/>
      <w:bookmarkStart w:id="76" w:name="_Toc15396612"/>
      <w:r>
        <w:rPr>
          <w:rFonts w:hint="eastAsia" w:ascii="Times New Roman" w:hAnsi="Times New Roman" w:eastAsia="仿宋_GB2312" w:cs="仿宋_GB2312"/>
          <w:sz w:val="32"/>
          <w:szCs w:val="32"/>
        </w:rPr>
        <w:t>国有资本经营预算财政拨款支出0万元，与上</w:t>
      </w:r>
      <w:bookmarkEnd w:id="74"/>
    </w:p>
    <w:p w14:paraId="290A25AB">
      <w:pPr>
        <w:numPr>
          <w:ilvl w:val="0"/>
          <w:numId w:val="0"/>
        </w:numPr>
        <w:spacing w:line="600" w:lineRule="exact"/>
        <w:outlineLvl w:val="1"/>
        <w:rPr>
          <w:rFonts w:hint="eastAsia" w:ascii="Times New Roman" w:hAnsi="Times New Roman" w:eastAsia="仿宋_GB2312" w:cs="仿宋_GB2312"/>
          <w:sz w:val="32"/>
          <w:szCs w:val="32"/>
          <w:lang w:eastAsia="zh-CN"/>
        </w:rPr>
      </w:pPr>
      <w:bookmarkStart w:id="77" w:name="_Toc10189"/>
      <w:r>
        <w:rPr>
          <w:rFonts w:hint="eastAsia" w:ascii="Times New Roman" w:hAnsi="Times New Roman" w:eastAsia="仿宋_GB2312" w:cs="仿宋_GB2312"/>
          <w:sz w:val="32"/>
          <w:szCs w:val="32"/>
        </w:rPr>
        <w:t>年持平</w:t>
      </w:r>
      <w:r>
        <w:rPr>
          <w:rFonts w:hint="eastAsia" w:ascii="Times New Roman" w:hAnsi="Times New Roman" w:eastAsia="仿宋_GB2312" w:cs="仿宋_GB2312"/>
          <w:sz w:val="32"/>
          <w:szCs w:val="32"/>
          <w:lang w:eastAsia="zh-CN"/>
        </w:rPr>
        <w:t>。</w:t>
      </w:r>
      <w:bookmarkEnd w:id="77"/>
    </w:p>
    <w:p w14:paraId="321BF562">
      <w:pPr>
        <w:numPr>
          <w:ilvl w:val="0"/>
          <w:numId w:val="0"/>
        </w:numPr>
        <w:spacing w:line="600" w:lineRule="exact"/>
        <w:ind w:left="630" w:leftChars="0"/>
        <w:outlineLvl w:val="1"/>
        <w:rPr>
          <w:rStyle w:val="34"/>
          <w:rFonts w:hint="eastAsia" w:ascii="Times New Roman" w:hAnsi="Times New Roman" w:eastAsia="黑体"/>
          <w:b w:val="0"/>
          <w:color w:val="auto"/>
          <w:highlight w:val="none"/>
        </w:rPr>
      </w:pPr>
      <w:bookmarkStart w:id="78" w:name="_Toc27301"/>
      <w:r>
        <w:rPr>
          <w:rStyle w:val="34"/>
          <w:rFonts w:hint="eastAsia" w:ascii="Times New Roman" w:hAnsi="Times New Roman" w:eastAsia="黑体"/>
          <w:b w:val="0"/>
          <w:color w:val="auto"/>
          <w:highlight w:val="none"/>
          <w:lang w:eastAsia="zh-CN"/>
        </w:rPr>
        <w:t>十、</w:t>
      </w:r>
      <w:r>
        <w:rPr>
          <w:rStyle w:val="34"/>
          <w:rFonts w:hint="eastAsia" w:ascii="Times New Roman" w:hAnsi="Times New Roman" w:eastAsia="黑体"/>
          <w:b w:val="0"/>
          <w:color w:val="auto"/>
          <w:highlight w:val="none"/>
        </w:rPr>
        <w:t>其他重要事项的情况说明</w:t>
      </w:r>
      <w:bookmarkEnd w:id="75"/>
      <w:bookmarkEnd w:id="76"/>
      <w:bookmarkEnd w:id="78"/>
    </w:p>
    <w:p w14:paraId="7580C38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79" w:name="_Toc15377222"/>
      <w:r>
        <w:rPr>
          <w:rFonts w:hint="eastAsia" w:ascii="Times New Roman" w:hAnsi="Times New Roman" w:eastAsia="楷体_GB2312" w:cs="楷体_GB2312"/>
          <w:b/>
          <w:color w:val="auto"/>
          <w:sz w:val="32"/>
          <w:szCs w:val="32"/>
          <w:highlight w:val="none"/>
        </w:rPr>
        <w:t>（一）机关运行经费支出情况</w:t>
      </w:r>
      <w:bookmarkEnd w:id="79"/>
    </w:p>
    <w:p w14:paraId="235E344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2025年度，攀枝花市自然资源和规划局机关运行经费支出397.96万元，2024年度，攀枝花市自然资源和规划局机关运行经费支出419.42 万元，比上年度减少21.46万元，下降5.12%。主要原因是：严格落实厉行节约有关要求，压缩公用经费开支，办公耗材、公务运维等一般性商品和服务支出有所减少，机关运行经费总体规模有所下降。</w:t>
      </w:r>
    </w:p>
    <w:p w14:paraId="4B75244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80" w:name="_Toc15377223"/>
      <w:r>
        <w:rPr>
          <w:rFonts w:hint="eastAsia" w:ascii="Times New Roman" w:hAnsi="Times New Roman" w:eastAsia="楷体_GB2312" w:cs="楷体_GB2312"/>
          <w:b/>
          <w:color w:val="auto"/>
          <w:sz w:val="32"/>
          <w:szCs w:val="32"/>
          <w:highlight w:val="none"/>
        </w:rPr>
        <w:t>（二）政府采购支出情况</w:t>
      </w:r>
      <w:bookmarkEnd w:id="80"/>
    </w:p>
    <w:p w14:paraId="4A14874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攀枝花市自然资源和规划局</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2177.44</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35.03</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204.03</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1938.39</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ascii="仿宋_GB2312" w:hAnsi="仿宋_GB2312" w:eastAsia="仿宋_GB2312" w:cs="仿宋_GB2312"/>
          <w:sz w:val="32"/>
          <w:szCs w:val="32"/>
        </w:rPr>
        <w:t>主要用于</w:t>
      </w:r>
      <w:r>
        <w:rPr>
          <w:rFonts w:hint="eastAsia" w:ascii="仿宋_GB2312" w:eastAsia="仿宋_GB2312" w:cs="仿宋_GB2312"/>
          <w:sz w:val="32"/>
          <w:szCs w:val="32"/>
        </w:rPr>
        <w:t>开展自然资源、规划、地灾防治等工作。</w:t>
      </w:r>
      <w:r>
        <w:rPr>
          <w:rFonts w:hint="eastAsia" w:ascii="Times New Roman" w:hAnsi="Times New Roman" w:eastAsia="仿宋_GB2312" w:cs="仿宋_GB2312"/>
          <w:color w:val="auto"/>
          <w:kern w:val="2"/>
          <w:sz w:val="32"/>
          <w:szCs w:val="32"/>
          <w:highlight w:val="none"/>
          <w:lang w:val="en-US" w:eastAsia="zh-CN" w:bidi="ar-SA"/>
        </w:rPr>
        <w:t>授予中小企业合同金额</w:t>
      </w:r>
      <w:r>
        <w:rPr>
          <w:rFonts w:hint="eastAsia" w:ascii="仿宋_GB2312" w:hAnsi="仿宋_GB2312" w:eastAsia="仿宋_GB2312" w:cs="仿宋_GB2312"/>
          <w:sz w:val="32"/>
          <w:szCs w:val="32"/>
        </w:rPr>
        <w:t>473.62</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21.75</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259.14</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11.9</w:t>
      </w:r>
      <w:r>
        <w:rPr>
          <w:rFonts w:hint="eastAsia" w:ascii="Times New Roman" w:hAnsi="Times New Roman" w:eastAsia="仿宋_GB2312" w:cs="仿宋_GB2312"/>
          <w:color w:val="auto"/>
          <w:kern w:val="2"/>
          <w:sz w:val="32"/>
          <w:szCs w:val="32"/>
          <w:highlight w:val="none"/>
          <w:lang w:val="en-US" w:eastAsia="zh-CN" w:bidi="ar-SA"/>
        </w:rPr>
        <w:t>%。</w:t>
      </w:r>
    </w:p>
    <w:p w14:paraId="7A72BF6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81" w:name="_Toc15377224"/>
      <w:r>
        <w:rPr>
          <w:rFonts w:hint="eastAsia" w:ascii="Times New Roman" w:hAnsi="Times New Roman" w:eastAsia="楷体_GB2312" w:cs="楷体_GB2312"/>
          <w:b/>
          <w:color w:val="auto"/>
          <w:sz w:val="32"/>
          <w:szCs w:val="32"/>
          <w:highlight w:val="none"/>
        </w:rPr>
        <w:t>（三）国有资产占有使用情况</w:t>
      </w:r>
      <w:bookmarkEnd w:id="81"/>
    </w:p>
    <w:p w14:paraId="17ABD8A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攀枝花市自然资源和规划局</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21</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10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9</w:t>
      </w:r>
      <w:r>
        <w:rPr>
          <w:rFonts w:hint="eastAsia" w:ascii="Times New Roman" w:hAnsi="Times New Roman" w:eastAsia="仿宋_GB2312" w:cs="仿宋_GB2312"/>
          <w:color w:val="auto"/>
          <w:kern w:val="2"/>
          <w:sz w:val="32"/>
          <w:szCs w:val="32"/>
          <w:highlight w:val="none"/>
          <w:lang w:val="en-US" w:eastAsia="zh-CN" w:bidi="ar-SA"/>
        </w:rPr>
        <w:t>辆，</w:t>
      </w:r>
      <w:r>
        <w:rPr>
          <w:rFonts w:hint="eastAsia" w:ascii="仿宋_GB2312" w:hAnsi="仿宋_GB2312" w:eastAsia="仿宋_GB2312" w:cs="仿宋_GB2312"/>
          <w:sz w:val="32"/>
          <w:szCs w:val="32"/>
        </w:rPr>
        <w:t>其他用车</w:t>
      </w:r>
      <w:r>
        <w:rPr>
          <w:rFonts w:hint="eastAsia" w:ascii="仿宋_GB2312" w:hAnsi="仿宋_GB2312" w:eastAsia="仿宋_GB2312" w:cs="仿宋_GB2312"/>
          <w:sz w:val="32"/>
          <w:szCs w:val="32"/>
          <w:lang w:eastAsia="zh-CN"/>
        </w:rPr>
        <w:t>主要</w:t>
      </w:r>
      <w:r>
        <w:rPr>
          <w:rFonts w:hint="eastAsia" w:ascii="仿宋_GB2312" w:hAnsi="仿宋_GB2312" w:eastAsia="仿宋_GB2312" w:cs="仿宋_GB2312"/>
          <w:sz w:val="32"/>
          <w:szCs w:val="32"/>
        </w:rPr>
        <w:t>用于</w:t>
      </w:r>
      <w:r>
        <w:rPr>
          <w:rFonts w:hint="eastAsia" w:ascii="仿宋_GB2312" w:eastAsia="仿宋_GB2312" w:cs="仿宋_GB2312"/>
          <w:sz w:val="32"/>
          <w:szCs w:val="32"/>
        </w:rPr>
        <w:t>开展自然资源、规划、地灾防治等工作</w:t>
      </w:r>
      <w:r>
        <w:rPr>
          <w:rFonts w:hint="eastAsia" w:ascii="仿宋_GB2312" w:hAnsi="仿宋_GB2312" w:eastAsia="仿宋_GB2312" w:cs="仿宋_GB2312"/>
          <w:sz w:val="32"/>
          <w:szCs w:val="32"/>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46EBA413">
      <w:pPr>
        <w:spacing w:line="600" w:lineRule="exact"/>
        <w:ind w:firstLine="643" w:firstLineChars="200"/>
        <w:outlineLvl w:val="2"/>
        <w:rPr>
          <w:rFonts w:hint="eastAsia" w:ascii="Times New Roman" w:hAnsi="Times New Roman" w:eastAsia="楷体_GB2312" w:cs="楷体_GB2312"/>
          <w:b/>
          <w:color w:val="auto"/>
          <w:sz w:val="32"/>
          <w:szCs w:val="32"/>
          <w:highlight w:val="none"/>
          <w:lang w:eastAsia="zh-CN"/>
        </w:rPr>
      </w:pPr>
      <w:r>
        <w:rPr>
          <w:rFonts w:hint="eastAsia" w:ascii="Times New Roman" w:hAnsi="Times New Roman" w:eastAsia="楷体_GB2312" w:cs="楷体_GB2312"/>
          <w:b/>
          <w:color w:val="auto"/>
          <w:sz w:val="32"/>
          <w:szCs w:val="32"/>
          <w:highlight w:val="none"/>
        </w:rPr>
        <w:t>（四）预算绩效管理情况</w:t>
      </w:r>
    </w:p>
    <w:p w14:paraId="397B7DF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根据预算绩效管理要求，在2025年度，</w:t>
      </w:r>
      <w:r>
        <w:rPr>
          <w:rFonts w:eastAsia="仿宋_GB2312"/>
          <w:sz w:val="32"/>
          <w:szCs w:val="32"/>
        </w:rPr>
        <w:t>组织对攀枝花市国土空间总体规划（2019-2035）、新一轮找矿突破战略行动工作经费、盐边县斜坡地质灾害隐患风险详查、3个重点乡（镇）1:10000地质灾害精细化调查和地质灾害风险双控试点项目、四川省攀枝花地区煤矿采空区煤层气资源调查评价项目等</w:t>
      </w:r>
      <w:r>
        <w:rPr>
          <w:rFonts w:hint="eastAsia" w:eastAsia="仿宋_GB2312"/>
          <w:sz w:val="32"/>
          <w:szCs w:val="32"/>
          <w:lang w:val="en-US" w:eastAsia="zh-CN"/>
        </w:rPr>
        <w:t>84</w:t>
      </w:r>
      <w:r>
        <w:rPr>
          <w:rFonts w:hint="eastAsia" w:ascii="Times New Roman" w:hAnsi="Times New Roman" w:eastAsia="仿宋_GB2312" w:cs="仿宋_GB2312"/>
          <w:color w:val="auto"/>
          <w:kern w:val="2"/>
          <w:sz w:val="32"/>
          <w:szCs w:val="32"/>
          <w:highlight w:val="none"/>
          <w:lang w:val="en-US" w:eastAsia="zh-CN" w:bidi="ar-SA"/>
        </w:rPr>
        <w:t>个项目</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涉及金额43657.75万元</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开展了事前绩效评估，对</w:t>
      </w:r>
      <w:r>
        <w:rPr>
          <w:rFonts w:hint="eastAsia" w:eastAsia="仿宋_GB2312" w:cs="仿宋_GB2312"/>
          <w:color w:val="auto"/>
          <w:kern w:val="2"/>
          <w:sz w:val="32"/>
          <w:szCs w:val="32"/>
          <w:highlight w:val="none"/>
          <w:lang w:val="en-US" w:eastAsia="zh-CN" w:bidi="ar-SA"/>
        </w:rPr>
        <w:t>84个</w:t>
      </w:r>
      <w:r>
        <w:rPr>
          <w:rFonts w:hint="eastAsia" w:ascii="Times New Roman" w:hAnsi="Times New Roman" w:eastAsia="仿宋_GB2312" w:cs="仿宋_GB2312"/>
          <w:color w:val="auto"/>
          <w:kern w:val="2"/>
          <w:sz w:val="32"/>
          <w:szCs w:val="32"/>
          <w:highlight w:val="none"/>
          <w:lang w:val="en-US" w:eastAsia="zh-CN" w:bidi="ar-SA"/>
        </w:rPr>
        <w:t>项目编制了绩效目标</w:t>
      </w:r>
      <w:r>
        <w:rPr>
          <w:rFonts w:hint="eastAsia" w:eastAsia="仿宋_GB2312" w:cs="仿宋_GB2312"/>
          <w:color w:val="auto"/>
          <w:kern w:val="2"/>
          <w:sz w:val="32"/>
          <w:szCs w:val="32"/>
          <w:highlight w:val="none"/>
          <w:lang w:val="en-US" w:eastAsia="zh-CN" w:bidi="ar-SA"/>
        </w:rPr>
        <w:t>，在</w:t>
      </w:r>
      <w:r>
        <w:rPr>
          <w:rFonts w:hint="eastAsia" w:ascii="Times New Roman" w:hAnsi="Times New Roman" w:eastAsia="仿宋_GB2312" w:cs="仿宋_GB2312"/>
          <w:color w:val="auto"/>
          <w:kern w:val="2"/>
          <w:sz w:val="32"/>
          <w:szCs w:val="32"/>
          <w:highlight w:val="none"/>
          <w:lang w:val="en-US" w:eastAsia="zh-CN" w:bidi="ar-SA"/>
        </w:rPr>
        <w:t>预算执行过程中，选取</w:t>
      </w:r>
      <w:r>
        <w:rPr>
          <w:rFonts w:hint="eastAsia" w:eastAsia="仿宋_GB2312" w:cs="仿宋_GB2312"/>
          <w:color w:val="auto"/>
          <w:kern w:val="2"/>
          <w:sz w:val="32"/>
          <w:szCs w:val="32"/>
          <w:highlight w:val="none"/>
          <w:lang w:val="en-US" w:eastAsia="zh-CN" w:bidi="ar-SA"/>
        </w:rPr>
        <w:t>84</w:t>
      </w:r>
      <w:r>
        <w:rPr>
          <w:rFonts w:hint="eastAsia" w:ascii="Times New Roman" w:hAnsi="Times New Roman" w:eastAsia="仿宋_GB2312" w:cs="仿宋_GB2312"/>
          <w:color w:val="auto"/>
          <w:kern w:val="2"/>
          <w:sz w:val="32"/>
          <w:szCs w:val="32"/>
          <w:highlight w:val="none"/>
          <w:lang w:val="en-US" w:eastAsia="zh-CN" w:bidi="ar-SA"/>
        </w:rPr>
        <w:t>个项目开展绩效监控。</w:t>
      </w:r>
    </w:p>
    <w:p w14:paraId="230894FD">
      <w:pPr>
        <w:spacing w:line="600" w:lineRule="exact"/>
        <w:ind w:firstLine="640"/>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rPr>
        <w:t>组织对</w:t>
      </w:r>
      <w:r>
        <w:rPr>
          <w:rFonts w:hint="eastAsia" w:ascii="Times New Roman" w:hAnsi="Times New Roman" w:eastAsia="仿宋_GB2312" w:cs="仿宋_GB2312"/>
          <w:sz w:val="32"/>
          <w:szCs w:val="32"/>
          <w:lang w:val="en-US" w:eastAsia="zh-CN"/>
        </w:rPr>
        <w:t>2025</w:t>
      </w:r>
      <w:r>
        <w:rPr>
          <w:rFonts w:hint="eastAsia" w:ascii="Times New Roman" w:hAnsi="Times New Roman" w:eastAsia="仿宋_GB2312" w:cs="仿宋_GB2312"/>
          <w:sz w:val="32"/>
          <w:szCs w:val="32"/>
        </w:rPr>
        <w:t>年度一般公共预算、政府性基金预算、国有资本经营预算、社会保险基金预算以及资本资产、债券资金等全面开展绩效自评，形成攀枝花市自然资源和规划局、攀枝花市土地储备中心、攀枝花市国土整治中心、攀枝花市不动产登记中心、攀枝花市地理信息中心、攀枝花市国土空间规划编制研究中心</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攀枝花市自然资源和规划局东区分局、攀枝花市自然资源和规划局西区分局、攀枝花市自然资源和规划局仁和区分局部门整体（含部门预算项目）绩效自评报告</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及</w:t>
      </w:r>
      <w:r>
        <w:rPr>
          <w:rFonts w:hint="eastAsia" w:ascii="Times New Roman" w:hAnsi="Times New Roman" w:eastAsia="仿宋_GB2312" w:cs="Times New Roman"/>
          <w:color w:val="auto"/>
          <w:sz w:val="32"/>
          <w:szCs w:val="32"/>
        </w:rPr>
        <w:t>西区格里坪工业园区（格里坪单元、龙洞单元）国土空间详细规划工作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攀枝花市城市发展暨土地资源推介工作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2025年度攀枝花市中心城区城镇开发边界局部优化调整</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攀枝花市市级矿产资源规划（2026—2030年）编制专项工作</w:t>
      </w:r>
      <w:r>
        <w:rPr>
          <w:rFonts w:hint="eastAsia" w:ascii="Times New Roman" w:hAnsi="Times New Roman" w:eastAsia="仿宋_GB2312" w:cs="仿宋_GB2312"/>
          <w:sz w:val="32"/>
          <w:szCs w:val="32"/>
        </w:rPr>
        <w:t>等专项预算项目绩效自评报告</w:t>
      </w:r>
      <w:r>
        <w:rPr>
          <w:rFonts w:hint="eastAsia" w:ascii="Times New Roman" w:hAnsi="Times New Roman" w:eastAsia="仿宋_GB2312" w:cs="仿宋_GB2312"/>
          <w:sz w:val="32"/>
          <w:szCs w:val="32"/>
          <w:lang w:eastAsia="zh-CN"/>
        </w:rPr>
        <w:t>。</w:t>
      </w:r>
    </w:p>
    <w:p w14:paraId="3A545275">
      <w:pPr>
        <w:snapToGrid w:val="0"/>
        <w:spacing w:line="600" w:lineRule="exact"/>
        <w:ind w:firstLine="643" w:firstLineChars="200"/>
        <w:outlineLvl w:val="3"/>
        <w:rPr>
          <w:rFonts w:hint="eastAsia" w:ascii="Times New Roman" w:hAnsi="Times New Roman" w:eastAsia="仿宋_GB2312" w:cs="仿宋_GB2312"/>
          <w:color w:val="auto"/>
          <w:sz w:val="32"/>
          <w:szCs w:val="32"/>
        </w:rPr>
      </w:pPr>
      <w:r>
        <w:rPr>
          <w:rFonts w:hint="eastAsia" w:ascii="Times New Roman" w:hAnsi="Times New Roman" w:eastAsia="仿宋_GB2312" w:cs="仿宋_GB2312"/>
          <w:b/>
          <w:bCs/>
          <w:sz w:val="32"/>
          <w:szCs w:val="32"/>
        </w:rPr>
        <w:t>其中</w:t>
      </w:r>
      <w:r>
        <w:rPr>
          <w:rFonts w:hint="eastAsia" w:ascii="Times New Roman" w:hAnsi="Times New Roman" w:eastAsia="仿宋_GB2312" w:cs="仿宋_GB2312"/>
          <w:b/>
          <w:bCs/>
          <w:sz w:val="32"/>
          <w:szCs w:val="32"/>
          <w:lang w:eastAsia="zh-CN"/>
        </w:rPr>
        <w:t>：</w:t>
      </w:r>
      <w:r>
        <w:rPr>
          <w:rFonts w:hint="eastAsia" w:ascii="Times New Roman" w:hAnsi="Times New Roman" w:eastAsia="仿宋_GB2312" w:cs="仿宋_GB2312"/>
          <w:b/>
          <w:bCs/>
          <w:sz w:val="32"/>
          <w:szCs w:val="32"/>
        </w:rPr>
        <w:t>攀枝花市自然资源和规划局部门整体</w:t>
      </w:r>
      <w:r>
        <w:rPr>
          <w:rFonts w:hint="eastAsia" w:ascii="Times New Roman" w:hAnsi="Times New Roman" w:eastAsia="仿宋_GB2312" w:cs="仿宋_GB2312"/>
          <w:b w:val="0"/>
          <w:bCs w:val="0"/>
          <w:sz w:val="32"/>
          <w:szCs w:val="32"/>
        </w:rPr>
        <w:t>（</w:t>
      </w:r>
      <w:r>
        <w:rPr>
          <w:rFonts w:hint="eastAsia" w:ascii="Times New Roman" w:hAnsi="Times New Roman" w:eastAsia="仿宋_GB2312" w:cs="仿宋_GB2312"/>
          <w:sz w:val="32"/>
          <w:szCs w:val="32"/>
        </w:rPr>
        <w:t>含部门预算项目）绩效自评得分为</w:t>
      </w:r>
      <w:r>
        <w:rPr>
          <w:rFonts w:hint="eastAsia" w:ascii="Times New Roman" w:hAnsi="Times New Roman" w:eastAsia="仿宋_GB2312" w:cs="仿宋_GB2312"/>
          <w:sz w:val="32"/>
          <w:szCs w:val="32"/>
          <w:lang w:val="en-US" w:eastAsia="zh-CN"/>
        </w:rPr>
        <w:t>89</w:t>
      </w:r>
      <w:r>
        <w:rPr>
          <w:rFonts w:hint="eastAsia" w:ascii="Times New Roman" w:hAnsi="Times New Roman" w:eastAsia="仿宋_GB2312" w:cs="仿宋_GB2312"/>
          <w:sz w:val="32"/>
          <w:szCs w:val="32"/>
        </w:rPr>
        <w:t>分，绩效自评综述：</w:t>
      </w:r>
      <w:r>
        <w:rPr>
          <w:rFonts w:hint="eastAsia" w:ascii="Times New Roman" w:hAnsi="Times New Roman" w:eastAsia="仿宋_GB2312"/>
          <w:sz w:val="32"/>
          <w:szCs w:val="32"/>
          <w:lang w:val="zh-CN" w:bidi="ar"/>
        </w:rPr>
        <w:t>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年，市自然资源和规划局设立的整体绩效目标依据充分，符合客观实际，用以反映和考核部门整体绩效目标与部门履职、年度工作任务相符。</w:t>
      </w:r>
      <w:r>
        <w:rPr>
          <w:rFonts w:hint="eastAsia" w:ascii="Times New Roman" w:hAnsi="Times New Roman" w:eastAsia="仿宋_GB2312" w:cs="Times New Roman"/>
          <w:color w:val="auto"/>
          <w:sz w:val="32"/>
          <w:szCs w:val="32"/>
        </w:rPr>
        <w:t>各项目资金本年度实际完成率，质量达标率，完成及时性及成本节约率均达到合理范围</w:t>
      </w:r>
      <w:r>
        <w:rPr>
          <w:rFonts w:hint="eastAsia" w:ascii="Times New Roman" w:hAnsi="Times New Roman" w:eastAsia="仿宋_GB2312"/>
          <w:sz w:val="32"/>
          <w:szCs w:val="32"/>
          <w:lang w:val="zh-CN" w:bidi="ar"/>
        </w:rPr>
        <w:t>。全年基本支出保证部门正常运行和日常工作的正常开展，达到预期绩效目标；</w:t>
      </w:r>
      <w:r>
        <w:rPr>
          <w:rFonts w:hint="eastAsia" w:ascii="Times New Roman" w:hAnsi="Times New Roman" w:eastAsia="仿宋_GB2312" w:cs="仿宋_GB2312"/>
          <w:b/>
          <w:bCs/>
          <w:color w:val="auto"/>
          <w:sz w:val="32"/>
          <w:szCs w:val="32"/>
        </w:rPr>
        <w:t>攀枝花市土地储备中心</w:t>
      </w:r>
      <w:r>
        <w:rPr>
          <w:rFonts w:hint="eastAsia" w:ascii="Times New Roman" w:hAnsi="Times New Roman" w:eastAsia="仿宋_GB2312" w:cs="仿宋_GB2312"/>
          <w:b w:val="0"/>
          <w:bCs w:val="0"/>
          <w:color w:val="auto"/>
          <w:sz w:val="32"/>
          <w:szCs w:val="32"/>
        </w:rPr>
        <w:t>部门整体（含部门预算项目）</w:t>
      </w:r>
      <w:r>
        <w:rPr>
          <w:rFonts w:hint="eastAsia" w:ascii="Times New Roman" w:hAnsi="Times New Roman" w:eastAsia="仿宋_GB2312" w:cs="仿宋_GB2312"/>
          <w:color w:val="auto"/>
          <w:sz w:val="32"/>
          <w:szCs w:val="32"/>
        </w:rPr>
        <w:t>绩效自评得分为</w:t>
      </w:r>
      <w:r>
        <w:rPr>
          <w:rFonts w:hint="eastAsia" w:ascii="Times New Roman" w:hAnsi="Times New Roman" w:eastAsia="仿宋_GB2312" w:cs="仿宋_GB2312"/>
          <w:color w:val="auto"/>
          <w:sz w:val="32"/>
          <w:szCs w:val="32"/>
          <w:lang w:val="en-US" w:eastAsia="zh-CN"/>
        </w:rPr>
        <w:t>95</w:t>
      </w:r>
      <w:r>
        <w:rPr>
          <w:rFonts w:hint="eastAsia" w:ascii="Times New Roman" w:hAnsi="Times New Roman" w:eastAsia="仿宋_GB2312" w:cs="仿宋_GB2312"/>
          <w:color w:val="auto"/>
          <w:sz w:val="32"/>
          <w:szCs w:val="32"/>
        </w:rPr>
        <w:t>分，绩效自评综述：</w:t>
      </w:r>
      <w:r>
        <w:rPr>
          <w:rFonts w:hint="default" w:ascii="Times New Roman" w:hAnsi="Times New Roman" w:eastAsia="仿宋_GB2312" w:cs="Times New Roman"/>
          <w:color w:val="auto"/>
          <w:sz w:val="32"/>
          <w:szCs w:val="32"/>
          <w:lang w:bidi="ar"/>
        </w:rPr>
        <w:t>市土地储备中心严格执行部门预算，积极争取资金支持，强化资金使用与管理，全力保障部门正常运转、确保各项业务工作顺利开展</w:t>
      </w:r>
      <w:r>
        <w:rPr>
          <w:rFonts w:hint="eastAsia" w:ascii="Times New Roman" w:hAnsi="Times New Roman" w:eastAsia="仿宋_GB2312" w:cs="Times New Roman"/>
          <w:color w:val="auto"/>
          <w:sz w:val="32"/>
          <w:szCs w:val="32"/>
          <w:lang w:eastAsia="zh-CN" w:bidi="ar"/>
        </w:rPr>
        <w:t>。</w:t>
      </w:r>
      <w:r>
        <w:rPr>
          <w:rFonts w:hint="eastAsia" w:ascii="Times New Roman" w:hAnsi="Times New Roman" w:eastAsia="仿宋_GB2312"/>
          <w:b/>
          <w:bCs/>
          <w:color w:val="auto"/>
          <w:sz w:val="32"/>
          <w:szCs w:val="32"/>
          <w:lang w:val="zh-CN" w:bidi="ar"/>
        </w:rPr>
        <w:t>攀枝花市不动产登记中心</w:t>
      </w:r>
      <w:r>
        <w:rPr>
          <w:rFonts w:hint="eastAsia" w:ascii="Times New Roman" w:hAnsi="Times New Roman" w:eastAsia="仿宋_GB2312" w:cs="仿宋_GB2312"/>
          <w:color w:val="auto"/>
          <w:sz w:val="32"/>
          <w:szCs w:val="32"/>
        </w:rPr>
        <w:t>部门整体（含部门预算项目）绩效自评得分为</w:t>
      </w:r>
      <w:r>
        <w:rPr>
          <w:rFonts w:hint="eastAsia" w:ascii="Times New Roman" w:hAnsi="Times New Roman" w:eastAsia="仿宋_GB2312" w:cs="仿宋_GB2312"/>
          <w:color w:val="auto"/>
          <w:sz w:val="32"/>
          <w:szCs w:val="32"/>
          <w:lang w:val="en-US" w:eastAsia="zh-CN"/>
        </w:rPr>
        <w:t>95</w:t>
      </w:r>
      <w:r>
        <w:rPr>
          <w:rFonts w:hint="eastAsia" w:ascii="Times New Roman" w:hAnsi="Times New Roman" w:eastAsia="仿宋_GB2312" w:cs="仿宋_GB2312"/>
          <w:color w:val="auto"/>
          <w:sz w:val="32"/>
          <w:szCs w:val="32"/>
        </w:rPr>
        <w:t>分，绩效自评综述</w:t>
      </w:r>
      <w:r>
        <w:rPr>
          <w:rFonts w:hint="eastAsia" w:eastAsia="仿宋_GB2312" w:cs="仿宋_GB2312"/>
          <w:color w:val="auto"/>
          <w:sz w:val="32"/>
          <w:szCs w:val="32"/>
          <w:lang w:eastAsia="zh-CN"/>
        </w:rPr>
        <w:t>：绩</w:t>
      </w:r>
      <w:r>
        <w:rPr>
          <w:rFonts w:hint="eastAsia" w:ascii="Times New Roman" w:hAnsi="Times New Roman" w:eastAsia="仿宋_GB2312"/>
          <w:color w:val="auto"/>
          <w:sz w:val="32"/>
          <w:szCs w:val="32"/>
          <w:lang w:val="zh-CN" w:bidi="ar"/>
        </w:rPr>
        <w:t>效目标要素完整、进行了细化、量化。单位绩效目标实际实现程度与预期目标的偏离度小。开展绩效运行监控，及时将绩效监控结果应用到预算调整中。</w:t>
      </w:r>
      <w:r>
        <w:rPr>
          <w:rFonts w:ascii="Times New Roman" w:eastAsia="仿宋_GB2312"/>
          <w:b/>
          <w:bCs/>
          <w:color w:val="auto"/>
          <w:sz w:val="32"/>
          <w:szCs w:val="32"/>
          <w:lang w:bidi="ar"/>
        </w:rPr>
        <w:t>攀枝花市地理信息中心</w:t>
      </w:r>
      <w:r>
        <w:rPr>
          <w:rFonts w:hint="eastAsia" w:ascii="Times New Roman" w:hAnsi="Times New Roman" w:eastAsia="仿宋_GB2312" w:cs="仿宋_GB2312"/>
          <w:color w:val="auto"/>
          <w:sz w:val="32"/>
          <w:szCs w:val="32"/>
        </w:rPr>
        <w:t>部门整体（含部门预算项目）绩效自评得分为100分，绩效自评综述：</w:t>
      </w:r>
      <w:r>
        <w:rPr>
          <w:rFonts w:ascii="Times New Roman" w:eastAsia="仿宋_GB2312"/>
          <w:color w:val="auto"/>
          <w:sz w:val="32"/>
          <w:szCs w:val="32"/>
          <w:lang w:bidi="ar"/>
        </w:rPr>
        <w:t>预算绩效自评良好，绩效目标设置科学、合理，预算执行率100%。</w:t>
      </w:r>
      <w:r>
        <w:rPr>
          <w:rFonts w:hint="eastAsia" w:ascii="Times New Roman" w:hAnsi="Times New Roman" w:eastAsia="仿宋_GB2312"/>
          <w:b/>
          <w:bCs/>
          <w:color w:val="auto"/>
          <w:sz w:val="32"/>
          <w:szCs w:val="32"/>
          <w:lang w:val="zh-CN" w:bidi="ar"/>
        </w:rPr>
        <w:t>攀枝花市自然资源和规划局东区分局</w:t>
      </w:r>
      <w:r>
        <w:rPr>
          <w:rFonts w:hint="eastAsia" w:ascii="Times New Roman" w:hAnsi="Times New Roman" w:eastAsia="仿宋_GB2312" w:cs="仿宋_GB2312"/>
          <w:color w:val="auto"/>
          <w:sz w:val="32"/>
          <w:szCs w:val="32"/>
        </w:rPr>
        <w:t>部门整体（含部门预算项目）绩效自评得分为</w:t>
      </w:r>
      <w:r>
        <w:rPr>
          <w:rFonts w:hint="eastAsia" w:eastAsia="仿宋_GB2312" w:cs="仿宋_GB2312"/>
          <w:color w:val="auto"/>
          <w:sz w:val="32"/>
          <w:szCs w:val="32"/>
          <w:lang w:val="en-US" w:eastAsia="zh-CN"/>
        </w:rPr>
        <w:t>85</w:t>
      </w:r>
      <w:r>
        <w:rPr>
          <w:rFonts w:hint="eastAsia" w:ascii="Times New Roman" w:hAnsi="Times New Roman" w:eastAsia="仿宋_GB2312" w:cs="仿宋_GB2312"/>
          <w:color w:val="auto"/>
          <w:sz w:val="32"/>
          <w:szCs w:val="32"/>
        </w:rPr>
        <w:t>分，绩效自评综述：</w:t>
      </w:r>
      <w:r>
        <w:rPr>
          <w:rFonts w:hint="eastAsia" w:eastAsia="仿宋_GB2312" w:cs="仿宋_GB2312"/>
          <w:color w:val="auto"/>
          <w:sz w:val="32"/>
          <w:szCs w:val="32"/>
          <w:lang w:eastAsia="zh-CN"/>
        </w:rPr>
        <w:t>攀枝花市</w:t>
      </w:r>
      <w:r>
        <w:rPr>
          <w:rFonts w:hint="eastAsia" w:ascii="Times New Roman" w:hAnsi="Times New Roman" w:eastAsia="仿宋_GB2312" w:cs="Times New Roman"/>
          <w:sz w:val="32"/>
          <w:szCs w:val="32"/>
          <w:lang w:eastAsia="zh-CN"/>
        </w:rPr>
        <w:t>自然资源和规划局东区分局</w:t>
      </w:r>
      <w:r>
        <w:rPr>
          <w:rFonts w:hint="default" w:ascii="Times New Roman" w:hAnsi="Times New Roman" w:eastAsia="仿宋_GB2312" w:cs="Times New Roman"/>
          <w:sz w:val="32"/>
          <w:szCs w:val="32"/>
        </w:rPr>
        <w:t>预算报送及时合规、财务核算较为规范、内控制度建设较完善，及时进行了绩效目标公开和自评公开，评价结果整改到位，应用结果反馈及时，较好地完成了各项目标任务。</w:t>
      </w:r>
      <w:r>
        <w:rPr>
          <w:rFonts w:hint="eastAsia" w:ascii="Times New Roman" w:hAnsi="Times New Roman" w:eastAsia="仿宋_GB2312"/>
          <w:b/>
          <w:bCs/>
          <w:color w:val="auto"/>
          <w:sz w:val="32"/>
          <w:szCs w:val="32"/>
          <w:lang w:val="zh-CN" w:bidi="ar"/>
        </w:rPr>
        <w:t>攀枝花市自然资源和规划局西区分局</w:t>
      </w:r>
      <w:r>
        <w:rPr>
          <w:rFonts w:hint="eastAsia" w:ascii="Times New Roman" w:hAnsi="Times New Roman" w:eastAsia="仿宋_GB2312" w:cs="仿宋_GB2312"/>
          <w:color w:val="auto"/>
          <w:sz w:val="32"/>
          <w:szCs w:val="32"/>
        </w:rPr>
        <w:t>部门整体（含部门预算项目）绩效自评得分为</w:t>
      </w:r>
      <w:r>
        <w:rPr>
          <w:rFonts w:hint="eastAsia" w:ascii="Times New Roman" w:hAnsi="Times New Roman" w:eastAsia="仿宋_GB2312" w:cs="仿宋_GB2312"/>
          <w:color w:val="auto"/>
          <w:sz w:val="32"/>
          <w:szCs w:val="32"/>
          <w:lang w:val="en-US" w:eastAsia="zh-CN"/>
        </w:rPr>
        <w:t>89</w:t>
      </w:r>
      <w:r>
        <w:rPr>
          <w:rFonts w:hint="eastAsia" w:ascii="Times New Roman" w:hAnsi="Times New Roman" w:eastAsia="仿宋_GB2312" w:cs="仿宋_GB2312"/>
          <w:color w:val="auto"/>
          <w:sz w:val="32"/>
          <w:szCs w:val="32"/>
        </w:rPr>
        <w:t>分，绩效自评综述：</w:t>
      </w:r>
      <w:r>
        <w:rPr>
          <w:rFonts w:hint="eastAsia" w:ascii="Times New Roman" w:hAnsi="Times New Roman" w:eastAsia="仿宋_GB2312"/>
          <w:sz w:val="32"/>
          <w:szCs w:val="32"/>
        </w:rPr>
        <w:t>西区分局</w:t>
      </w:r>
      <w:r>
        <w:rPr>
          <w:rFonts w:ascii="Times New Roman" w:hAnsi="Times New Roman" w:eastAsia="仿宋_GB2312"/>
          <w:sz w:val="32"/>
          <w:szCs w:val="32"/>
        </w:rPr>
        <w:t>预算报送及时合规、财务核算较为规范、内控制度建设较完善，及时进行了绩效目标公开和自评公开，评价结果整改到位，应用结果反馈及时，较好地完成了各项目标任务。</w:t>
      </w:r>
      <w:r>
        <w:rPr>
          <w:rFonts w:hint="eastAsia" w:ascii="Times New Roman" w:eastAsia="仿宋_GB2312"/>
          <w:b/>
          <w:bCs/>
          <w:color w:val="auto"/>
          <w:sz w:val="32"/>
          <w:szCs w:val="32"/>
          <w:lang w:bidi="ar"/>
        </w:rPr>
        <w:t>攀枝花市自然资源和规划局仁和区分局</w:t>
      </w:r>
      <w:r>
        <w:rPr>
          <w:rFonts w:hint="eastAsia" w:ascii="Times New Roman" w:hAnsi="Times New Roman" w:eastAsia="仿宋_GB2312" w:cs="仿宋_GB2312"/>
          <w:color w:val="auto"/>
          <w:sz w:val="32"/>
          <w:szCs w:val="32"/>
        </w:rPr>
        <w:t>部门整体（含部门预算项目）绩效自评得分为</w:t>
      </w:r>
      <w:r>
        <w:rPr>
          <w:rFonts w:hint="eastAsia" w:eastAsia="仿宋_GB2312" w:cs="仿宋_GB2312"/>
          <w:color w:val="auto"/>
          <w:sz w:val="32"/>
          <w:szCs w:val="32"/>
          <w:lang w:val="en-US" w:eastAsia="zh-CN"/>
        </w:rPr>
        <w:t>85</w:t>
      </w:r>
      <w:r>
        <w:rPr>
          <w:rFonts w:hint="eastAsia" w:ascii="Times New Roman" w:hAnsi="Times New Roman" w:eastAsia="仿宋_GB2312" w:cs="仿宋_GB2312"/>
          <w:color w:val="auto"/>
          <w:sz w:val="32"/>
          <w:szCs w:val="32"/>
        </w:rPr>
        <w:t>分，绩效自评综述：仁和区分局绩效管理工作做到了事前申报，事中监督，事后评估，实事求是进行各环节绩效评估，程序严谨，自我评价客观可靠。</w:t>
      </w:r>
    </w:p>
    <w:p w14:paraId="52F67BCC">
      <w:pPr>
        <w:pStyle w:val="8"/>
        <w:spacing w:line="560" w:lineRule="exact"/>
        <w:ind w:left="0" w:leftChars="0"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sz w:val="32"/>
          <w:szCs w:val="32"/>
          <w:lang w:val="en-US" w:eastAsia="zh-CN"/>
        </w:rPr>
        <w:t>其中：</w:t>
      </w:r>
      <w:r>
        <w:rPr>
          <w:rFonts w:hint="eastAsia" w:ascii="Times New Roman" w:hAnsi="Times New Roman" w:eastAsia="仿宋_GB2312" w:cs="仿宋_GB2312"/>
          <w:b w:val="0"/>
          <w:bCs w:val="0"/>
          <w:color w:val="auto"/>
          <w:sz w:val="32"/>
          <w:szCs w:val="32"/>
          <w:lang w:val="en-US" w:eastAsia="zh-CN"/>
        </w:rPr>
        <w:t>1</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地质灾害应急车辆购买经费专项预算项目绩效自评得分为90分，绩效自评综述：该项目立项必要性和依据充分，绩效目标明确，具备实施条件，具有公共性，符合财政资金支持方向，项目完成情况和效益良好，已达到绩效目标。通过购置地质灾害应急公务用车一台，有效提升了地质灾害防治和应急处置能力，减少了地质灾害造成的财产损失，保护了受地质灾害威胁群众的生命财产安全，年度绩效目标全部完成。2</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仁和区花棚子地区地热（温泉）钻探项目专项预算项目绩效自评得分为90分，绩效自评综述：该项目立项必要性和依据充分，绩效目标明确，具备实施条件，具有公共性，符合财政资金支持方向，项目完成情况和效益良好，已达到绩效目标。在前期地热（温泉）资源风险勘探基础上，选择拉鲊北靶点开展钻探工作，项目已于2023年完成全部工作任务。3</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2020—2022年自然资源统一确权登记专项预算项目绩效自评得分为90分，绩效自评综述：该项目立项必要性和依据充分，绩效目标明确，具备实施条件，具有公共性，符合财政资金支持方向，项目完成情况和效益良好，已达到绩效目标。项目已于2024年12月26日通过技术审查验收，同时该项目数据已汇交省厅数据库。4</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国土空间总体规划（2019-2035）专项预算项目绩效自评得分为90分，绩效自评综述：该项目立项必要性和依据充分，绩效目标明确，具备实施条件，具有公共性，符合财政资金支持方向，项目完成情况和效益良好，已达到绩效目标。项目已经省政府批复实施，不存在问题</w:t>
      </w:r>
      <w:r>
        <w:rPr>
          <w:rFonts w:hint="eastAsia" w:ascii="Times New Roman" w:eastAsia="仿宋_GB2312" w:cs="仿宋_GB2312"/>
          <w:b w:val="0"/>
          <w:bCs w:val="0"/>
          <w:color w:val="auto"/>
          <w:sz w:val="32"/>
          <w:szCs w:val="32"/>
          <w:lang w:val="en-US" w:eastAsia="zh-CN"/>
        </w:rPr>
        <w:t>和困难</w:t>
      </w:r>
      <w:r>
        <w:rPr>
          <w:rFonts w:hint="eastAsia" w:ascii="Times New Roman" w:hAnsi="Times New Roman" w:eastAsia="仿宋_GB2312" w:cs="仿宋_GB2312"/>
          <w:b w:val="0"/>
          <w:bCs w:val="0"/>
          <w:color w:val="auto"/>
          <w:sz w:val="32"/>
          <w:szCs w:val="32"/>
          <w:lang w:val="en-US" w:eastAsia="zh-CN"/>
        </w:rPr>
        <w:t>。5</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第三次全国国土调查项目专项预算项目绩效自评得分为90分，绩效自评综述：该项目立项必要性和依据充分，绩效目标明确，具备实施条件，具有公共性，符合财政资金支持方向，项目完成情况和效益良好，已达到绩效目标。“三调”作为重大国情国力调查，数据成果全面客观反映了我市国土利用状况，为耕地保护、生态建设、节约集约用地等工作提供了扎实的数据基础支撑。6</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测量质量监督检查基础测绘“十四五”规划编制测量物标物经费专项预算项目绩效自评得分为90分，绩效自评综述：该项目立项必要性和依据充分，绩效目标明确，具备实施条件，具有公共性，符合财政资金支持方向，项目完成情况和效益良好，已达到绩效目标。规划文本编制程序规范、文本格式标准、结构合理、逻辑清晰、内容完整，符合《四川省市县基础测绘“十四五”规划编制指南》相关要求，能够有效指导我市未来五年基础测绘工作。7</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向上争取资金工作经费专项预算项目绩效自评得分为90分，绩效自评综述：该项目立项必要性和依据充分，绩效目标明确，具备实施条件，具有公共性，符合财政资金支持方向，项目完成情况和效益良好，已达到绩效目标。目标设置科学、合理，自评结论良好。8</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土地评估专项预算项目绩效自评得分为90分，绩效自评综述：该项目立项必要性和依据充分，绩效目标明确，具备实施条件，具有公共性，符合财政资金支持方向，项目完成情况和效益良好，已达到绩效目标。按规定完成土地评估相关工作，目标设置科学、合理。9</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退休人员一次性生活补贴专项预算项目绩效自评得分为90分，绩效自评综述：该项目立项必要性和依据充分，绩效目标明确，具备实施条件，具有公共性，符合财政资金支持方向，项目完成情况和效益良好，已达到绩效目标。接到市人社和财政通知后及时办理审批及发放，领取到退休一次性补贴的老干部表示满意。10</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市级挂职干部补助专项预算项目绩效自评得分为90分，绩效自评综述：该项目立项必要性和依据充分，绩效目标明确，具备实施条件，具有公共性，符合财政资金支持方向，项目完成情况和效益良好，已达到绩效目标。落实援藏援彝、驻村帮扶补助政策，确保补助经费及时发放，保障援藏援彝、驻村帮扶的正常生活，促进藏区和基层发展。11</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田长制工作专项经费专项预算项目绩效自评得分为90分，绩效自评综述：该项目立项必要性和依据充分，绩效目标明确，具备实施条件，具有公共性，符合财政资金支持方向，项目完成情况和效益良好，已达到绩效目标。建立了“4+1”田长责任体系，全市“层层抓落实”的耕地保护工作格局已基本形成，取得了预期效果。12</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年度地质灾害防治体系建设专项预算项目绩效自评得分为90分，绩效自评综述：该项目立项必要性和依据充分，绩效目标明确，具备实施条件，具有公共性，符合财政资金支持方向，项目完成情况和效益良好，已达到绩效目标。圆满完成《四川省攀枝花市地质灾害综合防治体系建设2025年度实施方案》明确的年度建设任务，基层防灾工作网络进一步织密，群众防灾避险意识和基层责任人应急处置能力得到切实提升，</w:t>
      </w:r>
      <w:r>
        <w:rPr>
          <w:rFonts w:hint="eastAsia" w:ascii="Times New Roman" w:eastAsia="仿宋_GB2312" w:cs="仿宋_GB2312"/>
          <w:b w:val="0"/>
          <w:bCs w:val="0"/>
          <w:color w:val="auto"/>
          <w:sz w:val="32"/>
          <w:szCs w:val="32"/>
          <w:lang w:val="en-US" w:eastAsia="zh-CN"/>
        </w:rPr>
        <w:t>有效</w:t>
      </w:r>
      <w:r>
        <w:rPr>
          <w:rFonts w:hint="eastAsia" w:ascii="Times New Roman" w:hAnsi="Times New Roman" w:eastAsia="仿宋_GB2312" w:cs="仿宋_GB2312"/>
          <w:b w:val="0"/>
          <w:bCs w:val="0"/>
          <w:color w:val="auto"/>
          <w:sz w:val="32"/>
          <w:szCs w:val="32"/>
          <w:lang w:val="en-US" w:eastAsia="zh-CN"/>
        </w:rPr>
        <w:t>完善了全市地质灾害综合防治体系。13</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年度市级地质灾害专业驻守督导技术服务专项预算项目绩效自评得分为90分，绩效自评综述：该项目立项必要性和依据充分，绩效目标明确，具备实施条件，具有公共性，符合财政资金支持方向，项目完成情况和效益良好，已达到绩效目标。项目实施全过程严格遵循省、市相关管理规范要求，各项工作推进有序、任务执行合规，顺利完成了年度既定工作任务。14</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地质灾害避险搬迁摸底调查及专项规划编制专项预算项目绩效自评得分为90分，绩效自评综述：该项目立项必要性和依据充分，绩效目标明确，具备实施条件，具有公共性，符合财政资金支持方向，项目完成情况和效益良好，已达到绩效目标。摸清了我市受威胁群众搬迁意愿及搬迁必要性，根据实际情况进行分批次搬迁并提供成果报告。15</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来（离）攀挂职干部有关费用专项预算项目绩效自评得分为90分，绩效自评综述：该项目立项必要性和依据充分，绩效目标明确，具备实施条件，具有公共性，符合财政资金支持方向，项目完成情况和效益良好，已达到绩效目标。及时兑现挂职干部待遇，保障挂职干部生活，确保挂职干部完成挂职工作任务，锻炼了优秀年轻干部，助力全市自然资源和规划事业发展。16</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关工委工作经费专项预算项目绩效自评得分为90分，绩效自评综述：该项目立项必要性和依据充分，绩效目标明确，具备实施条件，具有公共性，符合财政资金支持方向，项目完成情况和效益良好，已达到绩效目标。组织职工子女走进本地红色教育场馆，通过实地观摩、聆听革命故事、亲子分享感悟等形式，引导青少年在沉浸式体验中感悟红色精神、厚植家国情怀，切实达成了既定教育目标。17</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地热温泉资源调查评价专项预算项目绩效自评得分为90分，绩效自评综述：该项目立项必要性和依据充分，绩效目标明确，具备实施条件，具有公共性，符合财政资金支持方向，项目完成情况和效益良好，已达到绩效目标。项目已经实施完成，提交调查评价报告1套，提交找矿靶区11个。18</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紧缺战略性矿产资源调查评价专项预算项目绩效自评得分为90分，绩效自评综述：该项目立项必要性和依据充分，绩效目标明确，具备实施条件，具有公共性，符合财政资金支持方向，项目完成情况和效益良好，已达到绩效目标。开展我市紧缺战略性矿种调查评价工作，项目已提交成果报告，提供找矿靶区3个，完成了全部工作任务和预期目标。19</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2024年度自然资源调查监测专项工作专项预算项目绩效自评得分为90分，绩效自评综述：该项目立项必要性和依据充分，绩效目标明确，具备实施条件，具有公共性，符合财政资金支持方向，项目完成情况和效益良好，已达到绩效目标。高质量完成各项调查，并通过国家质量核查。20</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攀枝花市迤资园区（迤资单元）控制性详细规划》修编项目专项预算项目绩效自评得分为90分，绩效自评综述：该项目立项必要性和依据充分，绩效目标明确，具备实施条件，具有公共性，符合财政资金支持方向，项目完成情况和效益良好，已达到绩效目标。为城市规划建设和管理提供了依据和指引，落实了总体规划目标要求，衔接了相关专项规划空间需求。21</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新一轮找矿突破战略行动工作经费专项预算项目绩效自评得分为90分，绩效自评综述：该项目立项必要性和依据充分，绩效目标明确，具备实施条件，具有公共性，符合财政资金支持方向，项目完成情况和效益良好，已达到绩效目标。已落实省级基金投入米易海塔、东区大黑山钒钛磁铁矿调查评价等7个项目在攀枝花实施，落实涉及我市1:5万矿产区域调查图幅9个。22</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攀枝花市炳草岗片区（炳草岗一单元）国土空间详细规划》编制专项预算项目绩效自评得分为90分，绩效自评综述：该项目立项必要性和依据充分，绩效目标明确，具备实施条件，具有公共性，符合财政资金支持方向，项目完成情况和效益良好，已达到绩效目标。为城市规划建设和管理提供了依据和指引，落实了总体规划目标要求，衔接了相关专项规划空间需求。23</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东区斜坡地质灾害隐患风险详查及3个重点乡（镇、街办）1:10000地质灾害精细化调查项目专项预算项目绩效自评得分为90分，绩效自评综述：该项目立项必要性和依据充分，绩效目标明确，具备实施条件，具有公共性，符合财政资金支持方向，项目完成情况和效益良好，已达到绩效目标。摸清风险斜坡底数，建立风险斜坡数据库，切实推动地质灾害“隐患点+风险区”管控试点等重点工作，全面支撑地质灾害防治工作，取得预期成效。24</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盐边县斜坡地质灾害隐患风险详查、3个重点乡（镇）1:10000地质灾害精细化调查和地质灾害风险双控试点项目专项预算项目绩效自评得分为90分，绩效自评综述：该项目立项必要性和依据充分，绩效目标明确，具备实施条件，具有公共性，符合财政资金支持方向，项目完成情况和效益良好，已达到绩效目标。摸清风险斜坡底数，建立风险斜坡数据库，切实推动地质灾害“隐患点+风险区”管控试点等重点工作，全面支撑地质灾害防治工作。25</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地质环境信息系统维护（2024年度）专项预算项目绩效自评得分为90分，绩效自评综述：该项目立项必要性和依据充分，绩效目标明确，具备实施条件，具有公共性，符合财政资金支持方向，项目完成情况和效益良好，已达到绩效目标。完成系统维护，保障我市地质灾害防治工作正常运行。26</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攀枝花市格里坪工业园区（格里坪单元、龙洞单元）详细规划》修编专项预算项目绩效自评得分为90分，绩效自评综述：该项目立项必要性和依据充分，绩效目标明确，具备实施条件，具有公共性，符合财政资金支持方向，项目完成情况和效益良好，已达到绩效目标。为城市规划建设和管理提供了依据和指引，落实了总体规划目标要求，衔接了相关专项规划空间需求。27</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市级国土空间生态修复规划编制项目（清欠）专项预算项目绩效自评得分为90分，绩效自评综述：该项目立项必要性和依据充分，绩效目标明确，具备实施条件，具有公共性，符合财政资金支持方向，项目完成情况和效益良好，已达到绩效目标。项目符合政策导向，审批及采购程序规范，严格执行财务管理制度，按时完成了编制任务，产出指标符合预期，取得了良好的效益和群众认可。28</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2024年度攀枝花城市发展暨土地资源推介专项预算项目绩效自评得分为93分，绩效自评综述：该项目立项必要性和依据充分，绩效目标明确，具备实施条件，具有公共性，符合财政资金支持方向，项目完成情况和效益良好，已达到绩效目标。完成了外地城市的推介和本地城市发布会，对我市各县（区）重点片区和拟上市的优质土地及文旅资源进行重点推介，取得了较好的效果。29</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四川省攀枝花地区煤矿采空区煤层气资源调查评价项目专项预算项目绩效自评得分为90分，绩效自评综述：该项目立项必要性和依据充分，绩效目标明确，具备实施条件，具有公共性，符合财政资金支持方向，项目完成情况和效益良好，已达到绩效目标。查明攀枝花宝鼎矿区及周边地区煤层气资源分布与富集规律，形成《攀枝花地区煤层气资源普查报告》成果报告。30</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四川省钽（铌）矿资源富集规律基础调查（攀枝花片区）项目专项预算项目绩效自评得分为90分，绩效自评综述：该项目立项必要性和依据充分，绩效目标明确，具备实施条件，具有公共性，符合财政资金支持方向，项目完成情况和效益良好，已达到绩效目标。系统开展资料收集、分析研究，研究钽（铌）矿成矿地质条件、控矿因素等，指出找矿方向与成矿有利地段，圈定1处矿化点，编制完成攀枝花片区项目报告，项目达到预期目标。31</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入驻政务服务中心单位租金、物业费及水电费专项预算项目绩效自评得分为90分，绩效自评综述：该项目立项必要性和依据充分，绩效目标明确，具备实施条件，具有公共性，符合财政资金支持方向，项目完成情况和效益良好，已达到绩效目标。保障了7名工作人员全年顺利入驻市政务服务中心，按时足额支付租金、物业费及水电费，确保机构正常运转和行政办公需求，为社会公众提供了连续、稳定的窗口服务，有效支撑了“放管服”改革和营商环境优化工作。32</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2025年度攀枝花市中心城区城镇开发边界局部优化调整专项预算项目绩效自评得分为90分，绩效自评综述：该项目立项必要性和依据充分，绩效目标明确，具备实施条件，具有公共性，符合财政资金支持方向，项目完成情况和效益良好，已达到绩效目标。项目已编制完成并经自然资源部审查备案后下发正式启用。33</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各类调查监测经费专项预算项目绩效自评得分为90分，绩效自评综述：该项目立项必要性和依据充分，绩效目标明确，具备实施条件，具有公共性，符合财政资金支持方向，项目完成情况和效益良好，已达到绩效目标。高质量完成各项调查，并通过国家质量核查。34</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自然资源综合行政执法经费（机关）专项预算项目绩效自评得分为90分，绩效自评综述：该项目立项必要性和依据充分，绩效目标明确，具备实施条件，具有公共性，符合财政资金支持方向，项目完成情况和效益良好，已达到绩效目标。按期完成卫片执法全流程技术支撑，顺利通过部省两级审核、实现零问责；完成20宗宗地测量，足额保障非税收入征收；完成3宗耕地破坏鉴定，支撑违法案件依法处置，全面提升自然资源执法规范化水平。35</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攀枝花市市级矿产资源规划（2026</w:t>
      </w:r>
      <w:r>
        <w:rPr>
          <w:rFonts w:hint="eastAsia" w:ascii="Times New Roman" w:eastAsia="仿宋_GB2312"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2030年）编制专项工作经费专项预算项目绩效自评得分为90分，绩效自评综述：该项目立项必要性和依据充分，绩效目标明确，具备实施条件，具有公共性，符合财政资金支持方向，项目完成情况和效益良好，已达到绩效目标。项目按照全省统一进度安排正在稳步推进，规划报批稿正在编制完善中。36</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本级2025年度其他自然资源调查监测专项工作项目专项预算项目绩效自评得分为90分，绩效自评综述：该项目立项必要性和依据充分，绩效目标明确，具备实施条件，具有公共性，符合财政资金支持方向，项目完成情况和效益良好，已达到绩效目标。高质量全面完成2025年度城镇国土空间监测、2024年度耕地资源质量分类更新与监测、2025年度林草湿荒监测，持续推进水资源调查。37</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攀枝花市《兰谱路历史文化街区（城市原点片区）城市设计</w:t>
      </w:r>
      <w:r>
        <w:rPr>
          <w:rFonts w:hint="eastAsia" w:ascii="Times New Roman" w:eastAsia="仿宋_GB2312"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望江片区—大梯道—二街坊片区城市设计》专项预算项目绩效自评得分为90分，绩效自评综述：该项目立项必要性和依据充分，绩效目标明确，具备实施条件，具有公共性，符合财政资金支持方向，项目完成情况和效益良好，已达到绩效目标。梳理总结形成城市设计指引，提出具体规划管控措施，为指导两个城市更新重点片区项目实施提供了依据和指引，切实完善片区功能和提升生活品质。38</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耕地、林地、园地空间治理一张图建设项目专项预算项目绩效自评得分为90分，绩效自评综述：该项目立项必要性和依据充分，绩效目标明确，具备实施条件，具有公共性，符合财政资金支持方向，项目完成情况和效益良好，已达到绩效目标。</w:t>
      </w:r>
      <w:r>
        <w:rPr>
          <w:rFonts w:hint="eastAsia" w:ascii="Times New Roman" w:eastAsia="仿宋_GB2312" w:cs="仿宋_GB2312"/>
          <w:b w:val="0"/>
          <w:bCs w:val="0"/>
          <w:color w:val="auto"/>
          <w:sz w:val="32"/>
          <w:szCs w:val="32"/>
          <w:lang w:val="en-US" w:eastAsia="zh-CN"/>
        </w:rPr>
        <w:t>该项目实现</w:t>
      </w:r>
      <w:r>
        <w:rPr>
          <w:rFonts w:hint="eastAsia" w:ascii="Times New Roman" w:hAnsi="Times New Roman" w:eastAsia="仿宋_GB2312" w:cs="仿宋_GB2312"/>
          <w:b w:val="0"/>
          <w:bCs w:val="0"/>
          <w:color w:val="auto"/>
          <w:sz w:val="32"/>
          <w:szCs w:val="32"/>
          <w:lang w:val="en-US" w:eastAsia="zh-CN"/>
        </w:rPr>
        <w:t>了精准划定管理边界、耕地规模与质量双提升、空间布局更加优化、资源保障能力增强。39</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2025攀枝花城市价值暨土地资源发布会专项预算项目绩效自评得分为90分，绩效自评综述：该项目立项必要性和依据充分，绩效目标明确，具备实施条件，具有公共性，符合财政资金支持方向，项目完成情况和效益良好，已达到绩效目标。活动获中国经济网、中国新闻社等20余家主流媒体报道，现场10余家开发企业表</w:t>
      </w:r>
      <w:r>
        <w:rPr>
          <w:rFonts w:hint="eastAsia" w:ascii="Times New Roman" w:eastAsia="仿宋_GB2312" w:cs="仿宋_GB2312"/>
          <w:b w:val="0"/>
          <w:bCs w:val="0"/>
          <w:color w:val="auto"/>
          <w:sz w:val="32"/>
          <w:szCs w:val="32"/>
          <w:lang w:val="en-US" w:eastAsia="zh-CN"/>
        </w:rPr>
        <w:t>达了</w:t>
      </w:r>
      <w:r>
        <w:rPr>
          <w:rFonts w:hint="eastAsia" w:ascii="Times New Roman" w:hAnsi="Times New Roman" w:eastAsia="仿宋_GB2312" w:cs="仿宋_GB2312"/>
          <w:b w:val="0"/>
          <w:bCs w:val="0"/>
          <w:color w:val="auto"/>
          <w:sz w:val="32"/>
          <w:szCs w:val="32"/>
          <w:lang w:val="en-US" w:eastAsia="zh-CN"/>
        </w:rPr>
        <w:t>强烈的投资意愿和拿地诉求，进一步打开了企业家投资攀枝花、创业攀枝花的新局面。40</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攀枝花市2025年清理拖欠企业欠款（市级</w:t>
      </w:r>
      <w:r>
        <w:rPr>
          <w:rFonts w:hint="eastAsia" w:ascii="Times New Roman" w:eastAsia="仿宋_GB2312" w:cs="仿宋_GB2312"/>
          <w:b w:val="0"/>
          <w:bCs w:val="0"/>
          <w:color w:val="auto"/>
          <w:sz w:val="32"/>
          <w:szCs w:val="32"/>
          <w:lang w:val="en-US" w:eastAsia="zh-CN"/>
        </w:rPr>
        <w:t>50万元以下</w:t>
      </w:r>
      <w:r>
        <w:rPr>
          <w:rFonts w:hint="eastAsia" w:ascii="Times New Roman" w:hAnsi="Times New Roman" w:eastAsia="仿宋_GB2312" w:cs="仿宋_GB2312"/>
          <w:b w:val="0"/>
          <w:bCs w:val="0"/>
          <w:color w:val="auto"/>
          <w:sz w:val="32"/>
          <w:szCs w:val="32"/>
          <w:lang w:val="en-US" w:eastAsia="zh-CN"/>
        </w:rPr>
        <w:t>）专项预算项目绩效自评得分为90分，绩效自评综述：该项目立项必要性和依据充分，绩效目标明确，具备实施条件，具有公共性，符合财政资金支持方向，项目完成情况和效益良好，已达到绩效目标。目标设置科学、合理，自评结论良好。41</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十五五”基础测绘规划编制专项预算项目绩效自评得分为89分，绩效自评综述：该项目立项必要性和依据充分，绩效目标明确，具备实施条件，具有公共性，符合财政资金支持方向，项目完成情况和效益良好，已达到绩效目标。《攀枝花市“十五五”基础测绘规划》将成为我市“十五五”期间测绘地理信息事业转型升级发展的指导性文件，能有效指导市级层面基础测绘建设，为区（县）基础测绘建设提供政策指引和工作要求。42</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办公用房维修改造项目专项预算项目绩效自评得分为90分，绩效自评综述：该项目立项必要性和依据充分，绩效目标明确，具备实施条件，具有公共性，符合财政资金支持方向，项目完成情况和效益良好，已达到绩效目标。通过实施办公用房维修改造，切实改善了办公条件，提高了工作效率，提升了政务服务效能，方便了群众办事，优化了办公环境、降低了水电物业成本，年度绩效目标全部完成。43</w:t>
      </w:r>
      <w:r>
        <w:rPr>
          <w:rFonts w:hint="eastAsia" w:ascii="Times New Roman" w:cs="仿宋_GB2312"/>
          <w:b w:val="0"/>
          <w:bCs w:val="0"/>
          <w:color w:val="auto"/>
          <w:sz w:val="32"/>
          <w:szCs w:val="32"/>
          <w:lang w:val="en-US" w:eastAsia="zh-CN"/>
        </w:rPr>
        <w:t>.</w:t>
      </w:r>
      <w:r>
        <w:rPr>
          <w:rFonts w:hint="eastAsia" w:ascii="Times New Roman" w:hAnsi="Times New Roman" w:eastAsia="仿宋_GB2312" w:cs="仿宋_GB2312"/>
          <w:b w:val="0"/>
          <w:bCs w:val="0"/>
          <w:color w:val="auto"/>
          <w:sz w:val="32"/>
          <w:szCs w:val="32"/>
          <w:lang w:val="en-US" w:eastAsia="zh-CN"/>
        </w:rPr>
        <w:t>攀枝花市2025年度国土变更调查和2026年度日常变更调查专项工作专项预算项目绩效自评得分为90分，绩效自评综述：该项目立项必要性和依据充分，绩效目标明确，具备实施条件，具有公共性，符合财政资金支持方向，项目完成情况和效益良好，已达到绩效目标。高质量全面完成2025年变更调查，持续推进2026年日常动态监测。</w:t>
      </w:r>
      <w:r>
        <w:rPr>
          <w:rFonts w:hint="eastAsia" w:ascii="Times New Roman" w:hAnsi="Times New Roman" w:eastAsia="仿宋_GB2312" w:cs="仿宋_GB2312"/>
          <w:color w:val="auto"/>
          <w:kern w:val="2"/>
          <w:sz w:val="32"/>
          <w:szCs w:val="32"/>
          <w:highlight w:val="none"/>
          <w:lang w:val="en-US" w:eastAsia="zh-CN" w:bidi="ar-SA"/>
        </w:rPr>
        <w:t>44.攀枝花市储备土地管护（含空置房管护）经费专项预算项目绩效自评得分为100分，绩效自评综述：综合前述评估内容来看，该项目立项必要性和依据充分，绩效目标明确，具备实施条件，具有公共性，符合财政资金支持方向，项目完成情况和效益良好，已达到绩效目标。编制了2025年攀枝花市土地储备计划，加强储备土地及地面资产管理，确保市级储备土地环境卫生整洁并及时排查消除各类安全隐患，完成全民所有土地资产管理信息系统信息填报，做好空置安置房日常维护和物业管理。年度绩效目标全部完成。45.攀枝花市退休“中人”一次性退休补贴专项预算项目绩效自评得分为100分，绩效自评综述：综合前述评估内容来看，该项目立项必要性和依据充分，绩效目标明确，具备实施条件，具有公共性，符合财政资金支持方向，项目完成情况和效益良好，已达到绩效目标。及时发放退休“中人”一次性退休补贴，保障了退休人员待遇，年度绩效目标全部完成。46.攀枝花市21条道路雨污水窨井盖加装防坠网工程专项预算项目绩效自评得分为100分，绩效自评综述：综合前述评估内容来看，该项目立项必要性和依据充分，绩效目标明确，具备实施条件，具有公共性，符合财政资金支持方向，项目完成情况和效益良好，已达到绩效目标。支付工程施工合同尾款0.4万元，工程款项及时足额拨付到位，年度绩效目标全部完成。47.攀枝花市红格南钒钛磁铁矿开发建设用（征）地补偿安置工作（市级）专项预算项目绩效自评得分为100分，绩效自评综述：综合前述评估内容来看，该项目立项必要性和依据充分，绩效目标明确，具备实施条件，具有公共性，符合财政资金支持方向，项目完成情况和效益良好，已达到绩效目标。根据盐边县资金需求及市财政资金安排，及时拨付红格南钒钛磁铁矿开发建设用（征）地补偿安置市级资金，有力保障重大项目用地保障工作。48.攀枝花市解决凤凰小区乡情苑11号安置住宅楼遗留问题所需资金专项预算项目绩效自评得分为75分，绩效自评综述：综合前述评估内容来看，该项目立项必要性和依据充分，绩效目标明确，具备实施条件，具有公共性，符合财政资金支持方向，项目完成情况和效益良好，已达到绩效目标。完成乡情苑11号安置住宅楼房屋安全结构鉴定、房产测绘工作，完成消防整改实施前期工作。因部分工作任务尚未全部办结，自评得分为75分。49.攀枝花市炳二区主干路A标段专项预算项目绩效自评得分为100分，绩效自评综述：综合前述评估内容来看，该项目立项必要性和依据充分，绩效目标明确，具备实施条件，具有公共性，符合财政资金支持方向，项目完成情况和效益良好，已达到绩效目标。工程已于2013年12月26日竣工、2019年5月30日完成审计（审定额3507.5194万元），在财政资金下达后确保欠付施工尾款216.5082万元及时足额拨付。50.攀枝花市炳三区二期城市基础设施道路照明工程专项预算项目绩效自评得分为100分，绩效自评综述：综合前述评估内容来看，该项目立项必要性和依据充分，绩效目标明确，具备实施条件，具有公共性，符合财政资金支持方向，项目完成情况和效益良好，已达到绩效目标。工程已于2016年8月2日竣工、2022年10月21日完成审计，市财政资金下达后确保42.52464万元施工合同尾款及时、足额支付。51.攀枝花市炳二区堰塞湖应急处置原有临时排污系统清理工程专项预算项目绩效自评得分为100分，绩效自评综述：综合前述评估内容来看，该项目立项必要性和依据充分，绩效目标明确，具备实施条件，具有公共性，符合财政资金支持方向，项目完成情况和效益良好，已达到绩效目标。支付工程施工合同尾款3.1881万元，工程款项足额拨付到位，年度绩效目标全部完成。52.攀枝花市炳三区标线、标牌施工专项预算项目绩效自评得分为100分，绩效自评综述：综合前述评估内容来看，该项目立项必要性和依据充分，绩效目标明确，具备实施条件，具有公共性，符合财政资金支持方向，项目完成情况和效益良好，已达到绩效目标。拨付攀枝花市炳三区标志标线完善治理项目施工合同尾款，工程款项及时足额支付到位。53.攀枝花市110指挥中心至学府花园之间人行梯步及道路安全防护工程专项预算项目绩效自评得分为100分，绩效自评综述：综合前述评估内容来看，该项目立项必要性和依据充分，绩效目标明确，具备实施条件，具有公共性，符合财政资金支持方向，项目完成情况和效益良好，已达到绩效目标。支付工程施工合同尾款5.80212万元，工程款项足额拨付到位，年度绩效目标全部完成。54.攀枝花市2025年清理拖欠企业欠款（市级）50万元以下）专项预算项目绩效自评得分为82.9分，绩效自评综述：综合前述评估内容来看，该项目立项必要性和依据充分，绩效目标明确，具备实施条件，具有公共性，符合财政资金支持方向，项目完成情况和效益良好，已达到绩效目标。按计划清偿50万元以下拖欠企业欠款，完成年度清欠目标，因部分款项进度影响，自评得分为82.9分。55.攀枝花市退休人员一次性生活补贴（事业）专项预算项目绩效自评得分为100分，绩效自评综述：综合前述评估内容来看，该项目立项必要性和依据充分，绩效目标明确，具备实施条件，具有公共性，符合财政资金支持方向，项目完成情况和效益良好，已达到绩效目标。兑现2022年3月及以前退休人员一次性退休待遇，完成退休人员一次性退休补贴发放，保障了退休人员待遇。56.攀枝花市市级挂职干部补助专项预算项目绩效自评得分为100分，绩效自评综述：综合前述评估内容来看，该项目立项必要性和依据充分，绩效目标明确，具备实施条件，具有公共性，符合财政资金支持方向，项目完成情况和效益良好，已达到绩效目标。按要求下达并支付市级驻村干部生活补助，锻炼了青年干部，推进了当地扶贫工作，一定程度上带动了当地经济发展。57.攀枝花市不动产登记成本费用专项预算项目绩效自评得分为100分，绩效自评综述：综合前述评估内容来看，该项目立项必要性和依据充分，绩效目标明确，具备实施条件，具有公共性，符合财政资金支持方向，项目完成情况和效益良好，已达到绩效目标。保障2025年度职责范围内自然资源、不动产登记发证及档案归档、保管、利用和社会查询服务工作顺利开展，降低了不动产登记风险，提高了办公效率，减少群众等候时间，为深化“放管服”营造了良好的营商环境。58.攀枝花市入驻政务中心单位租金、物业费及水电费专项预算项目绩效自评得分为100分，绩效自评综述：综合前述评估内容来看，该项目立项必要性和依据充分，绩效目标明确，具备实施条件，具有公共性，符合财政资金支持方向，项目完成情况和效益良好，已达到绩效目标。按时支付入驻政务中心单位租金、物业费及水电费，维持机构正常运转，满足不动产登记发证工作需要。59.攀枝花市2024年度不动产权籍调查与测绘服务项目专项预算项目绩效自评得分为100分，绩效自评综述：综合前述评估内容来看，该项目立项必要性和依据充分，绩效目标明确，具备实施条件，具有公共性，符合财政资金支持方向，项目完成情况和效益良好，已达到绩效目标。完成市本级纳入2024年度出让计划的所有招拍挂宗地测绘并按要求提交成果资料，实施应由政府负责完成的其他不动产测绘技术服务，服务内容已全部完成、合同款项已全部支付。60.攀枝花市生产成本专项预算项目绩效自评得分为96分，绩效自评综述：综合前述评估内容来看，该项目立项必要性和依据充分，绩效目标明确，具备实施条件，具有公共性，符合财政资金支持方向，项目完成情况和效益良好，已达到绩效目标。积极参与测绘地理信息市场竞争，完成年度非税收入征收，参与城市基础测绘建设和基础图库动态运维，支撑自然资源管理和经济社会发展。因个别指标未完全达成，自评得分为96分。61.攀枝花市2025年清理拖欠企业欠款（市级）专项预算项目绩效自评得分为100分，绩效自评综述：综合前述评估内容来看，该项目立项必要性和依据充分，绩效目标明确，具备实施条件，具有公共性，符合财政资金支持方向，项目完成情况和效益良好，已达到绩效目标。按照要求完成</w:t>
      </w:r>
      <w:r>
        <w:rPr>
          <w:rFonts w:hint="eastAsia" w:ascii="Times New Roman" w:eastAsia="仿宋_GB2312" w:cs="仿宋_GB2312"/>
          <w:color w:val="auto"/>
          <w:kern w:val="2"/>
          <w:sz w:val="32"/>
          <w:szCs w:val="32"/>
          <w:highlight w:val="none"/>
          <w:lang w:val="en-US" w:eastAsia="zh-CN" w:bidi="ar-SA"/>
        </w:rPr>
        <w:t>50万元以下</w:t>
      </w:r>
      <w:r>
        <w:rPr>
          <w:rFonts w:hint="eastAsia" w:ascii="Times New Roman" w:hAnsi="Times New Roman" w:eastAsia="仿宋_GB2312" w:cs="仿宋_GB2312"/>
          <w:color w:val="auto"/>
          <w:kern w:val="2"/>
          <w:sz w:val="32"/>
          <w:szCs w:val="32"/>
          <w:highlight w:val="none"/>
          <w:lang w:val="en-US" w:eastAsia="zh-CN" w:bidi="ar-SA"/>
        </w:rPr>
        <w:t>服务类企业欠款清理，清偿物业管理服务费、互联网专线业务服务费、测绘地理信息服务费等共计16.78万元，目标设定科学合理，自评结果良好。62.攀枝花市地灾隐患点监测人员经费专项预算项目绩效自评得分为100分，绩效自评综述：综合前述评估内容来看，该项目立项必要性和依据充分，绩效目标明确，具备实施条件，具有公共性，符合财政资金支持方向，项目完成情况和效益良好，已达到绩效目标。按照四川省地质灾害隐患点管理办法，委托三名专职监测员每天对三个隐患点实行简易监测，及时采取防治措施，保障受威胁师生安全。63.攀枝花市东区东林巷东侧崩塌治理工程专项预算项目绩效自评得分为100分，绩效自评综述：综合前述评估内容来看，该项目立项必要性和依据充分，绩效目标明确，具备实施条件，具有公共性，符合财政资金支持方向，项目完成情况和效益良好，已达到绩效目标。采用锚杆格构+植生袋绿化等工程措施完成东林巷东侧崩塌治理工程，消除地灾安全隐患，保护人民群众生命财产安全。64.攀枝花市专项地质灾害隐患排查专项预算项目绩效自评得分为100分，绩效自评综述：综合前述评估内容来看，该项目立项必要性和依据充分，绩效目标明确，具备实施条件，具有公共性，符合财政资金支持方向，项目完成情况和效益良好，已达到绩效目标。完成东区地质灾害风险隐患排查全覆盖，消除地灾安全隐患，保护人民群众生命财产安全。65.攀枝花市2025年清理拖欠企业欠款（市级50万以内）专项预算项目绩效自评得分为100分，绩效自评综述：综合前述评估内容来看，该项目立项必要性和依据充分，绩效目标明确，具备实施条件，具有公共性，符合财政资金支持方向，项目完成情况和效益良好，已达到绩效目标。按时完成拖欠企业欠款支付，维护企业合法权益，确保社会稳定。66.攀枝花市专职监测专项预算项目绩效自评得分为92分，绩效自评综述：综合前述评估内容来看，该项目立项必要性和依据充分，绩效目标明确，具备实施条件，具有公共性，符合财政资金支持方向，项目完成情况和效益良好，已达到绩效目标。开展9个点位巡查检查，落实专业监测人员2名，完成2025年度汛期监测，自评得分为92分。67.攀枝花市西区陶家渡街道三十六</w:t>
      </w:r>
      <w:r>
        <w:rPr>
          <w:rFonts w:hint="eastAsia" w:ascii="Times New Roman" w:eastAsia="仿宋_GB2312" w:cs="仿宋_GB2312"/>
          <w:color w:val="auto"/>
          <w:kern w:val="2"/>
          <w:sz w:val="32"/>
          <w:szCs w:val="32"/>
          <w:highlight w:val="none"/>
          <w:lang w:val="en-US" w:eastAsia="zh-CN" w:bidi="ar-SA"/>
        </w:rPr>
        <w:t>中学</w:t>
      </w:r>
      <w:r>
        <w:rPr>
          <w:rFonts w:hint="eastAsia" w:ascii="Times New Roman" w:hAnsi="Times New Roman" w:eastAsia="仿宋_GB2312" w:cs="仿宋_GB2312"/>
          <w:color w:val="auto"/>
          <w:kern w:val="2"/>
          <w:sz w:val="32"/>
          <w:szCs w:val="32"/>
          <w:highlight w:val="none"/>
          <w:lang w:val="en-US" w:eastAsia="zh-CN" w:bidi="ar-SA"/>
        </w:rPr>
        <w:t>花山校区滑坡工程治理专项预算项目绩效自评得分为97分，绩效自评综述：综合前述评估内容来看，该项目立项必要性和依据充分，绩效目标明确，具备实施条件，具有公共性，符合财政资金支持方向，项目完成情况和效益良好，已达到绩效目标。采用“挂网锚喷+锚杆格构+锚杆肋柱面板挡墙”等支挡措施完成滑坡治理工程，项目已竣工，完成目标任务，自评得分为97分。68.攀枝花市西区斜坡地质灾害隐患风险详查及重点乡镇1:10000精细化专项预算项目绩效自评得分为98分，绩效自评综述：综合前述评估内容来看，该项目立项必要性和依据充分，绩效目标明确，具备实施条件，具有公共性，符合财政资金支持方向，项目完成情况和效益良好，已达到绩效目标。完成西区斜坡地质灾害隐患风险详查及重点乡镇1:10000地质灾害精细化调查，项目已竣工，完成目标任务，自评得分为98分。69.攀枝花市专项地质灾害隐患排查专项预算项目绩效自评得分为90分，绩效自评综述：综合前述评估内容来看，该项目立项必要性和依据充分，绩效目标明确，具备实施条件，具有公共性，符合财政资金支持方向，项目完成情况和效益良好，已达到绩效目标。完成本辖区高陡斜坡山体裂缝、重点山洪泥石流沟及强水弱土弱岩等区域地质灾害</w:t>
      </w:r>
      <w:r>
        <w:rPr>
          <w:rFonts w:hint="eastAsia" w:ascii="Times New Roman" w:eastAsia="仿宋_GB2312" w:cs="仿宋_GB2312"/>
          <w:color w:val="auto"/>
          <w:kern w:val="2"/>
          <w:sz w:val="32"/>
          <w:szCs w:val="32"/>
          <w:highlight w:val="none"/>
          <w:lang w:val="en-US" w:eastAsia="zh-CN" w:bidi="ar-SA"/>
        </w:rPr>
        <w:t>风险隐患排查</w:t>
      </w:r>
      <w:r>
        <w:rPr>
          <w:rFonts w:hint="eastAsia" w:ascii="Times New Roman" w:hAnsi="Times New Roman" w:eastAsia="仿宋_GB2312" w:cs="仿宋_GB2312"/>
          <w:color w:val="auto"/>
          <w:kern w:val="2"/>
          <w:sz w:val="32"/>
          <w:szCs w:val="32"/>
          <w:highlight w:val="none"/>
          <w:lang w:val="en-US" w:eastAsia="zh-CN" w:bidi="ar-SA"/>
        </w:rPr>
        <w:t>，项目已竣工，完成目标任务，自评得分为90分。70.攀枝花市2025年清理拖欠企业欠款（市级）专项预算项目绩效自评得分为100分，绩效自评综述：综合前述评估内容来看，该项目立项必要性和依据充分，绩效目标明确，具备实施条件，具有公共性，符合财政资金支持方向，项目完成情况和效益良好，已达到绩效目标。完成2025年市级拖欠企业欠款清理，项目已竣工，完成目标任务，自评得分为100分。71.攀枝花市2025年清理拖欠企业欠款（区级）专项预算项目绩效自评得分为100分，绩效自评综述：综合前述评估内容来看，该项目立项必要性</w:t>
      </w:r>
      <w:r>
        <w:rPr>
          <w:rFonts w:hint="eastAsia" w:ascii="Times New Roman" w:eastAsia="仿宋_GB2312" w:cs="仿宋_GB2312"/>
          <w:color w:val="auto"/>
          <w:kern w:val="2"/>
          <w:sz w:val="32"/>
          <w:szCs w:val="32"/>
          <w:highlight w:val="none"/>
          <w:lang w:val="en-US" w:eastAsia="zh-CN" w:bidi="ar-SA"/>
        </w:rPr>
        <w:t>充分，</w:t>
      </w:r>
      <w:r>
        <w:rPr>
          <w:rFonts w:hint="eastAsia" w:ascii="Times New Roman" w:hAnsi="Times New Roman" w:eastAsia="仿宋_GB2312" w:cs="仿宋_GB2312"/>
          <w:color w:val="auto"/>
          <w:kern w:val="2"/>
          <w:sz w:val="32"/>
          <w:szCs w:val="32"/>
          <w:highlight w:val="none"/>
          <w:lang w:val="en-US" w:eastAsia="zh-CN" w:bidi="ar-SA"/>
        </w:rPr>
        <w:t>依据充分，绩效目标明确，具备实施条件，具有公共性，符合财政资金支持方向，项目完成情况和效益良好，已达到绩效目标。完成2025年区级拖欠企业欠款清理，项目已竣工，完成目标任务，自评得分为100分。72. 攀枝花市2018‑2021年上级地质灾害防治项目经费专项预算项目绩效自评得分为100分，绩效自评综述：综合前述评估内容来看，该项目立项必要性和依据充分，绩效目标明确，具备实施条件，具有公共性，符合财政资金支持方向，项目完成情况和效益良好，已达到绩效目标。全面完成2018‑2021年7个批次、16个地灾监测、治理项目并通过验收，维护社会和谐稳定。73.攀枝花市2022年第一批中央地灾防治项目专项预算项目绩效自评得分为100分，绩效自评综述：综合前述评估内容来看，该项目立项必要性和依据充分，绩效目标明确，具备实施条件，具有公共性，符合财政资金支持方向，项目完成情况和效益良好，已达到绩效目标。完成炳密、道中桥、务本半边街地灾治理项目和1个斜坡地灾隐患调查，确保人民群众生命财产安全。74.攀枝花市2024年第一批中央地灾防治（起查喇村大村组崖子脚滑坡治理）专项预算项目绩效自评得分为100分，绩效自评综述：综合前述评估内容来看，该项目立项必要性和依据充分，绩效目标明确，具备实施条件，具有公共性，符合财政资金支持方向，项目完成情况和效益良好，已达到绩效目标。完成啊喇乡起查喇村大村组崖子脚滑坡治理工程，确保人民群众生命财产安全。75.攀枝花市2024年第一批中央地灾防治（起查喇村苍蒲地组机动田滑坡治理）专项预算项目绩效自评得分为100分，绩效自评综述：综合前述评估内容来看，该项目立项必要性和依据充分，绩效目标明确，具备实施条件，具有公共性，符合财政资金支持方向，项目完成情况和效益良好，已达到绩效目标。完成啊喇乡起查喇村苍蒲地组机动田滑坡治理工程，确保人民群众生命财产安全。76.攀枝花市专职监测员补助专项预算项目绩效自评得分为</w:t>
      </w:r>
      <w:r>
        <w:rPr>
          <w:rFonts w:hint="eastAsia" w:ascii="Times New Roman"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分，绩效自评综述：综合前述评估内容来看，该项目立项必要性和依据充分，绩效目标明确，具备实施条件，具有公共性，符合财政资金支持方向，项目完成情况和效益良好，已达到绩效目标。对仁和区辖区内地质灾害防治专职监测人员发放误工补助，确保持续、高效开展地质灾害监测，保护人民群众生命财产安全。77.攀枝花市2024年第二批地灾防治项目（省级）专项预算项目绩效自评得分为100分，绩效自评综述：综合前述评估内容来看，该项目立项必要性和依据充分，绩效目标明确，具备实施条件，具有公共性，符合财政资金支持方向，项目完成情况和效益良好，已达到绩效目标。完成布德镇龙田村夏家岩脚崩塌治理，确保人民群众生命财产安全。78.攀枝花市2025年第一批（中央）地灾防治专项资金专项预算项目绩效自评得分为100分，绩效自评综述：综合前述评估内容来看，该项目立项必要性和依据充分，绩效目标明确，具备实施条件，具有公共性，符合财政资金支持方向，项目完成情况和效益良好，已达到绩效目标。完成啊喇乡啊喇村大村组滑坡治理工程，确保人民群众生命财产安全。79.攀枝花市专项地质灾害隐患排查（仁和区）专项预算项目绩效自评得分为100分，绩效自评综述：综合前述评估内容来看，该项目立项必要性和依据充分，绩效目标明确，具备实施条件，具有公共性，符合财政资金支持方向，项目完成情况和效益良好，已达到绩效目标。排查仁和辖区内地灾隐患，保障人民群众生命财产安全。80.攀枝花市矿产违法实地测绘项目专项预算项目绩效自评得分为</w:t>
      </w:r>
      <w:r>
        <w:rPr>
          <w:rFonts w:hint="eastAsia" w:ascii="Times New Roman"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分，绩效自评综述：综合前述评估内容来看，该项目立项必要性和依据充分，绩效目标明确，具备实施条件，具有公共性，符合财政资金支持方向，项目完成情况和效益良好，已达到绩效目标。实施矿产违法实地测绘，为矿产违法案件依法查处提供技术支撑，取得预期成效。81.攀枝花市2025年清理拖欠企业欠款（区级）专项预算项目绩效自评得分为100分，绩效自评综述：综合前述评估内容来看，该项目立项必要性和依据充分，绩效目标明确，具备实施条件，具有公共性，符合财政资金支持方向，项目完成情况和效益良好，已达到绩效目标。解决历史拖欠款项，化解历史债务，维护企业合法权益，确保社会和谐稳定。82.攀枝花市2025年清理拖欠企业欠款（50</w:t>
      </w:r>
      <w:r>
        <w:rPr>
          <w:rFonts w:hint="eastAsia" w:ascii="Times New Roman"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以下工程类）专项预算项目绩效自评得分为100分，绩效自评综述：综合前述评估内容来看，该项目立项必要性和依据充分，绩效目标明确，具备实施条件，具有公共性，符合财政资金支持方向，项目完成情况和效益良好，已达到绩效目标。解决仁和区历史拖欠款项，化解历史债务，确保社会和谐稳定。83.攀枝花市2025年第四批地质灾害防治专项资金（省级）专项预算项目绩效自评得分为100分，绩效自评综述：综合前述评估内容来看，该项目立项必要性和依据充分，绩效目标明确，具备实施条件，具有公共性，符合财政资金支持方向，项目完成情况和效益良好，已达到绩效目标。组织仁和辖区内21户地质灾害避险搬迁项目，2026年底前全面完成，保护人民群众生命财产安全，改善提升居住环境。84.攀枝花市自然资源所乡镇工作补贴专项预算项目绩效自评得分为</w:t>
      </w:r>
      <w:r>
        <w:rPr>
          <w:rFonts w:hint="eastAsia" w:ascii="Times New Roman"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分，绩效自评综述：综合前述评估内容来看，该项目立项必要性和依据充分，绩效目标明确，具备实施条件，具有公共性，符合财政资金支持方向，项目完成情况和效益良好，已达到绩效目标。完成仁和辖区内自然资源所工作人员乡镇工作补贴的发放。</w:t>
      </w:r>
    </w:p>
    <w:p w14:paraId="25D8AD8B">
      <w:pPr>
        <w:pStyle w:val="8"/>
        <w:spacing w:line="560" w:lineRule="exact"/>
        <w:ind w:firstLine="643"/>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绩效自评报告详见附件。</w:t>
      </w:r>
    </w:p>
    <w:p w14:paraId="25469BF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E7DD41F">
      <w:pPr>
        <w:rPr>
          <w:rFonts w:hint="eastAsia" w:ascii="Times New Roman" w:hAnsi="Times New Roman" w:eastAsia="黑体"/>
          <w:color w:val="auto"/>
          <w:sz w:val="44"/>
          <w:szCs w:val="44"/>
          <w:highlight w:val="none"/>
        </w:rPr>
      </w:pPr>
      <w:bookmarkStart w:id="82" w:name="_Toc15377225"/>
      <w:bookmarkStart w:id="83" w:name="_Toc15396613"/>
      <w:r>
        <w:rPr>
          <w:rFonts w:hint="eastAsia" w:ascii="Times New Roman" w:hAnsi="Times New Roman" w:eastAsia="黑体"/>
          <w:color w:val="auto"/>
          <w:sz w:val="44"/>
          <w:szCs w:val="44"/>
          <w:highlight w:val="none"/>
        </w:rPr>
        <w:br w:type="page"/>
      </w:r>
    </w:p>
    <w:p w14:paraId="6CBE652D">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84" w:name="_Toc127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82"/>
      <w:bookmarkEnd w:id="83"/>
      <w:bookmarkEnd w:id="84"/>
    </w:p>
    <w:p w14:paraId="275F2BD9">
      <w:pPr>
        <w:spacing w:line="600" w:lineRule="exact"/>
        <w:jc w:val="left"/>
        <w:rPr>
          <w:rFonts w:ascii="Times New Roman" w:hAnsi="Times New Roman"/>
          <w:b/>
          <w:color w:val="auto"/>
          <w:sz w:val="44"/>
          <w:szCs w:val="44"/>
          <w:highlight w:val="none"/>
        </w:rPr>
      </w:pPr>
    </w:p>
    <w:p w14:paraId="7A8B1B65">
      <w:pPr>
        <w:pStyle w:val="31"/>
        <w:numPr>
          <w:ilvl w:val="0"/>
          <w:numId w:val="3"/>
        </w:numPr>
        <w:spacing w:before="93" w:line="560" w:lineRule="exact"/>
        <w:ind w:firstLine="640" w:firstLineChars="200"/>
        <w:rPr>
          <w:rFonts w:ascii="Times New Roman" w:eastAsia="仿宋_GB2312" w:cs="Times New Roman"/>
          <w:color w:val="auto"/>
          <w:sz w:val="32"/>
          <w:szCs w:val="32"/>
        </w:rPr>
      </w:pPr>
      <w:r>
        <w:rPr>
          <w:rFonts w:hint="eastAsia" w:ascii="Times New Roman" w:eastAsia="仿宋_GB2312" w:cs="Times New Roman"/>
          <w:color w:val="auto"/>
          <w:sz w:val="32"/>
          <w:szCs w:val="32"/>
        </w:rPr>
        <w:t>财政拨款收入：指单位从同级财政部门取得的财政预算资金。</w:t>
      </w:r>
    </w:p>
    <w:p w14:paraId="6C7B444E">
      <w:pPr>
        <w:pStyle w:val="31"/>
        <w:numPr>
          <w:ilvl w:val="0"/>
          <w:numId w:val="3"/>
        </w:numPr>
        <w:spacing w:before="93" w:line="560" w:lineRule="exact"/>
        <w:ind w:firstLine="640" w:firstLineChars="200"/>
        <w:rPr>
          <w:rFonts w:ascii="Times New Roman" w:eastAsia="仿宋_GB2312" w:cs="Times New Roman"/>
          <w:color w:val="auto"/>
          <w:sz w:val="32"/>
          <w:szCs w:val="32"/>
        </w:rPr>
      </w:pPr>
      <w:r>
        <w:rPr>
          <w:rFonts w:hint="eastAsia" w:ascii="Times New Roman" w:eastAsia="仿宋_GB2312" w:cs="Times New Roman"/>
          <w:color w:val="auto"/>
          <w:sz w:val="32"/>
          <w:szCs w:val="32"/>
        </w:rPr>
        <w:t>年初结转和结余：指以前年度尚未完成、结转到本年按有关规定继续使用的资金。</w:t>
      </w:r>
    </w:p>
    <w:p w14:paraId="6206196A">
      <w:pPr>
        <w:numPr>
          <w:ilvl w:val="0"/>
          <w:numId w:val="3"/>
        </w:numPr>
        <w:spacing w:line="600" w:lineRule="exact"/>
        <w:ind w:firstLine="640" w:firstLineChars="200"/>
        <w:rPr>
          <w:rFonts w:eastAsia="仿宋_GB2312"/>
          <w:kern w:val="0"/>
          <w:sz w:val="32"/>
          <w:szCs w:val="32"/>
        </w:rPr>
      </w:pPr>
      <w:r>
        <w:rPr>
          <w:rFonts w:hint="eastAsia" w:eastAsia="仿宋_GB2312"/>
          <w:kern w:val="0"/>
          <w:sz w:val="32"/>
          <w:szCs w:val="32"/>
          <w:lang w:eastAsia="zh-CN"/>
        </w:rPr>
        <w:t>一般公共预算财政拨款</w:t>
      </w:r>
      <w:r>
        <w:rPr>
          <w:rFonts w:hint="eastAsia" w:eastAsia="仿宋_GB2312"/>
          <w:kern w:val="0"/>
          <w:sz w:val="32"/>
          <w:szCs w:val="32"/>
        </w:rPr>
        <w:t>收入：指市级财政当年拨付的资金。</w:t>
      </w:r>
    </w:p>
    <w:p w14:paraId="7F37A159">
      <w:pPr>
        <w:numPr>
          <w:ilvl w:val="0"/>
          <w:numId w:val="3"/>
        </w:numPr>
        <w:spacing w:line="600" w:lineRule="exact"/>
        <w:ind w:firstLine="640" w:firstLineChars="200"/>
        <w:rPr>
          <w:rFonts w:eastAsia="仿宋_GB2312"/>
          <w:kern w:val="0"/>
          <w:sz w:val="32"/>
          <w:szCs w:val="32"/>
        </w:rPr>
      </w:pPr>
      <w:r>
        <w:rPr>
          <w:rFonts w:hint="eastAsia" w:eastAsia="仿宋_GB2312"/>
          <w:kern w:val="0"/>
          <w:sz w:val="32"/>
          <w:szCs w:val="32"/>
        </w:rPr>
        <w:t>政府性基金预算收入：按规定收取、转入或通过当年财政安排，纳入预算管理的收入。</w:t>
      </w:r>
    </w:p>
    <w:p w14:paraId="3C7B264E">
      <w:pPr>
        <w:spacing w:line="580" w:lineRule="exact"/>
        <w:ind w:firstLine="640" w:firstLineChars="200"/>
        <w:rPr>
          <w:rFonts w:eastAsia="仿宋_GB2312"/>
          <w:kern w:val="0"/>
        </w:rPr>
      </w:pPr>
      <w:r>
        <w:rPr>
          <w:rFonts w:eastAsia="仿宋_GB2312"/>
          <w:kern w:val="0"/>
          <w:sz w:val="32"/>
          <w:szCs w:val="32"/>
        </w:rPr>
        <w:t>5.</w:t>
      </w:r>
      <w:r>
        <w:rPr>
          <w:rFonts w:hint="eastAsia" w:eastAsia="仿宋_GB2312"/>
          <w:kern w:val="0"/>
          <w:sz w:val="32"/>
          <w:szCs w:val="32"/>
        </w:rPr>
        <w:t>一般公共服务支出（类）纪检监察事务（款）派驻派出机构（项</w:t>
      </w:r>
      <w:r>
        <w:rPr>
          <w:rFonts w:hint="eastAsia" w:eastAsia="仿宋_GB2312"/>
          <w:kern w:val="0"/>
          <w:sz w:val="32"/>
          <w:szCs w:val="32"/>
          <w:lang w:eastAsia="zh-CN"/>
        </w:rPr>
        <w:t>）</w:t>
      </w:r>
      <w:r>
        <w:rPr>
          <w:rFonts w:hint="eastAsia" w:eastAsia="仿宋_GB2312"/>
          <w:kern w:val="0"/>
          <w:sz w:val="32"/>
          <w:szCs w:val="32"/>
        </w:rPr>
        <w:t>：反映用于由纪检监察部门负担的派驻各部门和单位的纪检监察人员的专项业务支出。</w:t>
      </w:r>
    </w:p>
    <w:p w14:paraId="7AED557E">
      <w:pPr>
        <w:spacing w:line="600" w:lineRule="exact"/>
        <w:ind w:firstLine="640" w:firstLineChars="200"/>
        <w:rPr>
          <w:rFonts w:eastAsia="仿宋_GB2312"/>
          <w:kern w:val="0"/>
          <w:sz w:val="32"/>
          <w:szCs w:val="32"/>
        </w:rPr>
      </w:pPr>
      <w:r>
        <w:rPr>
          <w:rFonts w:eastAsia="仿宋_GB2312"/>
          <w:kern w:val="0"/>
          <w:sz w:val="32"/>
          <w:szCs w:val="32"/>
        </w:rPr>
        <w:t>6.</w:t>
      </w:r>
      <w:r>
        <w:rPr>
          <w:rFonts w:hint="eastAsia" w:eastAsia="仿宋_GB2312"/>
          <w:kern w:val="0"/>
          <w:sz w:val="32"/>
          <w:szCs w:val="32"/>
        </w:rPr>
        <w:t>一般公共服务支出（类）组织事务（款）其他组织事务支出（项）：</w:t>
      </w:r>
      <w:r>
        <w:rPr>
          <w:rFonts w:hint="eastAsia" w:eastAsia="仿宋_GB2312"/>
          <w:kern w:val="0"/>
          <w:sz w:val="32"/>
          <w:szCs w:val="32"/>
          <w:lang w:eastAsia="zh-CN"/>
        </w:rPr>
        <w:t>反映</w:t>
      </w:r>
      <w:r>
        <w:rPr>
          <w:rFonts w:hint="eastAsia" w:eastAsia="仿宋_GB2312"/>
          <w:kern w:val="0"/>
          <w:sz w:val="32"/>
          <w:szCs w:val="32"/>
        </w:rPr>
        <w:t>用于中国共产党组织部门的事务支出。</w:t>
      </w:r>
    </w:p>
    <w:p w14:paraId="20FF7AFB">
      <w:pPr>
        <w:spacing w:line="600" w:lineRule="exact"/>
        <w:ind w:firstLine="640" w:firstLineChars="200"/>
        <w:rPr>
          <w:rFonts w:eastAsia="仿宋_GB2312"/>
          <w:kern w:val="0"/>
          <w:sz w:val="32"/>
          <w:szCs w:val="32"/>
        </w:rPr>
      </w:pPr>
      <w:r>
        <w:rPr>
          <w:rFonts w:eastAsia="仿宋_GB2312"/>
          <w:kern w:val="0"/>
          <w:sz w:val="32"/>
          <w:szCs w:val="32"/>
        </w:rPr>
        <w:t>7.</w:t>
      </w:r>
      <w:r>
        <w:rPr>
          <w:rFonts w:hint="eastAsia" w:eastAsia="仿宋_GB2312"/>
          <w:kern w:val="0"/>
          <w:sz w:val="32"/>
          <w:szCs w:val="32"/>
        </w:rPr>
        <w:t>社会保障和就业支出（类）人力资源和社会保障管理事务（款）其他人力资源和社会保障管理事务支出（项）：反映用于其他人力资源和社会保障管理事务支出。</w:t>
      </w:r>
    </w:p>
    <w:p w14:paraId="0D5BBF14">
      <w:pPr>
        <w:spacing w:line="580" w:lineRule="exact"/>
        <w:ind w:firstLine="640" w:firstLineChars="200"/>
        <w:rPr>
          <w:rFonts w:eastAsia="仿宋_GB2312"/>
          <w:kern w:val="0"/>
        </w:rPr>
      </w:pPr>
      <w:r>
        <w:rPr>
          <w:rFonts w:eastAsia="仿宋_GB2312"/>
          <w:kern w:val="0"/>
          <w:sz w:val="32"/>
          <w:szCs w:val="32"/>
        </w:rPr>
        <w:t>8.</w:t>
      </w:r>
      <w:r>
        <w:rPr>
          <w:rFonts w:hint="eastAsia" w:eastAsia="仿宋_GB2312"/>
          <w:kern w:val="0"/>
          <w:sz w:val="32"/>
          <w:szCs w:val="32"/>
        </w:rPr>
        <w:t>社会保障和就业支出（类）行政事业单位养老支出（款）行政单位离退休（项）：反映用于行政单位（包括实行公务员管理的事业单位）开支的离退休经费。</w:t>
      </w:r>
    </w:p>
    <w:p w14:paraId="0356B5A5">
      <w:pPr>
        <w:spacing w:line="580" w:lineRule="exact"/>
        <w:ind w:firstLine="640" w:firstLineChars="200"/>
        <w:rPr>
          <w:rFonts w:eastAsia="仿宋_GB2312"/>
          <w:kern w:val="0"/>
          <w:sz w:val="32"/>
          <w:szCs w:val="32"/>
        </w:rPr>
      </w:pPr>
      <w:r>
        <w:rPr>
          <w:rFonts w:eastAsia="仿宋_GB2312"/>
          <w:kern w:val="0"/>
          <w:sz w:val="32"/>
          <w:szCs w:val="32"/>
        </w:rPr>
        <w:t>9.</w:t>
      </w:r>
      <w:r>
        <w:rPr>
          <w:rFonts w:hint="eastAsia" w:eastAsia="仿宋_GB2312"/>
          <w:kern w:val="0"/>
          <w:sz w:val="32"/>
          <w:szCs w:val="32"/>
        </w:rPr>
        <w:t>社会保障和就业支出（类）行政事业单位养老支出（款）事业单位离退休（项）：反映用于事业单位开支的离退休经费。</w:t>
      </w:r>
    </w:p>
    <w:p w14:paraId="3C08C881">
      <w:pPr>
        <w:spacing w:line="580" w:lineRule="exact"/>
        <w:ind w:firstLine="640" w:firstLineChars="200"/>
        <w:rPr>
          <w:rFonts w:eastAsia="仿宋_GB2312"/>
          <w:kern w:val="0"/>
          <w:sz w:val="32"/>
          <w:szCs w:val="32"/>
        </w:rPr>
      </w:pPr>
      <w:r>
        <w:rPr>
          <w:rFonts w:eastAsia="仿宋_GB2312"/>
          <w:kern w:val="0"/>
          <w:sz w:val="32"/>
          <w:szCs w:val="32"/>
        </w:rPr>
        <w:t>10.</w:t>
      </w:r>
      <w:r>
        <w:rPr>
          <w:rFonts w:hint="eastAsia" w:eastAsia="仿宋_GB2312"/>
          <w:kern w:val="0"/>
          <w:sz w:val="32"/>
          <w:szCs w:val="32"/>
        </w:rPr>
        <w:t>社会保障和就业支出（类）行政事业单位养老支出（款）机关事业单位基本养老保险缴费支出（项）：</w:t>
      </w:r>
      <w:r>
        <w:rPr>
          <w:rFonts w:hint="eastAsia" w:eastAsia="仿宋_GB2312"/>
          <w:kern w:val="0"/>
          <w:sz w:val="32"/>
          <w:szCs w:val="32"/>
          <w:lang w:eastAsia="zh-CN"/>
        </w:rPr>
        <w:t>反映机关事业单位实施养老保险制度由单位缴纳的基本养老保险缴费支出</w:t>
      </w:r>
      <w:r>
        <w:rPr>
          <w:rFonts w:hint="eastAsia" w:eastAsia="仿宋_GB2312"/>
          <w:kern w:val="0"/>
          <w:sz w:val="32"/>
          <w:szCs w:val="32"/>
        </w:rPr>
        <w:t>。</w:t>
      </w:r>
    </w:p>
    <w:p w14:paraId="4649B815">
      <w:pPr>
        <w:spacing w:line="600" w:lineRule="exact"/>
        <w:ind w:firstLine="640" w:firstLineChars="200"/>
        <w:rPr>
          <w:rFonts w:eastAsia="仿宋_GB2312"/>
          <w:kern w:val="0"/>
          <w:sz w:val="32"/>
          <w:szCs w:val="32"/>
        </w:rPr>
      </w:pPr>
      <w:r>
        <w:rPr>
          <w:rFonts w:eastAsia="仿宋_GB2312"/>
          <w:kern w:val="0"/>
          <w:sz w:val="32"/>
          <w:szCs w:val="32"/>
        </w:rPr>
        <w:t>11.</w:t>
      </w:r>
      <w:r>
        <w:rPr>
          <w:rFonts w:hint="eastAsia" w:eastAsia="仿宋_GB2312"/>
          <w:kern w:val="0"/>
          <w:sz w:val="32"/>
          <w:szCs w:val="32"/>
        </w:rPr>
        <w:t>社会保障和就业支出（类）行政事业单位养老支出（款）机关事业单位职业年金缴费支出（项）：反映用于机关事业单位实施养老保险制度由单位实际缴纳的职业年金支出（含职业年金补记支出）。</w:t>
      </w:r>
    </w:p>
    <w:p w14:paraId="01886D77">
      <w:pPr>
        <w:spacing w:line="600" w:lineRule="exact"/>
        <w:ind w:firstLine="640" w:firstLineChars="200"/>
        <w:rPr>
          <w:rFonts w:eastAsia="仿宋_GB2312"/>
          <w:kern w:val="0"/>
          <w:sz w:val="32"/>
          <w:szCs w:val="32"/>
        </w:rPr>
      </w:pPr>
      <w:r>
        <w:rPr>
          <w:rFonts w:eastAsia="仿宋_GB2312"/>
          <w:kern w:val="0"/>
          <w:sz w:val="32"/>
          <w:szCs w:val="32"/>
        </w:rPr>
        <w:t>12.</w:t>
      </w:r>
      <w:r>
        <w:rPr>
          <w:rFonts w:hint="eastAsia" w:eastAsia="仿宋_GB2312"/>
          <w:kern w:val="0"/>
          <w:sz w:val="32"/>
          <w:szCs w:val="32"/>
        </w:rPr>
        <w:t>社会保障和就业支出（类）社会福利（款）儿童福利（项）：反映用于儿童提供福利服务方面的支出。</w:t>
      </w:r>
    </w:p>
    <w:p w14:paraId="187DFEAE">
      <w:pPr>
        <w:spacing w:line="580" w:lineRule="exact"/>
        <w:ind w:firstLine="640" w:firstLineChars="200"/>
        <w:rPr>
          <w:rFonts w:eastAsia="仿宋_GB2312"/>
          <w:kern w:val="0"/>
        </w:rPr>
      </w:pPr>
      <w:r>
        <w:rPr>
          <w:rFonts w:eastAsia="仿宋_GB2312"/>
          <w:kern w:val="0"/>
          <w:sz w:val="32"/>
          <w:szCs w:val="32"/>
        </w:rPr>
        <w:t>13.</w:t>
      </w:r>
      <w:r>
        <w:rPr>
          <w:rFonts w:hint="eastAsia" w:eastAsia="仿宋_GB2312"/>
          <w:kern w:val="0"/>
          <w:sz w:val="32"/>
          <w:szCs w:val="32"/>
        </w:rPr>
        <w:t>卫生健康支出（类）行政事业单位医疗（款）行政单位医疗（项）：反映用于财政部门安排的行政单位（包括实行公务员管理的事业单位）基本医疗保险缴费经费，未参加医疗保险的行政单位的公费医疗经费，按照国家规定享受离休人员、红军老战士待遇人员的医疗经费。</w:t>
      </w:r>
    </w:p>
    <w:p w14:paraId="60B06596">
      <w:pPr>
        <w:spacing w:line="580" w:lineRule="exact"/>
        <w:ind w:firstLine="640" w:firstLineChars="200"/>
        <w:rPr>
          <w:rFonts w:eastAsia="仿宋_GB2312"/>
          <w:kern w:val="0"/>
          <w:sz w:val="32"/>
          <w:szCs w:val="32"/>
        </w:rPr>
      </w:pPr>
      <w:r>
        <w:rPr>
          <w:rFonts w:eastAsia="仿宋_GB2312"/>
          <w:kern w:val="0"/>
          <w:sz w:val="32"/>
          <w:szCs w:val="32"/>
        </w:rPr>
        <w:t>14.</w:t>
      </w:r>
      <w:r>
        <w:rPr>
          <w:rFonts w:hint="eastAsia" w:eastAsia="仿宋_GB2312"/>
          <w:kern w:val="0"/>
          <w:sz w:val="32"/>
          <w:szCs w:val="32"/>
        </w:rPr>
        <w:t>卫生健康支出（类）行政事业单位医疗（款）事业单位医疗（项）：反映用于财政部门安排的事业单位基本医疗保险缴费经费，未参加医疗保险的事业单位的公费医疗经费，按照国家规定享受离退休人员待遇的医疗经费。</w:t>
      </w:r>
    </w:p>
    <w:p w14:paraId="74E718C5">
      <w:pPr>
        <w:spacing w:line="580" w:lineRule="exact"/>
        <w:ind w:firstLine="640" w:firstLineChars="200"/>
        <w:rPr>
          <w:rFonts w:eastAsia="仿宋_GB2312"/>
          <w:kern w:val="0"/>
          <w:sz w:val="32"/>
          <w:szCs w:val="32"/>
        </w:rPr>
      </w:pPr>
      <w:r>
        <w:rPr>
          <w:rFonts w:eastAsia="仿宋_GB2312"/>
          <w:kern w:val="0"/>
          <w:sz w:val="32"/>
          <w:szCs w:val="32"/>
        </w:rPr>
        <w:t>15.</w:t>
      </w:r>
      <w:r>
        <w:rPr>
          <w:rFonts w:hint="eastAsia" w:eastAsia="仿宋_GB2312"/>
          <w:kern w:val="0"/>
          <w:sz w:val="32"/>
          <w:szCs w:val="32"/>
        </w:rPr>
        <w:t>卫生健康支出（类）行政事业单位医疗（款）公务员医疗补助（项）：反映用于财政部门安排的公务员医疗补助经费。</w:t>
      </w:r>
    </w:p>
    <w:p w14:paraId="27839C13">
      <w:pPr>
        <w:spacing w:line="580" w:lineRule="exact"/>
        <w:ind w:firstLine="640" w:firstLineChars="200"/>
        <w:rPr>
          <w:rFonts w:eastAsia="仿宋_GB2312"/>
          <w:kern w:val="0"/>
          <w:sz w:val="32"/>
          <w:szCs w:val="32"/>
        </w:rPr>
      </w:pPr>
      <w:r>
        <w:rPr>
          <w:rFonts w:eastAsia="仿宋_GB2312"/>
          <w:kern w:val="0"/>
          <w:sz w:val="32"/>
          <w:szCs w:val="32"/>
        </w:rPr>
        <w:t>16.</w:t>
      </w:r>
      <w:r>
        <w:rPr>
          <w:rFonts w:hint="eastAsia" w:eastAsia="仿宋_GB2312"/>
          <w:kern w:val="0"/>
          <w:sz w:val="32"/>
          <w:szCs w:val="32"/>
        </w:rPr>
        <w:t>卫生健康支出（类）行政事业单位医疗（款）其他行政事业单位医疗支出（项）：反</w:t>
      </w:r>
      <w:bookmarkStart w:id="85" w:name="OLE_LINK96"/>
      <w:bookmarkStart w:id="86" w:name="OLE_LINK95"/>
      <w:r>
        <w:rPr>
          <w:rFonts w:hint="eastAsia" w:eastAsia="仿宋_GB2312"/>
          <w:kern w:val="0"/>
          <w:sz w:val="32"/>
          <w:szCs w:val="32"/>
        </w:rPr>
        <w:t>映</w:t>
      </w:r>
      <w:bookmarkEnd w:id="85"/>
      <w:bookmarkEnd w:id="86"/>
      <w:r>
        <w:rPr>
          <w:rFonts w:hint="eastAsia" w:eastAsia="仿宋_GB2312"/>
          <w:kern w:val="0"/>
          <w:sz w:val="32"/>
          <w:szCs w:val="32"/>
        </w:rPr>
        <w:t>用于其他用于行政事业单位医疗方面的支出。</w:t>
      </w:r>
    </w:p>
    <w:p w14:paraId="1A70D33A">
      <w:pPr>
        <w:spacing w:line="600" w:lineRule="exact"/>
        <w:ind w:firstLine="640" w:firstLineChars="200"/>
        <w:rPr>
          <w:rFonts w:eastAsia="仿宋_GB2312"/>
          <w:kern w:val="0"/>
          <w:sz w:val="32"/>
          <w:szCs w:val="32"/>
        </w:rPr>
      </w:pPr>
      <w:r>
        <w:rPr>
          <w:rFonts w:eastAsia="仿宋_GB2312"/>
          <w:kern w:val="0"/>
          <w:sz w:val="32"/>
          <w:szCs w:val="32"/>
        </w:rPr>
        <w:t>1</w:t>
      </w:r>
      <w:r>
        <w:rPr>
          <w:rFonts w:hint="eastAsia" w:eastAsia="仿宋_GB2312"/>
          <w:kern w:val="0"/>
          <w:sz w:val="32"/>
          <w:szCs w:val="32"/>
        </w:rPr>
        <w:t>7</w:t>
      </w:r>
      <w:r>
        <w:rPr>
          <w:rFonts w:eastAsia="仿宋_GB2312"/>
          <w:kern w:val="0"/>
          <w:sz w:val="32"/>
          <w:szCs w:val="32"/>
        </w:rPr>
        <w:t>.</w:t>
      </w:r>
      <w:bookmarkStart w:id="87" w:name="OLE_LINK90"/>
      <w:bookmarkStart w:id="88" w:name="OLE_LINK89"/>
      <w:r>
        <w:rPr>
          <w:rFonts w:hint="eastAsia" w:eastAsia="仿宋_GB2312"/>
          <w:kern w:val="0"/>
          <w:sz w:val="32"/>
          <w:szCs w:val="32"/>
        </w:rPr>
        <w:t>城乡社区支出（类）城乡社区公共设施（款）其他城乡社区公共设施支出（项）：</w:t>
      </w:r>
      <w:bookmarkEnd w:id="87"/>
      <w:bookmarkEnd w:id="88"/>
      <w:bookmarkStart w:id="89" w:name="OLE_LINK97"/>
      <w:r>
        <w:rPr>
          <w:rFonts w:hint="eastAsia" w:eastAsia="仿宋_GB2312"/>
          <w:kern w:val="0"/>
          <w:sz w:val="32"/>
          <w:szCs w:val="32"/>
        </w:rPr>
        <w:t>反映</w:t>
      </w:r>
      <w:bookmarkEnd w:id="89"/>
      <w:r>
        <w:rPr>
          <w:rFonts w:hint="eastAsia" w:eastAsia="仿宋_GB2312"/>
          <w:kern w:val="0"/>
          <w:sz w:val="32"/>
          <w:szCs w:val="32"/>
        </w:rPr>
        <w:t>其他用于城乡社区公共设施方面的支出。</w:t>
      </w:r>
    </w:p>
    <w:p w14:paraId="76C59503">
      <w:pPr>
        <w:spacing w:line="600" w:lineRule="exact"/>
        <w:ind w:firstLine="640" w:firstLineChars="200"/>
        <w:rPr>
          <w:rFonts w:eastAsia="仿宋_GB2312"/>
          <w:kern w:val="0"/>
          <w:sz w:val="32"/>
          <w:szCs w:val="32"/>
        </w:rPr>
      </w:pPr>
      <w:r>
        <w:rPr>
          <w:rFonts w:eastAsia="仿宋_GB2312"/>
          <w:kern w:val="0"/>
          <w:sz w:val="32"/>
          <w:szCs w:val="32"/>
        </w:rPr>
        <w:t>1</w:t>
      </w:r>
      <w:r>
        <w:rPr>
          <w:rFonts w:hint="eastAsia" w:eastAsia="仿宋_GB2312"/>
          <w:kern w:val="0"/>
          <w:sz w:val="32"/>
          <w:szCs w:val="32"/>
        </w:rPr>
        <w:t>8</w:t>
      </w:r>
      <w:r>
        <w:rPr>
          <w:rFonts w:eastAsia="仿宋_GB2312"/>
          <w:kern w:val="0"/>
          <w:sz w:val="32"/>
          <w:szCs w:val="32"/>
        </w:rPr>
        <w:t>.</w:t>
      </w:r>
      <w:r>
        <w:rPr>
          <w:rFonts w:hint="eastAsia" w:eastAsia="仿宋_GB2312"/>
          <w:kern w:val="0"/>
          <w:sz w:val="32"/>
          <w:szCs w:val="32"/>
        </w:rPr>
        <w:t>交通运输支出（类）公路水路运输（款）行政运行（项）：反映行政单位（包括实行公务员管理的事业单位）的基本支出。</w:t>
      </w:r>
    </w:p>
    <w:p w14:paraId="3A03531C">
      <w:pPr>
        <w:spacing w:line="600" w:lineRule="exact"/>
        <w:ind w:firstLine="640" w:firstLineChars="200"/>
        <w:rPr>
          <w:rFonts w:eastAsia="仿宋_GB2312"/>
          <w:kern w:val="0"/>
          <w:sz w:val="32"/>
          <w:szCs w:val="32"/>
        </w:rPr>
      </w:pPr>
      <w:r>
        <w:rPr>
          <w:rFonts w:hint="eastAsia" w:eastAsia="仿宋_GB2312"/>
          <w:kern w:val="0"/>
          <w:sz w:val="32"/>
          <w:szCs w:val="32"/>
        </w:rPr>
        <w:t>19.自然资源海洋气象等支出（类）自然资源事务（款）行政运行（项）：反映用于行政单位（包括实行公务员管理的事业单位）的基本支出。</w:t>
      </w:r>
    </w:p>
    <w:p w14:paraId="48C6DD3E">
      <w:pPr>
        <w:pStyle w:val="8"/>
        <w:ind w:left="199" w:leftChars="95" w:firstLine="419" w:firstLineChars="131"/>
        <w:rPr>
          <w:rFonts w:ascii="Times New Roman" w:eastAsia="仿宋_GB2312"/>
          <w:kern w:val="0"/>
          <w:sz w:val="32"/>
        </w:rPr>
      </w:pPr>
      <w:r>
        <w:rPr>
          <w:rFonts w:ascii="Times New Roman" w:eastAsia="仿宋_GB2312"/>
          <w:kern w:val="0"/>
          <w:sz w:val="32"/>
        </w:rPr>
        <w:t>20.</w:t>
      </w:r>
      <w:r>
        <w:rPr>
          <w:rFonts w:hint="eastAsia" w:ascii="Times New Roman" w:eastAsia="仿宋_GB2312"/>
          <w:kern w:val="0"/>
          <w:sz w:val="32"/>
        </w:rPr>
        <w:t>自然资源海洋气象等支出（类）自然资源事务（款）自然资源规划及管理（项）：反映用于国土空间规划、国土空间开发适宜性评价等方面的支出。</w:t>
      </w:r>
    </w:p>
    <w:p w14:paraId="35907160">
      <w:pPr>
        <w:spacing w:line="600" w:lineRule="exact"/>
        <w:ind w:firstLine="640" w:firstLineChars="200"/>
        <w:rPr>
          <w:rFonts w:eastAsia="仿宋_GB2312"/>
          <w:kern w:val="0"/>
          <w:sz w:val="32"/>
          <w:szCs w:val="32"/>
        </w:rPr>
      </w:pPr>
      <w:r>
        <w:rPr>
          <w:rFonts w:eastAsia="仿宋_GB2312"/>
          <w:kern w:val="0"/>
          <w:sz w:val="32"/>
          <w:szCs w:val="32"/>
        </w:rPr>
        <w:t>21.</w:t>
      </w:r>
      <w:r>
        <w:rPr>
          <w:rFonts w:hint="eastAsia" w:eastAsia="仿宋_GB2312"/>
          <w:kern w:val="0"/>
          <w:sz w:val="32"/>
          <w:szCs w:val="32"/>
        </w:rPr>
        <w:t>自然资源海洋气象等支出（类）自然资源事务（款）自然资源利用与保护（项）：反映用于自然资源有偿使用与合理开发利用，国土空间生态修复，国土整治，耕地保护等方面的支出。</w:t>
      </w:r>
    </w:p>
    <w:p w14:paraId="5DA2CBF8">
      <w:pPr>
        <w:spacing w:line="600" w:lineRule="exact"/>
        <w:ind w:firstLine="640" w:firstLineChars="200"/>
        <w:rPr>
          <w:rFonts w:eastAsia="仿宋_GB2312"/>
          <w:kern w:val="0"/>
          <w:sz w:val="32"/>
          <w:szCs w:val="32"/>
        </w:rPr>
      </w:pPr>
      <w:r>
        <w:rPr>
          <w:rFonts w:eastAsia="仿宋_GB2312"/>
          <w:kern w:val="0"/>
          <w:sz w:val="32"/>
          <w:szCs w:val="32"/>
        </w:rPr>
        <w:t>22.</w:t>
      </w:r>
      <w:r>
        <w:rPr>
          <w:rFonts w:hint="eastAsia" w:eastAsia="仿宋_GB2312"/>
          <w:kern w:val="0"/>
          <w:sz w:val="32"/>
          <w:szCs w:val="32"/>
        </w:rPr>
        <w:t>自然资源海洋气象等支出（类）自然资源事务（款）自然资源调查与确权登记（项）：</w:t>
      </w:r>
      <w:bookmarkStart w:id="90" w:name="OLE_LINK98"/>
      <w:r>
        <w:rPr>
          <w:rFonts w:hint="eastAsia" w:eastAsia="仿宋_GB2312"/>
          <w:kern w:val="0"/>
          <w:sz w:val="32"/>
          <w:szCs w:val="32"/>
        </w:rPr>
        <w:t>反映用于</w:t>
      </w:r>
      <w:bookmarkEnd w:id="90"/>
      <w:r>
        <w:rPr>
          <w:rFonts w:hint="eastAsia" w:eastAsia="仿宋_GB2312"/>
          <w:kern w:val="0"/>
          <w:sz w:val="32"/>
          <w:szCs w:val="32"/>
        </w:rPr>
        <w:t>自然资源部门用于自然资源调查监测评价，自然资源统一确权登记等方面的支出。</w:t>
      </w:r>
    </w:p>
    <w:p w14:paraId="20A7BDCD">
      <w:pPr>
        <w:spacing w:line="600" w:lineRule="exact"/>
        <w:ind w:firstLine="640" w:firstLineChars="200"/>
        <w:rPr>
          <w:rFonts w:eastAsia="仿宋_GB2312"/>
          <w:kern w:val="0"/>
          <w:sz w:val="32"/>
          <w:szCs w:val="32"/>
        </w:rPr>
      </w:pPr>
      <w:r>
        <w:rPr>
          <w:rFonts w:eastAsia="仿宋_GB2312"/>
          <w:kern w:val="0"/>
          <w:sz w:val="32"/>
          <w:szCs w:val="32"/>
        </w:rPr>
        <w:t>23.</w:t>
      </w:r>
      <w:bookmarkStart w:id="91" w:name="OLE_LINK91"/>
      <w:bookmarkStart w:id="92" w:name="OLE_LINK92"/>
      <w:r>
        <w:rPr>
          <w:rFonts w:hint="eastAsia" w:eastAsia="仿宋_GB2312"/>
          <w:kern w:val="0"/>
          <w:sz w:val="32"/>
          <w:szCs w:val="32"/>
        </w:rPr>
        <w:t>自然资源海洋气象等支出（类）自然资源事务（款）</w:t>
      </w:r>
      <w:bookmarkEnd w:id="91"/>
      <w:bookmarkEnd w:id="92"/>
      <w:r>
        <w:rPr>
          <w:rFonts w:hint="eastAsia" w:eastAsia="仿宋_GB2312"/>
          <w:kern w:val="0"/>
          <w:sz w:val="32"/>
          <w:szCs w:val="32"/>
        </w:rPr>
        <w:t>地质勘查与矿产资源管理</w:t>
      </w:r>
      <w:bookmarkStart w:id="93" w:name="OLE_LINK94"/>
      <w:bookmarkStart w:id="94" w:name="OLE_LINK93"/>
      <w:r>
        <w:rPr>
          <w:rFonts w:hint="eastAsia" w:eastAsia="仿宋_GB2312"/>
          <w:kern w:val="0"/>
          <w:sz w:val="32"/>
          <w:szCs w:val="32"/>
        </w:rPr>
        <w:t>（项）</w:t>
      </w:r>
      <w:bookmarkEnd w:id="93"/>
      <w:bookmarkEnd w:id="94"/>
      <w:r>
        <w:rPr>
          <w:rFonts w:hint="eastAsia" w:eastAsia="仿宋_GB2312"/>
          <w:kern w:val="0"/>
          <w:sz w:val="32"/>
          <w:szCs w:val="32"/>
        </w:rPr>
        <w:t>：反映用于地质勘查行业和地质管理工作，矿业权管理，矿产资源合理利用和保护等方面的支出。</w:t>
      </w:r>
    </w:p>
    <w:p w14:paraId="0E42561E">
      <w:pPr>
        <w:spacing w:line="600" w:lineRule="exact"/>
        <w:ind w:firstLine="640" w:firstLineChars="200"/>
        <w:rPr>
          <w:rFonts w:eastAsia="仿宋_GB2312"/>
          <w:kern w:val="0"/>
          <w:sz w:val="32"/>
          <w:szCs w:val="32"/>
        </w:rPr>
      </w:pPr>
      <w:r>
        <w:rPr>
          <w:rFonts w:hint="eastAsia" w:eastAsia="仿宋_GB2312"/>
          <w:kern w:val="0"/>
          <w:sz w:val="32"/>
          <w:szCs w:val="32"/>
        </w:rPr>
        <w:t>24.自然资源海洋气象等支出（类）自然资源事务（款）基础测绘与地理信息监管（项）：反映基础测绘、航空摄影、地理信息应用与安全监管等方面的支出。</w:t>
      </w:r>
    </w:p>
    <w:p w14:paraId="52BD116C">
      <w:pPr>
        <w:spacing w:line="600" w:lineRule="exact"/>
        <w:ind w:firstLine="640" w:firstLineChars="200"/>
        <w:rPr>
          <w:rFonts w:eastAsia="仿宋_GB2312"/>
          <w:kern w:val="0"/>
          <w:sz w:val="32"/>
          <w:szCs w:val="32"/>
        </w:rPr>
      </w:pPr>
      <w:r>
        <w:rPr>
          <w:rFonts w:hint="eastAsia" w:eastAsia="仿宋_GB2312"/>
          <w:kern w:val="0"/>
          <w:sz w:val="32"/>
          <w:szCs w:val="32"/>
        </w:rPr>
        <w:t>25.自然资源海洋气象等支出（类）自然资源事务（款）事业运行（项）指：反映用于事业单位的基本支出，不包括行政单位（包括实行公务员管理的事业单位）后勤服务中心、医务室等附属事业单位。</w:t>
      </w:r>
    </w:p>
    <w:p w14:paraId="24150A9E">
      <w:pPr>
        <w:spacing w:line="58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6</w:t>
      </w:r>
      <w:r>
        <w:rPr>
          <w:rFonts w:eastAsia="仿宋_GB2312"/>
          <w:kern w:val="0"/>
          <w:sz w:val="32"/>
          <w:szCs w:val="32"/>
        </w:rPr>
        <w:t>.</w:t>
      </w:r>
      <w:r>
        <w:rPr>
          <w:rFonts w:hint="eastAsia" w:eastAsia="仿宋_GB2312"/>
          <w:kern w:val="0"/>
          <w:sz w:val="32"/>
          <w:szCs w:val="32"/>
        </w:rPr>
        <w:t>自然资源海洋气象等支出（类）自然资源事务（款）其他自然资源事务支出（项）：反映用于其他自然资源事务支出。</w:t>
      </w:r>
      <w:r>
        <w:rPr>
          <w:rFonts w:eastAsia="仿宋_GB2312"/>
          <w:kern w:val="0"/>
          <w:sz w:val="32"/>
          <w:szCs w:val="32"/>
        </w:rPr>
        <w:t xml:space="preserve"> </w:t>
      </w:r>
    </w:p>
    <w:p w14:paraId="75EFD73B">
      <w:pPr>
        <w:spacing w:line="60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7</w:t>
      </w:r>
      <w:r>
        <w:rPr>
          <w:rFonts w:eastAsia="仿宋_GB2312"/>
          <w:kern w:val="0"/>
          <w:sz w:val="32"/>
          <w:szCs w:val="32"/>
        </w:rPr>
        <w:t>.</w:t>
      </w:r>
      <w:r>
        <w:rPr>
          <w:rFonts w:hint="eastAsia" w:eastAsia="仿宋_GB2312"/>
          <w:kern w:val="0"/>
          <w:sz w:val="32"/>
          <w:szCs w:val="32"/>
        </w:rPr>
        <w:t>住房保障支出（类）住房改革支出（款）住房公积金（项）指：反映用于行政事业单位按人力资源和社会保障部门、财政部规定的基本工资和津贴补贴以及规定比例为职工缴纳的住房公积金。</w:t>
      </w:r>
    </w:p>
    <w:p w14:paraId="0887ABCC">
      <w:pPr>
        <w:spacing w:line="60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8</w:t>
      </w:r>
      <w:r>
        <w:rPr>
          <w:rFonts w:eastAsia="仿宋_GB2312"/>
          <w:kern w:val="0"/>
          <w:sz w:val="32"/>
          <w:szCs w:val="32"/>
        </w:rPr>
        <w:t>.</w:t>
      </w:r>
      <w:r>
        <w:rPr>
          <w:rFonts w:hint="eastAsia" w:eastAsia="仿宋_GB2312"/>
          <w:kern w:val="0"/>
          <w:sz w:val="32"/>
          <w:szCs w:val="32"/>
        </w:rPr>
        <w:t>灾害防治及应急管理支出（类）自然灾害防治（款）地质灾害防治（项）：反映用于地质灾害方面的支出。</w:t>
      </w:r>
    </w:p>
    <w:p w14:paraId="61FBC018">
      <w:pPr>
        <w:spacing w:line="60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9</w:t>
      </w:r>
      <w:r>
        <w:rPr>
          <w:rFonts w:eastAsia="仿宋_GB2312"/>
          <w:kern w:val="0"/>
          <w:sz w:val="32"/>
          <w:szCs w:val="32"/>
        </w:rPr>
        <w:t>.</w:t>
      </w:r>
      <w:r>
        <w:rPr>
          <w:rFonts w:hint="eastAsia" w:eastAsia="仿宋_GB2312"/>
          <w:kern w:val="0"/>
          <w:sz w:val="32"/>
          <w:szCs w:val="32"/>
        </w:rPr>
        <w:t>基本支出：指为保证机构正常运转，完成日常工作任务而发生的人员支出和公用支出。</w:t>
      </w:r>
    </w:p>
    <w:p w14:paraId="67BEA685">
      <w:pPr>
        <w:spacing w:line="600" w:lineRule="exact"/>
        <w:ind w:firstLine="640" w:firstLineChars="200"/>
        <w:rPr>
          <w:rFonts w:eastAsia="仿宋_GB2312"/>
          <w:kern w:val="0"/>
          <w:sz w:val="32"/>
          <w:szCs w:val="32"/>
        </w:rPr>
      </w:pPr>
      <w:r>
        <w:rPr>
          <w:rFonts w:hint="eastAsia" w:eastAsia="仿宋_GB2312"/>
          <w:kern w:val="0"/>
          <w:sz w:val="32"/>
          <w:szCs w:val="32"/>
        </w:rPr>
        <w:t>30</w:t>
      </w:r>
      <w:r>
        <w:rPr>
          <w:rFonts w:eastAsia="仿宋_GB2312"/>
          <w:kern w:val="0"/>
          <w:sz w:val="32"/>
          <w:szCs w:val="32"/>
        </w:rPr>
        <w:t>.</w:t>
      </w:r>
      <w:r>
        <w:rPr>
          <w:rFonts w:hint="eastAsia" w:eastAsia="仿宋_GB2312"/>
          <w:kern w:val="0"/>
          <w:sz w:val="32"/>
          <w:szCs w:val="32"/>
        </w:rPr>
        <w:t>项目支出：指在基本支出之外为完成特定的工作任务和事业发展目标所发生的支出。</w:t>
      </w:r>
    </w:p>
    <w:p w14:paraId="27590508">
      <w:pPr>
        <w:spacing w:line="600" w:lineRule="exact"/>
        <w:ind w:firstLine="640" w:firstLineChars="200"/>
        <w:rPr>
          <w:rFonts w:eastAsia="仿宋_GB2312"/>
          <w:kern w:val="0"/>
          <w:sz w:val="32"/>
          <w:szCs w:val="32"/>
        </w:rPr>
      </w:pPr>
      <w:r>
        <w:rPr>
          <w:rFonts w:hint="eastAsia" w:eastAsia="仿宋_GB2312"/>
          <w:kern w:val="0"/>
          <w:sz w:val="32"/>
          <w:szCs w:val="32"/>
        </w:rPr>
        <w:t>31</w:t>
      </w:r>
      <w:r>
        <w:rPr>
          <w:rFonts w:eastAsia="仿宋_GB2312"/>
          <w:kern w:val="0"/>
          <w:sz w:val="32"/>
          <w:szCs w:val="32"/>
        </w:rPr>
        <w:t xml:space="preserve">. </w:t>
      </w:r>
      <w:r>
        <w:rPr>
          <w:rFonts w:hint="eastAsia" w:eastAsia="仿宋_GB2312"/>
          <w:kern w:val="0"/>
          <w:sz w:val="32"/>
          <w:szCs w:val="32"/>
        </w:rPr>
        <w:t>“三公”经费：纳入预决算管理的“三公”经费，是指部门用财政拨款安排的因公出国（境）费用、公务用车购置及运行维护费和公务接待费。其中，因公出国（境）费用反映单位公务出国（境）的国际旅费、国外城市间交通费、住宿费、伙食费、培训费、公杂费等支出；公务用车购置及运行维护费反映公务用车购置支出（含车辆购置税、牌照费）及单位按规定保留的公务用车燃料费、新能源汽车充电费、维修费、过桥过路费、保险费、安全奖励费用等支出；公务接待费反映单位按规定开支的各类公务接待（含外宾接待）费用。</w:t>
      </w:r>
    </w:p>
    <w:p w14:paraId="547B09C8">
      <w:pPr>
        <w:spacing w:line="600" w:lineRule="exact"/>
        <w:ind w:firstLine="640" w:firstLineChars="200"/>
        <w:rPr>
          <w:rFonts w:eastAsia="仿宋_GB2312"/>
          <w:kern w:val="0"/>
          <w:sz w:val="32"/>
          <w:szCs w:val="32"/>
        </w:rPr>
      </w:pPr>
      <w:r>
        <w:rPr>
          <w:rFonts w:eastAsia="仿宋_GB2312"/>
          <w:kern w:val="0"/>
          <w:sz w:val="32"/>
          <w:szCs w:val="32"/>
        </w:rPr>
        <w:t>3</w:t>
      </w:r>
      <w:r>
        <w:rPr>
          <w:rFonts w:hint="eastAsia" w:eastAsia="仿宋_GB2312"/>
          <w:kern w:val="0"/>
          <w:sz w:val="32"/>
          <w:szCs w:val="32"/>
        </w:rPr>
        <w:t>2</w:t>
      </w:r>
      <w:r>
        <w:rPr>
          <w:rFonts w:eastAsia="仿宋_GB2312"/>
          <w:kern w:val="0"/>
          <w:sz w:val="32"/>
          <w:szCs w:val="32"/>
        </w:rPr>
        <w:t>.</w:t>
      </w:r>
      <w:r>
        <w:rPr>
          <w:rFonts w:hint="eastAsia" w:eastAsia="仿宋_GB2312"/>
          <w:kern w:val="0"/>
          <w:sz w:val="32"/>
          <w:szCs w:val="32"/>
        </w:rPr>
        <w:t>机关运行经费：为保障行政单位（包含参照公务员法管理的事业单位）运行用于购买货物和服务的各项资金。包括办公及办公费、水费、电费、印刷费、邮电费、差旅费、会议费等费用开支。</w:t>
      </w:r>
    </w:p>
    <w:p w14:paraId="3DEFEB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AA059BB">
      <w:pPr>
        <w:rPr>
          <w:rFonts w:hint="eastAsia" w:ascii="Times New Roman" w:hAnsi="Times New Roman" w:eastAsia="黑体"/>
          <w:color w:val="auto"/>
          <w:sz w:val="44"/>
          <w:szCs w:val="44"/>
          <w:highlight w:val="none"/>
        </w:rPr>
      </w:pPr>
      <w:bookmarkStart w:id="95" w:name="_Toc15396614"/>
      <w:bookmarkStart w:id="96" w:name="_Toc15377226"/>
      <w:r>
        <w:rPr>
          <w:rFonts w:hint="eastAsia" w:ascii="Times New Roman" w:hAnsi="Times New Roman" w:eastAsia="黑体"/>
          <w:color w:val="auto"/>
          <w:sz w:val="44"/>
          <w:szCs w:val="44"/>
          <w:highlight w:val="none"/>
        </w:rPr>
        <w:br w:type="page"/>
      </w:r>
    </w:p>
    <w:p w14:paraId="36AD59AF">
      <w:pPr>
        <w:spacing w:line="600" w:lineRule="exact"/>
        <w:jc w:val="center"/>
        <w:outlineLvl w:val="0"/>
        <w:rPr>
          <w:rStyle w:val="33"/>
          <w:rFonts w:hint="eastAsia" w:ascii="Times New Roman" w:hAnsi="Times New Roman" w:eastAsia="黑体"/>
          <w:b w:val="0"/>
          <w:color w:val="auto"/>
          <w:highlight w:val="none"/>
          <w:lang w:eastAsia="zh-CN"/>
        </w:rPr>
      </w:pPr>
      <w:bookmarkStart w:id="97" w:name="_Toc13549"/>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95"/>
      <w:bookmarkEnd w:id="97"/>
    </w:p>
    <w:p w14:paraId="4FCF64F8">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bookmarkStart w:id="98" w:name="_Toc19581"/>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bookmarkEnd w:id="98"/>
    </w:p>
    <w:p w14:paraId="0B02E928">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21301FD0">
      <w:pPr>
        <w:widowControl/>
        <w:spacing w:line="578" w:lineRule="exact"/>
        <w:contextualSpacing/>
        <w:jc w:val="center"/>
        <w:outlineLvl w:val="2"/>
        <w:rPr>
          <w:rFonts w:ascii="Times New Roman" w:hAnsi="Times New Roman" w:eastAsia="方正小标宋简体" w:cs="Times New Roman"/>
          <w:bCs/>
          <w:sz w:val="44"/>
          <w:szCs w:val="44"/>
          <w:shd w:val="clear" w:color="auto" w:fill="FFFFFF"/>
        </w:rPr>
      </w:pPr>
      <w:r>
        <w:rPr>
          <w:rFonts w:ascii="Times New Roman" w:hAnsi="Times New Roman" w:eastAsia="方正小标宋简体" w:cs="Times New Roman"/>
          <w:bCs/>
          <w:sz w:val="44"/>
          <w:szCs w:val="44"/>
          <w:shd w:val="clear" w:color="auto" w:fill="FFFFFF"/>
        </w:rPr>
        <w:t>部门预算绩效</w:t>
      </w:r>
      <w:r>
        <w:rPr>
          <w:rFonts w:hint="eastAsia" w:ascii="Times New Roman" w:hAnsi="Times New Roman" w:eastAsia="方正小标宋简体" w:cs="Times New Roman"/>
          <w:bCs/>
          <w:sz w:val="44"/>
          <w:szCs w:val="44"/>
          <w:shd w:val="clear" w:color="auto" w:fill="FFFFFF"/>
        </w:rPr>
        <w:t>自评</w:t>
      </w:r>
      <w:r>
        <w:rPr>
          <w:rFonts w:ascii="Times New Roman" w:hAnsi="Times New Roman" w:eastAsia="方正小标宋简体" w:cs="Times New Roman"/>
          <w:bCs/>
          <w:sz w:val="44"/>
          <w:szCs w:val="44"/>
          <w:shd w:val="clear" w:color="auto" w:fill="FFFFFF"/>
        </w:rPr>
        <w:t>报告</w:t>
      </w:r>
    </w:p>
    <w:p w14:paraId="14A1A652">
      <w:pPr>
        <w:widowControl/>
        <w:spacing w:line="578" w:lineRule="exact"/>
        <w:contextualSpacing/>
        <w:jc w:val="center"/>
        <w:outlineLvl w:val="3"/>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w:t>
      </w:r>
      <w:r>
        <w:rPr>
          <w:rFonts w:hint="eastAsia" w:ascii="Times New Roman" w:hAnsi="Times New Roman" w:eastAsia="仿宋_GB2312" w:cs="Times New Roman"/>
          <w:sz w:val="32"/>
          <w:szCs w:val="32"/>
          <w:shd w:val="clear" w:color="auto" w:fill="FFFFFF"/>
          <w:lang w:val="en-US" w:eastAsia="zh-CN"/>
        </w:rPr>
        <w:t>攀枝花市自然资源和规划局</w:t>
      </w:r>
      <w:r>
        <w:rPr>
          <w:rFonts w:ascii="Times New Roman" w:hAnsi="Times New Roman" w:eastAsia="仿宋_GB2312" w:cs="Times New Roman"/>
          <w:sz w:val="32"/>
          <w:szCs w:val="32"/>
          <w:shd w:val="clear" w:color="auto" w:fill="FFFFFF"/>
        </w:rPr>
        <w:t>）</w:t>
      </w:r>
    </w:p>
    <w:p w14:paraId="67130439">
      <w:pPr>
        <w:widowControl/>
        <w:adjustRightInd w:val="0"/>
        <w:snapToGrid w:val="0"/>
        <w:spacing w:line="578" w:lineRule="exact"/>
        <w:ind w:firstLine="480" w:firstLineChars="200"/>
        <w:contextualSpacing/>
        <w:jc w:val="left"/>
        <w:rPr>
          <w:rFonts w:ascii="Times New Roman" w:hAnsi="Times New Roman" w:eastAsia="黑体" w:cs="Times New Roman"/>
          <w:color w:val="000000"/>
          <w:kern w:val="0"/>
          <w:sz w:val="24"/>
          <w:szCs w:val="32"/>
          <w:shd w:val="clear" w:color="auto" w:fill="FFFFFF"/>
        </w:rPr>
      </w:pPr>
    </w:p>
    <w:p w14:paraId="79010518">
      <w:pPr>
        <w:widowControl/>
        <w:adjustRightInd w:val="0"/>
        <w:snapToGrid w:val="0"/>
        <w:spacing w:line="578" w:lineRule="exact"/>
        <w:ind w:firstLine="640" w:firstLineChars="200"/>
        <w:contextualSpacing/>
        <w:jc w:val="left"/>
        <w:rPr>
          <w:rFonts w:ascii="Times New Roman" w:hAnsi="Times New Roman" w:eastAsia="仿宋_GB2312" w:cs="Times New Roman"/>
          <w:sz w:val="32"/>
          <w:szCs w:val="32"/>
        </w:rPr>
      </w:pPr>
      <w:r>
        <w:rPr>
          <w:rFonts w:ascii="Times New Roman" w:hAnsi="Times New Roman" w:eastAsia="黑体" w:cs="Times New Roman"/>
          <w:color w:val="000000"/>
          <w:kern w:val="0"/>
          <w:sz w:val="32"/>
          <w:szCs w:val="32"/>
          <w:shd w:val="clear" w:color="auto" w:fill="FFFFFF"/>
          <w:lang w:val="zh-CN"/>
        </w:rPr>
        <w:t>一、部门（单位）基本情况</w:t>
      </w:r>
    </w:p>
    <w:p w14:paraId="3BCF104F">
      <w:pPr>
        <w:spacing w:line="560" w:lineRule="exact"/>
        <w:ind w:firstLine="643" w:firstLineChars="200"/>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（一）机构组成。</w:t>
      </w:r>
    </w:p>
    <w:p w14:paraId="477463AE">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根据《中共攀枝花市委办公室攀枝花市人民政府办公室关于印发</w:t>
      </w:r>
      <w:r>
        <w:rPr>
          <w:rFonts w:hint="eastAsia" w:eastAsia="仿宋_GB2312" w:cs="Times New Roman"/>
          <w:sz w:val="32"/>
          <w:szCs w:val="32"/>
          <w:lang w:eastAsia="zh-CN"/>
        </w:rPr>
        <w:t>〈</w:t>
      </w:r>
      <w:r>
        <w:rPr>
          <w:rFonts w:hint="eastAsia" w:ascii="Times New Roman" w:hAnsi="Times New Roman" w:eastAsia="仿宋_GB2312" w:cs="Times New Roman"/>
          <w:sz w:val="32"/>
          <w:szCs w:val="32"/>
        </w:rPr>
        <w:t>攀枝花市自然资源和规划局职能配置、内设机构和人员编制规定</w:t>
      </w:r>
      <w:r>
        <w:rPr>
          <w:rFonts w:hint="eastAsia" w:eastAsia="仿宋_GB2312" w:cs="Times New Roman"/>
          <w:sz w:val="32"/>
          <w:szCs w:val="32"/>
          <w:lang w:eastAsia="zh-CN"/>
        </w:rPr>
        <w:t>〉的通知》</w:t>
      </w:r>
      <w:r>
        <w:rPr>
          <w:rFonts w:hint="eastAsia" w:ascii="Times New Roman" w:hAnsi="Times New Roman" w:eastAsia="仿宋_GB2312" w:cs="Times New Roman"/>
          <w:sz w:val="32"/>
          <w:szCs w:val="32"/>
        </w:rPr>
        <w:t>（攀委办〔</w:t>
      </w:r>
      <w:r>
        <w:rPr>
          <w:rFonts w:ascii="Times New Roman" w:hAnsi="Times New Roman" w:eastAsia="仿宋_GB2312" w:cs="Times New Roman"/>
          <w:sz w:val="32"/>
          <w:szCs w:val="32"/>
        </w:rPr>
        <w:t>2019</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30</w:t>
      </w:r>
      <w:r>
        <w:rPr>
          <w:rFonts w:hint="eastAsia" w:ascii="Times New Roman" w:hAnsi="Times New Roman" w:eastAsia="仿宋_GB2312" w:cs="Times New Roman"/>
          <w:sz w:val="32"/>
          <w:szCs w:val="32"/>
        </w:rPr>
        <w:t>号）规定，市自然资源和规划局内设二十一个科（室）。办公室、法规科、自然资源调查监测科、自然资源确权登记科、自然资源所有者权益科、自然资源开发利用科、国土空间规划科、国土空间用途管制科、国土空间生态修复科、耕地保护监督科、地质灾害防治科、矿业权管理科、地质矿产保护监督科、测绘与科技信息管理科、行政审批科、自然资源督察执法科、信访科、财务与资金运用科、人事科、党委办公室、机关党委。</w:t>
      </w:r>
    </w:p>
    <w:p w14:paraId="59206EF9">
      <w:pPr>
        <w:widowControl w:val="0"/>
        <w:spacing w:line="560" w:lineRule="exact"/>
        <w:ind w:firstLine="640" w:firstLineChars="200"/>
        <w:jc w:val="both"/>
        <w:rPr>
          <w:rFonts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市自然资源和规划局下属3个财务未独立核算的事业单位，分别是市国土空间生态修复与地质灾害防治中心、市自然资源调查统计中心、市自然资源执法保障中心。</w:t>
      </w:r>
    </w:p>
    <w:p w14:paraId="396E9301">
      <w:pPr>
        <w:widowControl/>
        <w:adjustRightInd w:val="0"/>
        <w:snapToGrid w:val="0"/>
        <w:spacing w:line="578" w:lineRule="exact"/>
        <w:ind w:firstLine="643" w:firstLineChars="200"/>
        <w:contextualSpacing/>
        <w:jc w:val="left"/>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（二）机构职能。</w:t>
      </w:r>
    </w:p>
    <w:p w14:paraId="1F1DC7B2">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按照规定权限，市自然资源和规划局履行全民所有土地、矿产、森林、草原、湿地、水等自然资源资产所有者职责和所有国土空间用途管制职责。负责全市自然资源调查监测评价；依照自然资源调查监测评价的指标体系和统计标准，建立统一规范的自然资源调查监测评价制度；负责全市自然资源统一确权登记工作；负责全市自然资源资产有偿使用工作；负责全市自然资源的合理开发利用；负责建立全市空间规划体系并监督实施；负责城乡规划区范围内规划实施管理和监督检查；负责统筹全市国土空间生态修复；负责组织实施最严格的耕地保护制度；负责管理全市地质勘查行业和地质工作；负责落实综合防灾减灾规划相关要求，组织编制并实施地质灾害防治规划和防护标准；负责全市矿产资源管理工作；负责测绘地理信息管理工作；推动全市自然资源领域科技发展和对外合作；配合国家、省对县级政府落实党中央、国务院关于自然资源和国土空间规划的重大方针政策、决策部署及法律法规执行情况进行督察；负责职责范围内的安全生产和职业健康、生态环境保护、审批服务便民化等工作；统一领导和管理市林业局；完成市委、市政府交办的其他任务。</w:t>
      </w:r>
    </w:p>
    <w:p w14:paraId="069BC483">
      <w:pPr>
        <w:spacing w:line="600" w:lineRule="exact"/>
        <w:ind w:firstLine="643" w:firstLineChars="200"/>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（三）人员概况。</w:t>
      </w:r>
    </w:p>
    <w:p w14:paraId="2A35939F">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截至2025年末，</w:t>
      </w:r>
      <w:bookmarkStart w:id="99" w:name="OLE_LINK29"/>
      <w:bookmarkStart w:id="100" w:name="OLE_LINK30"/>
      <w:r>
        <w:rPr>
          <w:rFonts w:ascii="Times New Roman" w:hAnsi="Times New Roman" w:eastAsia="仿宋_GB2312" w:cs="Times New Roman"/>
          <w:sz w:val="32"/>
          <w:szCs w:val="32"/>
        </w:rPr>
        <w:t>市自然资源和规划局及下属单位编制</w:t>
      </w:r>
      <w:r>
        <w:rPr>
          <w:rFonts w:hint="eastAsia" w:ascii="Times New Roman" w:hAnsi="Times New Roman" w:eastAsia="仿宋_GB2312" w:cs="Times New Roman"/>
          <w:sz w:val="32"/>
          <w:szCs w:val="32"/>
        </w:rPr>
        <w:t>110人</w:t>
      </w:r>
      <w:bookmarkEnd w:id="99"/>
      <w:bookmarkEnd w:id="100"/>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市自然资源和规划局2025年实有编制数80人，其中公务员行政编制70人，工勤编制10人；市自然资源调查统计中心事业编制人员7人；市国土空间生态修复与地质灾害防治中心事业编制人员13人；市自然资源执法保障中心事业编制10人；</w:t>
      </w:r>
      <w:r>
        <w:rPr>
          <w:rFonts w:ascii="Times New Roman" w:hAnsi="Times New Roman" w:eastAsia="仿宋_GB2312" w:cs="Times New Roman"/>
          <w:sz w:val="32"/>
          <w:szCs w:val="32"/>
        </w:rPr>
        <w:t>市自然资源和规划局及下属单位年末实有人数</w:t>
      </w:r>
      <w:r>
        <w:rPr>
          <w:rFonts w:hint="eastAsia" w:ascii="Times New Roman" w:hAnsi="Times New Roman" w:eastAsia="仿宋_GB2312" w:cs="Times New Roman"/>
          <w:sz w:val="32"/>
          <w:szCs w:val="32"/>
        </w:rPr>
        <w:t>93人</w:t>
      </w:r>
      <w:r>
        <w:rPr>
          <w:rFonts w:hint="eastAsia" w:eastAsia="仿宋_GB2312" w:cs="Times New Roman"/>
          <w:sz w:val="32"/>
          <w:szCs w:val="32"/>
          <w:lang w:eastAsia="zh-CN"/>
        </w:rPr>
        <w:t>。</w:t>
      </w:r>
      <w:r>
        <w:rPr>
          <w:rFonts w:hint="eastAsia" w:ascii="Times New Roman" w:hAnsi="Times New Roman" w:eastAsia="仿宋_GB2312" w:cs="Times New Roman"/>
          <w:sz w:val="32"/>
          <w:szCs w:val="32"/>
        </w:rPr>
        <w:t>市自然资源和规划局实有70人（含驻局纪检组4人），其中公务员63人，工勤人员7人（含86号文1人）；市自然资源调查统计中心事业人员5人；市国土空间生态修复与地质灾害防治中心事业人员11人；市自然资源执法保障中心事业人员7人。</w:t>
      </w:r>
    </w:p>
    <w:p w14:paraId="2C47D7A9">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二、部门资金收支情况</w:t>
      </w:r>
    </w:p>
    <w:p w14:paraId="65EF3C0F">
      <w:pPr>
        <w:widowControl/>
        <w:adjustRightInd w:val="0"/>
        <w:snapToGrid w:val="0"/>
        <w:spacing w:line="578" w:lineRule="exact"/>
        <w:ind w:firstLine="643" w:firstLineChars="200"/>
        <w:contextualSpacing/>
        <w:jc w:val="left"/>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（一）收入情况。</w:t>
      </w:r>
    </w:p>
    <w:p w14:paraId="5A93F3D1">
      <w:pPr>
        <w:widowControl/>
        <w:adjustRightInd w:val="0"/>
        <w:snapToGrid w:val="0"/>
        <w:spacing w:line="578" w:lineRule="exact"/>
        <w:ind w:firstLine="640" w:firstLineChars="200"/>
        <w:contextualSpacing/>
        <w:jc w:val="left"/>
        <w:rPr>
          <w:rFonts w:ascii="Times New Roman" w:hAnsi="Times New Roman" w:eastAsia="仿宋_GB2312" w:cs="Times New Roman"/>
          <w:sz w:val="32"/>
        </w:rPr>
      </w:pPr>
      <w:r>
        <w:rPr>
          <w:rFonts w:hint="eastAsia" w:ascii="Times New Roman" w:hAnsi="Times New Roman" w:eastAsia="仿宋_GB2312" w:cs="仿宋_GB2312"/>
          <w:sz w:val="32"/>
        </w:rPr>
        <w:t>市自然资源和规划局</w:t>
      </w:r>
      <w:r>
        <w:rPr>
          <w:rFonts w:ascii="Times New Roman" w:hAnsi="Times New Roman" w:eastAsia="仿宋_GB2312" w:cs="Times New Roman"/>
          <w:sz w:val="32"/>
        </w:rPr>
        <w:t>2025</w:t>
      </w:r>
      <w:r>
        <w:rPr>
          <w:rFonts w:hint="eastAsia" w:ascii="Times New Roman" w:hAnsi="Times New Roman" w:eastAsia="仿宋_GB2312" w:cs="Times New Roman"/>
          <w:sz w:val="32"/>
        </w:rPr>
        <w:t>年年初预算收入</w:t>
      </w:r>
      <w:r>
        <w:rPr>
          <w:rFonts w:ascii="Times New Roman" w:hAnsi="Times New Roman" w:eastAsia="仿宋_GB2312" w:cs="Times New Roman"/>
          <w:sz w:val="32"/>
        </w:rPr>
        <w:t>2375.31</w:t>
      </w:r>
      <w:r>
        <w:rPr>
          <w:rFonts w:hint="eastAsia" w:ascii="Times New Roman" w:hAnsi="Times New Roman" w:eastAsia="仿宋_GB2312" w:cs="Times New Roman"/>
          <w:sz w:val="32"/>
        </w:rPr>
        <w:t>万元，其中：上年结转</w:t>
      </w:r>
      <w:r>
        <w:rPr>
          <w:rFonts w:ascii="Times New Roman" w:hAnsi="Times New Roman" w:eastAsia="仿宋_GB2312" w:cs="Times New Roman"/>
          <w:sz w:val="32"/>
        </w:rPr>
        <w:t>0</w:t>
      </w:r>
      <w:r>
        <w:rPr>
          <w:rFonts w:hint="eastAsia" w:ascii="Times New Roman" w:hAnsi="Times New Roman" w:eastAsia="仿宋_GB2312" w:cs="Times New Roman"/>
          <w:sz w:val="32"/>
        </w:rPr>
        <w:t>万元，占</w:t>
      </w:r>
      <w:r>
        <w:rPr>
          <w:rFonts w:ascii="Times New Roman" w:hAnsi="Times New Roman" w:eastAsia="仿宋_GB2312" w:cs="Times New Roman"/>
          <w:sz w:val="32"/>
        </w:rPr>
        <w:t>0%</w:t>
      </w:r>
      <w:r>
        <w:rPr>
          <w:rFonts w:hint="eastAsia" w:ascii="Times New Roman" w:hAnsi="Times New Roman" w:eastAsia="仿宋_GB2312" w:cs="Times New Roman"/>
          <w:sz w:val="32"/>
        </w:rPr>
        <w:t>；</w:t>
      </w:r>
      <w:r>
        <w:rPr>
          <w:rFonts w:hint="eastAsia" w:eastAsia="仿宋_GB2312" w:cs="Times New Roman"/>
          <w:sz w:val="32"/>
          <w:lang w:eastAsia="zh-CN"/>
        </w:rPr>
        <w:t>一般公共预算财政拨款</w:t>
      </w:r>
      <w:r>
        <w:rPr>
          <w:rFonts w:hint="eastAsia" w:ascii="Times New Roman" w:hAnsi="Times New Roman" w:eastAsia="仿宋_GB2312" w:cs="Times New Roman"/>
          <w:sz w:val="32"/>
        </w:rPr>
        <w:t>收入</w:t>
      </w:r>
      <w:r>
        <w:rPr>
          <w:rFonts w:ascii="Times New Roman" w:hAnsi="Times New Roman" w:eastAsia="仿宋_GB2312" w:cs="Times New Roman"/>
          <w:sz w:val="32"/>
        </w:rPr>
        <w:t>2360.31</w:t>
      </w:r>
      <w:r>
        <w:rPr>
          <w:rFonts w:hint="eastAsia" w:ascii="Times New Roman" w:hAnsi="Times New Roman" w:eastAsia="仿宋_GB2312" w:cs="Times New Roman"/>
          <w:sz w:val="32"/>
        </w:rPr>
        <w:t>万元，占</w:t>
      </w:r>
      <w:r>
        <w:rPr>
          <w:rFonts w:ascii="Times New Roman" w:hAnsi="Times New Roman" w:eastAsia="仿宋_GB2312" w:cs="Times New Roman"/>
          <w:sz w:val="32"/>
        </w:rPr>
        <w:t>99.37%</w:t>
      </w:r>
      <w:r>
        <w:rPr>
          <w:rFonts w:hint="eastAsia" w:ascii="Times New Roman" w:hAnsi="Times New Roman" w:eastAsia="仿宋_GB2312" w:cs="Times New Roman"/>
          <w:sz w:val="32"/>
        </w:rPr>
        <w:t>；政府性基金预算拨款收入</w:t>
      </w:r>
      <w:r>
        <w:rPr>
          <w:rFonts w:ascii="Times New Roman" w:hAnsi="Times New Roman" w:eastAsia="仿宋_GB2312" w:cs="Times New Roman"/>
          <w:sz w:val="32"/>
        </w:rPr>
        <w:t>15</w:t>
      </w:r>
      <w:r>
        <w:rPr>
          <w:rFonts w:hint="eastAsia" w:ascii="Times New Roman" w:hAnsi="Times New Roman" w:eastAsia="仿宋_GB2312" w:cs="Times New Roman"/>
          <w:sz w:val="32"/>
        </w:rPr>
        <w:t>万元，占</w:t>
      </w:r>
      <w:r>
        <w:rPr>
          <w:rFonts w:ascii="Times New Roman" w:hAnsi="Times New Roman" w:eastAsia="仿宋_GB2312" w:cs="Times New Roman"/>
          <w:sz w:val="32"/>
        </w:rPr>
        <w:t>0.63%</w:t>
      </w:r>
      <w:r>
        <w:rPr>
          <w:rFonts w:hint="eastAsia" w:ascii="Times New Roman" w:hAnsi="Times New Roman" w:eastAsia="仿宋_GB2312" w:cs="Times New Roman"/>
          <w:sz w:val="32"/>
        </w:rPr>
        <w:t>；事业收入</w:t>
      </w:r>
      <w:r>
        <w:rPr>
          <w:rFonts w:ascii="Times New Roman" w:hAnsi="Times New Roman" w:eastAsia="仿宋_GB2312" w:cs="Times New Roman"/>
          <w:sz w:val="32"/>
        </w:rPr>
        <w:t>0</w:t>
      </w:r>
      <w:r>
        <w:rPr>
          <w:rFonts w:hint="eastAsia" w:ascii="Times New Roman" w:hAnsi="Times New Roman" w:eastAsia="仿宋_GB2312" w:cs="Times New Roman"/>
          <w:sz w:val="32"/>
        </w:rPr>
        <w:t>万元，占</w:t>
      </w:r>
      <w:r>
        <w:rPr>
          <w:rFonts w:ascii="Times New Roman" w:hAnsi="Times New Roman" w:eastAsia="仿宋_GB2312" w:cs="Times New Roman"/>
          <w:sz w:val="32"/>
        </w:rPr>
        <w:t>0%</w:t>
      </w:r>
      <w:bookmarkStart w:id="101" w:name="OLE_LINK1"/>
      <w:bookmarkStart w:id="102" w:name="OLE_LINK2"/>
      <w:r>
        <w:rPr>
          <w:rFonts w:hint="eastAsia" w:ascii="Times New Roman" w:hAnsi="Times New Roman" w:eastAsia="仿宋_GB2312" w:cs="Times New Roman"/>
          <w:sz w:val="32"/>
        </w:rPr>
        <w:t>；</w:t>
      </w:r>
      <w:bookmarkEnd w:id="101"/>
      <w:bookmarkEnd w:id="102"/>
      <w:r>
        <w:rPr>
          <w:rFonts w:hint="eastAsia" w:ascii="Times New Roman" w:hAnsi="Times New Roman" w:eastAsia="仿宋_GB2312" w:cs="仿宋_GB2312"/>
          <w:sz w:val="32"/>
        </w:rPr>
        <w:t>2025年年末预算收入3862.12万元，其中：当年一般公共预算财政拨款收入3758.96万元，政府性基金预算财政拨款收入103.16万元。</w:t>
      </w:r>
    </w:p>
    <w:p w14:paraId="2366CB06">
      <w:pPr>
        <w:spacing w:line="600" w:lineRule="exact"/>
        <w:ind w:firstLine="643" w:firstLineChars="200"/>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（二）支出情况。</w:t>
      </w:r>
    </w:p>
    <w:p w14:paraId="4EBFB772">
      <w:pPr>
        <w:spacing w:line="600" w:lineRule="exact"/>
        <w:ind w:firstLine="640" w:firstLineChars="200"/>
        <w:rPr>
          <w:rFonts w:ascii="Times New Roman" w:hAnsi="Times New Roman" w:eastAsia="仿宋_GB2312" w:cs="Times New Roman"/>
          <w:sz w:val="32"/>
          <w:u w:val="single"/>
        </w:rPr>
      </w:pPr>
      <w:r>
        <w:rPr>
          <w:rFonts w:hint="eastAsia" w:ascii="Times New Roman" w:hAnsi="Times New Roman" w:eastAsia="仿宋_GB2312" w:cs="仿宋_GB2312"/>
          <w:sz w:val="32"/>
        </w:rPr>
        <w:t>市自然资源和规划局</w:t>
      </w:r>
      <w:r>
        <w:rPr>
          <w:rFonts w:hint="eastAsia" w:ascii="Times New Roman" w:hAnsi="Times New Roman" w:eastAsia="仿宋_GB2312" w:cs="Times New Roman"/>
          <w:sz w:val="32"/>
        </w:rPr>
        <w:t>2025</w:t>
      </w:r>
      <w:r>
        <w:rPr>
          <w:rFonts w:ascii="Times New Roman" w:hAnsi="Times New Roman" w:eastAsia="仿宋_GB2312" w:cs="Times New Roman"/>
          <w:sz w:val="32"/>
        </w:rPr>
        <w:t>年支出预算</w:t>
      </w:r>
      <w:r>
        <w:rPr>
          <w:rFonts w:hint="eastAsia" w:ascii="Times New Roman" w:hAnsi="Times New Roman" w:eastAsia="仿宋_GB2312" w:cs="Times New Roman"/>
          <w:sz w:val="32"/>
        </w:rPr>
        <w:t>2375.31</w:t>
      </w:r>
      <w:r>
        <w:rPr>
          <w:rFonts w:ascii="Times New Roman" w:hAnsi="Times New Roman" w:eastAsia="仿宋_GB2312" w:cs="Times New Roman"/>
          <w:sz w:val="32"/>
        </w:rPr>
        <w:t>万元，其中：基本支出</w:t>
      </w:r>
      <w:r>
        <w:rPr>
          <w:rFonts w:hint="eastAsia" w:ascii="Times New Roman" w:hAnsi="Times New Roman" w:eastAsia="仿宋_GB2312" w:cs="Times New Roman"/>
          <w:sz w:val="32"/>
        </w:rPr>
        <w:t>2082.21</w:t>
      </w:r>
      <w:r>
        <w:rPr>
          <w:rFonts w:ascii="Times New Roman" w:hAnsi="Times New Roman" w:eastAsia="仿宋_GB2312" w:cs="Times New Roman"/>
          <w:sz w:val="32"/>
        </w:rPr>
        <w:t>万元，占</w:t>
      </w:r>
      <w:r>
        <w:rPr>
          <w:rFonts w:hint="eastAsia" w:ascii="Times New Roman" w:hAnsi="Times New Roman" w:eastAsia="仿宋_GB2312" w:cs="Times New Roman"/>
          <w:sz w:val="32"/>
        </w:rPr>
        <w:t>87.66</w:t>
      </w:r>
      <w:r>
        <w:rPr>
          <w:rFonts w:ascii="Times New Roman" w:hAnsi="Times New Roman" w:eastAsia="仿宋_GB2312" w:cs="Times New Roman"/>
          <w:sz w:val="32"/>
        </w:rPr>
        <w:t>%；项目支出</w:t>
      </w:r>
      <w:r>
        <w:rPr>
          <w:rFonts w:hint="eastAsia" w:ascii="Times New Roman" w:hAnsi="Times New Roman" w:eastAsia="仿宋_GB2312" w:cs="Times New Roman"/>
          <w:sz w:val="32"/>
        </w:rPr>
        <w:t>293.1</w:t>
      </w:r>
      <w:r>
        <w:rPr>
          <w:rFonts w:ascii="Times New Roman" w:hAnsi="Times New Roman" w:eastAsia="仿宋_GB2312" w:cs="Times New Roman"/>
          <w:sz w:val="32"/>
        </w:rPr>
        <w:t>万元，占</w:t>
      </w:r>
      <w:r>
        <w:rPr>
          <w:rFonts w:hint="eastAsia" w:ascii="Times New Roman" w:hAnsi="Times New Roman" w:eastAsia="仿宋_GB2312" w:cs="Times New Roman"/>
          <w:sz w:val="32"/>
        </w:rPr>
        <w:t>12.34</w:t>
      </w:r>
      <w:r>
        <w:rPr>
          <w:rFonts w:ascii="Times New Roman" w:hAnsi="Times New Roman" w:eastAsia="仿宋_GB2312" w:cs="Times New Roman"/>
          <w:sz w:val="32"/>
        </w:rPr>
        <w:t>%</w:t>
      </w:r>
      <w:r>
        <w:rPr>
          <w:rFonts w:hint="eastAsia" w:ascii="Times New Roman" w:hAnsi="Times New Roman" w:eastAsia="仿宋_GB2312" w:cs="Times New Roman"/>
          <w:sz w:val="32"/>
        </w:rPr>
        <w:t>；</w:t>
      </w:r>
      <w:bookmarkStart w:id="103" w:name="OLE_LINK31"/>
      <w:r>
        <w:rPr>
          <w:rFonts w:hint="eastAsia" w:ascii="Times New Roman" w:hAnsi="Times New Roman" w:eastAsia="仿宋_GB2312" w:cs="Times New Roman"/>
          <w:color w:val="000000"/>
          <w:sz w:val="32"/>
          <w:szCs w:val="32"/>
        </w:rPr>
        <w:t>2025年年末预算支出3862.12万元，其中：当年一般公共预算财政拨款收入3758.96万元，政府性基金预算财政拨款收入103.16万元。较上年减少1226.36，下降24.1%。主要原</w:t>
      </w:r>
      <w:r>
        <w:rPr>
          <w:rFonts w:hint="eastAsia" w:eastAsia="仿宋_GB2312" w:cs="Times New Roman"/>
          <w:color w:val="000000"/>
          <w:sz w:val="32"/>
          <w:szCs w:val="32"/>
          <w:lang w:eastAsia="zh-CN"/>
        </w:rPr>
        <w:t>因为</w:t>
      </w:r>
      <w:r>
        <w:rPr>
          <w:rFonts w:hint="eastAsia" w:ascii="Times New Roman" w:hAnsi="Times New Roman" w:eastAsia="仿宋_GB2312" w:cs="Times New Roman"/>
          <w:color w:val="000000"/>
          <w:sz w:val="32"/>
          <w:szCs w:val="32"/>
        </w:rPr>
        <w:t>本年度项目支出减少。</w:t>
      </w:r>
      <w:bookmarkEnd w:id="103"/>
    </w:p>
    <w:p w14:paraId="1C0E1D5D">
      <w:pPr>
        <w:widowControl/>
        <w:adjustRightInd w:val="0"/>
        <w:snapToGrid w:val="0"/>
        <w:spacing w:line="578" w:lineRule="exact"/>
        <w:ind w:firstLine="643" w:firstLineChars="200"/>
        <w:contextualSpacing/>
        <w:jc w:val="left"/>
        <w:rPr>
          <w:rFonts w:ascii="Times New Roman" w:hAnsi="Times New Roman" w:eastAsia="楷体_GB2312" w:cs="Times New Roman"/>
          <w:b/>
          <w:sz w:val="32"/>
          <w:szCs w:val="32"/>
        </w:rPr>
      </w:pPr>
      <w:r>
        <w:rPr>
          <w:rFonts w:ascii="Times New Roman" w:hAnsi="Times New Roman" w:eastAsia="楷体_GB2312" w:cs="Times New Roman"/>
          <w:b/>
          <w:bCs/>
          <w:color w:val="000000"/>
          <w:kern w:val="0"/>
          <w:sz w:val="32"/>
          <w:szCs w:val="32"/>
          <w:shd w:val="clear" w:color="auto" w:fill="FFFFFF"/>
          <w:lang w:val="zh-CN"/>
        </w:rPr>
        <w:t>（三）</w:t>
      </w:r>
      <w:r>
        <w:rPr>
          <w:rFonts w:ascii="Times New Roman" w:hAnsi="Times New Roman" w:eastAsia="楷体_GB2312" w:cs="Times New Roman"/>
          <w:b/>
          <w:sz w:val="32"/>
          <w:szCs w:val="32"/>
        </w:rPr>
        <w:t>结余分配和结转结余情况。</w:t>
      </w:r>
    </w:p>
    <w:p w14:paraId="2414B495">
      <w:pPr>
        <w:widowControl/>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sz w:val="32"/>
          <w:szCs w:val="32"/>
        </w:rPr>
        <w:t>市自然资源和规划局2025年决算报表无</w:t>
      </w:r>
      <w:r>
        <w:rPr>
          <w:rFonts w:ascii="Times New Roman" w:hAnsi="Times New Roman" w:eastAsia="仿宋_GB2312" w:cs="Times New Roman"/>
          <w:color w:val="000000"/>
          <w:kern w:val="0"/>
          <w:sz w:val="32"/>
          <w:szCs w:val="32"/>
          <w:shd w:val="clear" w:color="auto" w:fill="FFFFFF"/>
        </w:rPr>
        <w:t>结转结余。</w:t>
      </w:r>
    </w:p>
    <w:p w14:paraId="5D1FC114">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三、部门预算绩效分析</w:t>
      </w:r>
    </w:p>
    <w:p w14:paraId="26B16D81">
      <w:pPr>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（一）部门预算总体绩效分析。</w:t>
      </w:r>
      <w:r>
        <w:rPr>
          <w:rFonts w:ascii="Times New Roman" w:hAnsi="Times New Roman" w:eastAsia="仿宋_GB2312" w:cs="Times New Roman"/>
          <w:color w:val="000000"/>
          <w:kern w:val="0"/>
          <w:sz w:val="32"/>
          <w:szCs w:val="32"/>
          <w:shd w:val="clear" w:color="auto" w:fill="FFFFFF"/>
          <w:lang w:val="zh-CN"/>
        </w:rPr>
        <w:t>根据部门预算绩效评价指标体系“总体绩效”涉及二、三级指标进行逐项绩效分析并评分，依次包括履职效能、预算管理、财务管理、资产管理、采购管理等情况。</w:t>
      </w:r>
    </w:p>
    <w:p w14:paraId="24A87ACB">
      <w:pPr>
        <w:spacing w:line="576" w:lineRule="exact"/>
        <w:ind w:firstLine="640" w:firstLineChars="200"/>
        <w:rPr>
          <w:rFonts w:hint="eastAsia" w:ascii="方正楷体_GBK" w:hAnsi="方正楷体_GBK" w:eastAsia="方正楷体_GBK" w:cs="方正楷体_GBK"/>
          <w:b/>
          <w:bCs/>
          <w:sz w:val="32"/>
          <w:szCs w:val="32"/>
        </w:rPr>
      </w:pPr>
      <w:r>
        <w:rPr>
          <w:rFonts w:ascii="Times New Roman" w:hAnsi="Times New Roman" w:eastAsia="楷体_GB2312" w:cs="Times New Roman"/>
          <w:color w:val="000000"/>
          <w:kern w:val="0"/>
          <w:sz w:val="32"/>
          <w:szCs w:val="32"/>
          <w:shd w:val="clear" w:color="auto" w:fill="FFFFFF"/>
        </w:rPr>
        <w:t>1.</w:t>
      </w:r>
      <w:r>
        <w:rPr>
          <w:rFonts w:ascii="Times New Roman" w:hAnsi="Times New Roman" w:eastAsia="楷体_GB2312" w:cs="Times New Roman"/>
          <w:color w:val="000000"/>
          <w:kern w:val="0"/>
          <w:sz w:val="32"/>
          <w:szCs w:val="32"/>
          <w:shd w:val="clear" w:color="auto" w:fill="FFFFFF"/>
          <w:lang w:val="zh-CN"/>
        </w:rPr>
        <w:t>履职效能。</w:t>
      </w:r>
      <w:r>
        <w:rPr>
          <w:rFonts w:ascii="Times New Roman" w:hAnsi="Times New Roman" w:eastAsia="仿宋_GB2312" w:cs="Times New Roman"/>
          <w:color w:val="000000"/>
          <w:kern w:val="0"/>
          <w:sz w:val="32"/>
          <w:szCs w:val="32"/>
          <w:shd w:val="clear" w:color="auto" w:fill="FFFFFF"/>
          <w:lang w:val="zh-CN"/>
        </w:rPr>
        <w:t>部门整体绩效目标中选定3</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5个核心职能目标，对职能目标完成效果情况绩效分析。</w:t>
      </w:r>
    </w:p>
    <w:p w14:paraId="3DA303D1">
      <w:pPr>
        <w:spacing w:line="576" w:lineRule="exact"/>
        <w:ind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坚持“高效供给”，提升土地要素保障能力。</w:t>
      </w:r>
      <w:r>
        <w:rPr>
          <w:rFonts w:hint="eastAsia" w:ascii="Times New Roman" w:hAnsi="Times New Roman" w:eastAsia="方正仿宋_GBK" w:cs="Times New Roman"/>
          <w:b/>
          <w:bCs/>
          <w:sz w:val="32"/>
          <w:szCs w:val="32"/>
        </w:rPr>
        <w:t>一是</w:t>
      </w:r>
      <w:r>
        <w:rPr>
          <w:rFonts w:hint="eastAsia" w:ascii="Times New Roman" w:hAnsi="Times New Roman" w:eastAsia="方正仿宋_GBK" w:cs="Times New Roman"/>
          <w:sz w:val="32"/>
          <w:szCs w:val="32"/>
        </w:rPr>
        <w:t>顺利承接省级用地审批权。我市获批成为全省首批全域行使省级用地审批权的地级市，</w:t>
      </w:r>
      <w:r>
        <w:rPr>
          <w:rFonts w:ascii="Times New Roman" w:hAnsi="Times New Roman" w:eastAsia="方正仿宋_GBK" w:cs="Times New Roman"/>
          <w:sz w:val="32"/>
          <w:szCs w:val="32"/>
        </w:rPr>
        <w:t>2025</w:t>
      </w:r>
      <w:r>
        <w:rPr>
          <w:rFonts w:hint="eastAsia" w:ascii="Times New Roman" w:hAnsi="Times New Roman" w:eastAsia="方正仿宋_GBK" w:cs="Times New Roman"/>
          <w:sz w:val="32"/>
          <w:szCs w:val="32"/>
        </w:rPr>
        <w:t>年共完成</w:t>
      </w:r>
      <w:r>
        <w:rPr>
          <w:rFonts w:ascii="Times New Roman" w:hAnsi="Times New Roman" w:eastAsia="方正仿宋_GBK" w:cs="Times New Roman"/>
          <w:sz w:val="32"/>
          <w:szCs w:val="32"/>
        </w:rPr>
        <w:t>18</w:t>
      </w:r>
      <w:r>
        <w:rPr>
          <w:rFonts w:hint="eastAsia" w:ascii="Times New Roman" w:hAnsi="Times New Roman" w:eastAsia="方正仿宋_GBK" w:cs="Times New Roman"/>
          <w:sz w:val="32"/>
          <w:szCs w:val="32"/>
        </w:rPr>
        <w:t>个批次（项目）建设用地审查，获批建设用地</w:t>
      </w:r>
      <w:r>
        <w:rPr>
          <w:rFonts w:ascii="Times New Roman" w:hAnsi="Times New Roman" w:eastAsia="方正仿宋_GBK" w:cs="Times New Roman"/>
          <w:sz w:val="32"/>
          <w:szCs w:val="32"/>
        </w:rPr>
        <w:t>1178.4542</w:t>
      </w:r>
      <w:r>
        <w:rPr>
          <w:rFonts w:hint="eastAsia" w:ascii="Times New Roman" w:hAnsi="Times New Roman" w:eastAsia="方正仿宋_GBK" w:cs="Times New Roman"/>
          <w:sz w:val="32"/>
          <w:szCs w:val="32"/>
        </w:rPr>
        <w:t>公顷，保障红格南矿一期、攀盐高速等重大项目用地。做好</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亩均论英雄</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综合改革和</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标准地</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供应。积极开展省级及以上工业园区</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亩均论英雄</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评价成果应用。市本级新增供应工业用地</w:t>
      </w:r>
      <w:r>
        <w:rPr>
          <w:rFonts w:ascii="Times New Roman" w:hAnsi="Times New Roman" w:eastAsia="方正仿宋_GBK" w:cs="Times New Roman"/>
          <w:sz w:val="32"/>
          <w:szCs w:val="32"/>
        </w:rPr>
        <w:t>100%</w:t>
      </w:r>
      <w:r>
        <w:rPr>
          <w:rFonts w:hint="eastAsia" w:ascii="Times New Roman" w:hAnsi="Times New Roman" w:eastAsia="方正仿宋_GBK" w:cs="Times New Roman"/>
          <w:sz w:val="32"/>
          <w:szCs w:val="32"/>
        </w:rPr>
        <w:t>实施</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标准地</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供应。</w:t>
      </w:r>
    </w:p>
    <w:p w14:paraId="1F21DECD">
      <w:pPr>
        <w:spacing w:line="576" w:lineRule="exact"/>
        <w:ind w:firstLine="643" w:firstLineChars="200"/>
        <w:rPr>
          <w:rFonts w:ascii="方正楷体_GBK" w:hAnsi="方正楷体_GBK" w:eastAsia="方正楷体_GBK" w:cs="方正楷体_GBK"/>
          <w:b/>
          <w:bCs/>
          <w:sz w:val="32"/>
          <w:szCs w:val="32"/>
          <w:lang w:val="zh-CN"/>
        </w:rPr>
      </w:pPr>
      <w:r>
        <w:rPr>
          <w:rFonts w:hint="eastAsia" w:ascii="方正楷体_GBK" w:hAnsi="方正楷体_GBK" w:eastAsia="方正楷体_GBK" w:cs="方正楷体_GBK"/>
          <w:b/>
          <w:bCs/>
          <w:sz w:val="32"/>
          <w:szCs w:val="32"/>
          <w:lang w:val="zh-CN"/>
        </w:rPr>
        <w:t>2.坚持“规划引领”，有力有序推进城市更新。</w:t>
      </w:r>
      <w:r>
        <w:rPr>
          <w:rFonts w:hint="eastAsia" w:ascii="Times New Roman" w:hAnsi="Times New Roman" w:eastAsia="方正仿宋_GBK" w:cs="Times New Roman"/>
          <w:b/>
          <w:bCs/>
          <w:sz w:val="32"/>
          <w:szCs w:val="32"/>
        </w:rPr>
        <w:t>一是</w:t>
      </w:r>
      <w:r>
        <w:rPr>
          <w:rFonts w:hint="eastAsia" w:ascii="Times New Roman" w:hAnsi="Times New Roman" w:eastAsia="方正仿宋_GBK" w:cs="Times New Roman"/>
          <w:sz w:val="32"/>
          <w:szCs w:val="32"/>
        </w:rPr>
        <w:t>持续健全规划体系。完成市规委会工作规则修订。初步完成国土空间规划“一张图”实施监督信息系统建设。制定乡村地区“通则式”规划管理规定；</w:t>
      </w:r>
      <w:r>
        <w:rPr>
          <w:rFonts w:hint="eastAsia" w:ascii="Times New Roman" w:hAnsi="Times New Roman" w:eastAsia="方正仿宋_GBK" w:cs="Times New Roman"/>
          <w:b/>
          <w:bCs/>
          <w:sz w:val="32"/>
          <w:szCs w:val="32"/>
        </w:rPr>
        <w:t>二是</w:t>
      </w:r>
      <w:r>
        <w:rPr>
          <w:rFonts w:hint="eastAsia" w:ascii="Times New Roman" w:hAnsi="Times New Roman" w:eastAsia="方正仿宋_GBK" w:cs="Times New Roman"/>
          <w:sz w:val="32"/>
          <w:szCs w:val="32"/>
        </w:rPr>
        <w:t>推动城市有机更新。制定出台支持城市更新的规划与土地政策措施，</w:t>
      </w:r>
      <w:r>
        <w:rPr>
          <w:rFonts w:hint="eastAsia" w:ascii="Times New Roman" w:hAnsi="Times New Roman" w:eastAsia="方正仿宋_GBK" w:cs="Times New Roman"/>
          <w:sz w:val="32"/>
          <w:szCs w:val="32"/>
          <w:lang w:val="zh-CN"/>
        </w:rPr>
        <w:t>完成</w:t>
      </w:r>
      <w:r>
        <w:rPr>
          <w:rFonts w:ascii="Times New Roman" w:hAnsi="Times New Roman" w:eastAsia="方正仿宋_GBK" w:cs="Times New Roman"/>
          <w:sz w:val="32"/>
          <w:szCs w:val="32"/>
          <w:lang w:val="zh-CN"/>
        </w:rPr>
        <w:t>3</w:t>
      </w:r>
      <w:r>
        <w:rPr>
          <w:rFonts w:hint="eastAsia" w:ascii="Times New Roman" w:hAnsi="Times New Roman" w:eastAsia="方正仿宋_GBK" w:cs="Times New Roman"/>
          <w:sz w:val="32"/>
          <w:szCs w:val="32"/>
          <w:lang w:val="zh-CN"/>
        </w:rPr>
        <w:t>轮城镇开发边界局部优化调整，调整面积约</w:t>
      </w:r>
      <w:r>
        <w:rPr>
          <w:rFonts w:ascii="Times New Roman" w:hAnsi="Times New Roman" w:eastAsia="方正仿宋_GBK" w:cs="Times New Roman"/>
          <w:sz w:val="32"/>
          <w:szCs w:val="32"/>
          <w:lang w:val="zh-CN"/>
        </w:rPr>
        <w:t>107.36</w:t>
      </w:r>
      <w:r>
        <w:rPr>
          <w:rFonts w:hint="eastAsia" w:ascii="Times New Roman" w:hAnsi="Times New Roman" w:eastAsia="方正仿宋_GBK" w:cs="Times New Roman"/>
          <w:sz w:val="32"/>
          <w:szCs w:val="32"/>
          <w:lang w:val="zh-CN"/>
        </w:rPr>
        <w:t>公顷。印发《攀枝花市场镇建设规划编制指南》，启动</w:t>
      </w:r>
      <w:r>
        <w:rPr>
          <w:rFonts w:ascii="Times New Roman" w:hAnsi="Times New Roman" w:eastAsia="方正仿宋_GBK" w:cs="Times New Roman"/>
          <w:sz w:val="32"/>
          <w:szCs w:val="32"/>
          <w:lang w:val="zh-CN"/>
        </w:rPr>
        <w:t>29</w:t>
      </w:r>
      <w:r>
        <w:rPr>
          <w:rFonts w:hint="eastAsia" w:ascii="Times New Roman" w:hAnsi="Times New Roman" w:eastAsia="方正仿宋_GBK" w:cs="Times New Roman"/>
          <w:sz w:val="32"/>
          <w:szCs w:val="32"/>
          <w:lang w:val="zh-CN"/>
        </w:rPr>
        <w:t>个场镇建设提升规划编制；</w:t>
      </w:r>
      <w:r>
        <w:rPr>
          <w:rFonts w:hint="eastAsia" w:ascii="Times New Roman" w:hAnsi="Times New Roman" w:eastAsia="方正仿宋_GBK" w:cs="Times New Roman"/>
          <w:b/>
          <w:bCs/>
          <w:sz w:val="32"/>
          <w:szCs w:val="32"/>
        </w:rPr>
        <w:t>三是</w:t>
      </w:r>
      <w:r>
        <w:rPr>
          <w:rFonts w:hint="eastAsia" w:ascii="Times New Roman" w:hAnsi="Times New Roman" w:eastAsia="方正仿宋_GBK" w:cs="Times New Roman"/>
          <w:sz w:val="32"/>
          <w:szCs w:val="32"/>
        </w:rPr>
        <w:t>稳步提升规划质效。创新“厅市”联动机制，以攀枝花为试点，由自然资源厅及相关设计院组成的</w:t>
      </w:r>
      <w:r>
        <w:rPr>
          <w:rFonts w:ascii="Times New Roman" w:hAnsi="Times New Roman" w:eastAsia="方正仿宋_GBK" w:cs="Times New Roman"/>
          <w:sz w:val="32"/>
          <w:szCs w:val="32"/>
        </w:rPr>
        <w:t>6</w:t>
      </w:r>
      <w:r>
        <w:rPr>
          <w:rFonts w:hint="eastAsia" w:ascii="Times New Roman" w:hAnsi="Times New Roman" w:eastAsia="方正仿宋_GBK" w:cs="Times New Roman"/>
          <w:sz w:val="32"/>
          <w:szCs w:val="32"/>
        </w:rPr>
        <w:t>人工作组驻攀实地帮助我市提升城乡规划设计工作水平。首批聘任</w:t>
      </w:r>
      <w:r>
        <w:rPr>
          <w:rFonts w:ascii="Times New Roman" w:hAnsi="Times New Roman" w:eastAsia="方正仿宋_GBK" w:cs="Times New Roman"/>
          <w:sz w:val="32"/>
          <w:szCs w:val="32"/>
        </w:rPr>
        <w:t>22</w:t>
      </w:r>
      <w:r>
        <w:rPr>
          <w:rFonts w:hint="eastAsia" w:ascii="Times New Roman" w:hAnsi="Times New Roman" w:eastAsia="方正仿宋_GBK" w:cs="Times New Roman"/>
          <w:sz w:val="32"/>
          <w:szCs w:val="32"/>
        </w:rPr>
        <w:t>名乡村规划建筑师到岗工作，基本实现县（区）专业技术人员全覆盖。</w:t>
      </w:r>
    </w:p>
    <w:p w14:paraId="3B150F6D">
      <w:pPr>
        <w:spacing w:line="576" w:lineRule="exact"/>
        <w:ind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3.坚持“管控约束”，规范自然资源管理。</w:t>
      </w:r>
      <w:r>
        <w:rPr>
          <w:rFonts w:hint="eastAsia" w:ascii="Times New Roman" w:hAnsi="Times New Roman" w:eastAsia="方正仿宋_GBK" w:cs="Times New Roman"/>
          <w:b/>
          <w:bCs/>
          <w:sz w:val="32"/>
          <w:szCs w:val="32"/>
        </w:rPr>
        <w:t>一是</w:t>
      </w:r>
      <w:r>
        <w:rPr>
          <w:rFonts w:hint="eastAsia" w:ascii="Times New Roman" w:hAnsi="Times New Roman" w:eastAsia="方正仿宋_GBK" w:cs="Times New Roman"/>
          <w:sz w:val="32"/>
          <w:szCs w:val="32"/>
        </w:rPr>
        <w:t>夯实矿政管理。推动钒钛磁铁矿资源增储、高效利用和绿色开发三大工程。积极探索政企协同找矿模式，申报省政府性投资找矿项目</w:t>
      </w:r>
      <w:r>
        <w:rPr>
          <w:rFonts w:ascii="Times New Roman" w:hAnsi="Times New Roman" w:eastAsia="方正仿宋_GBK" w:cs="Times New Roman"/>
          <w:sz w:val="32"/>
          <w:szCs w:val="32"/>
        </w:rPr>
        <w:t>17</w:t>
      </w:r>
      <w:r>
        <w:rPr>
          <w:rFonts w:hint="eastAsia" w:ascii="Times New Roman" w:hAnsi="Times New Roman" w:eastAsia="方正仿宋_GBK" w:cs="Times New Roman"/>
          <w:sz w:val="32"/>
          <w:szCs w:val="32"/>
        </w:rPr>
        <w:t>个，已入库</w:t>
      </w:r>
      <w:r>
        <w:rPr>
          <w:rFonts w:ascii="Times New Roman" w:hAnsi="Times New Roman" w:eastAsia="方正仿宋_GBK" w:cs="Times New Roman"/>
          <w:sz w:val="32"/>
          <w:szCs w:val="32"/>
        </w:rPr>
        <w:t>11</w:t>
      </w:r>
      <w:r>
        <w:rPr>
          <w:rFonts w:hint="eastAsia" w:ascii="Times New Roman" w:hAnsi="Times New Roman" w:eastAsia="方正仿宋_GBK" w:cs="Times New Roman"/>
          <w:sz w:val="32"/>
          <w:szCs w:val="32"/>
        </w:rPr>
        <w:t>个，市县级财政出资实施找矿项目</w:t>
      </w:r>
      <w:r>
        <w:rPr>
          <w:rFonts w:ascii="Times New Roman" w:hAnsi="Times New Roman" w:eastAsia="方正仿宋_GBK" w:cs="Times New Roman"/>
          <w:sz w:val="32"/>
          <w:szCs w:val="32"/>
        </w:rPr>
        <w:t>12</w:t>
      </w:r>
      <w:r>
        <w:rPr>
          <w:rFonts w:hint="eastAsia" w:ascii="Times New Roman" w:hAnsi="Times New Roman" w:eastAsia="方正仿宋_GBK" w:cs="Times New Roman"/>
          <w:sz w:val="32"/>
          <w:szCs w:val="32"/>
        </w:rPr>
        <w:t>个，以</w:t>
      </w:r>
      <w:r>
        <w:rPr>
          <w:rFonts w:ascii="Times New Roman" w:hAnsi="Times New Roman" w:eastAsia="方正仿宋_GBK" w:cs="Times New Roman"/>
          <w:sz w:val="32"/>
          <w:szCs w:val="32"/>
        </w:rPr>
        <w:t>2493</w:t>
      </w:r>
      <w:r>
        <w:rPr>
          <w:rFonts w:hint="eastAsia" w:ascii="Times New Roman" w:hAnsi="Times New Roman" w:eastAsia="方正仿宋_GBK" w:cs="Times New Roman"/>
          <w:sz w:val="32"/>
          <w:szCs w:val="32"/>
        </w:rPr>
        <w:t>余万元财政资金，带动社会资金</w:t>
      </w:r>
      <w:r>
        <w:rPr>
          <w:rFonts w:ascii="Times New Roman" w:hAnsi="Times New Roman" w:eastAsia="方正仿宋_GBK" w:cs="Times New Roman"/>
          <w:sz w:val="32"/>
          <w:szCs w:val="32"/>
        </w:rPr>
        <w:t>6500</w:t>
      </w:r>
      <w:r>
        <w:rPr>
          <w:rFonts w:hint="eastAsia" w:ascii="Times New Roman" w:hAnsi="Times New Roman" w:eastAsia="方正仿宋_GBK" w:cs="Times New Roman"/>
          <w:sz w:val="32"/>
          <w:szCs w:val="32"/>
        </w:rPr>
        <w:t>余万元参与找矿，新增砂岩资源量</w:t>
      </w:r>
      <w:r>
        <w:rPr>
          <w:rFonts w:ascii="Times New Roman" w:hAnsi="Times New Roman" w:eastAsia="方正仿宋_GBK" w:cs="Times New Roman"/>
          <w:sz w:val="32"/>
          <w:szCs w:val="32"/>
        </w:rPr>
        <w:t>4400</w:t>
      </w:r>
      <w:r>
        <w:rPr>
          <w:rFonts w:hint="eastAsia" w:ascii="Times New Roman" w:hAnsi="Times New Roman" w:eastAsia="方正仿宋_GBK" w:cs="Times New Roman"/>
          <w:sz w:val="32"/>
          <w:szCs w:val="32"/>
        </w:rPr>
        <w:t>余万吨、白云石矿</w:t>
      </w:r>
      <w:r>
        <w:rPr>
          <w:rFonts w:ascii="Times New Roman" w:hAnsi="Times New Roman" w:eastAsia="方正仿宋_GBK" w:cs="Times New Roman"/>
          <w:sz w:val="32"/>
          <w:szCs w:val="32"/>
        </w:rPr>
        <w:t>3500</w:t>
      </w:r>
      <w:r>
        <w:rPr>
          <w:rFonts w:hint="eastAsia" w:ascii="Times New Roman" w:hAnsi="Times New Roman" w:eastAsia="方正仿宋_GBK" w:cs="Times New Roman"/>
          <w:sz w:val="32"/>
          <w:szCs w:val="32"/>
        </w:rPr>
        <w:t>余万吨；</w:t>
      </w:r>
      <w:r>
        <w:rPr>
          <w:rFonts w:hint="eastAsia" w:ascii="Times New Roman" w:hAnsi="Times New Roman" w:eastAsia="方正仿宋_GBK" w:cs="Times New Roman"/>
          <w:b/>
          <w:bCs/>
          <w:sz w:val="32"/>
          <w:szCs w:val="32"/>
        </w:rPr>
        <w:t>二是</w:t>
      </w:r>
      <w:r>
        <w:rPr>
          <w:rFonts w:hint="eastAsia" w:ascii="Times New Roman" w:hAnsi="Times New Roman" w:eastAsia="方正仿宋_GBK" w:cs="Times New Roman"/>
          <w:sz w:val="32"/>
          <w:szCs w:val="32"/>
        </w:rPr>
        <w:t>有序推进红格南矿区开发建设。红格南矿一期成为新修订《中华人民共和国矿产资源法》施行以来，全国首个国务院批准非能源类战略性矿产资源采矿用地征收项目。顺利完成矿山安全设施设计现场核查范围内</w:t>
      </w:r>
      <w:r>
        <w:rPr>
          <w:rFonts w:ascii="Times New Roman" w:hAnsi="Times New Roman" w:eastAsia="方正仿宋_GBK" w:cs="Times New Roman"/>
          <w:sz w:val="32"/>
          <w:szCs w:val="32"/>
        </w:rPr>
        <w:t>472</w:t>
      </w:r>
      <w:r>
        <w:rPr>
          <w:rFonts w:hint="eastAsia" w:ascii="Times New Roman" w:hAnsi="Times New Roman" w:eastAsia="方正仿宋_GBK" w:cs="Times New Roman"/>
          <w:sz w:val="32"/>
          <w:szCs w:val="32"/>
        </w:rPr>
        <w:t>户征地拆迁工作，累计签订主协议</w:t>
      </w:r>
      <w:r>
        <w:rPr>
          <w:rFonts w:ascii="Times New Roman" w:hAnsi="Times New Roman" w:eastAsia="方正仿宋_GBK" w:cs="Times New Roman"/>
          <w:sz w:val="32"/>
          <w:szCs w:val="32"/>
        </w:rPr>
        <w:t>562</w:t>
      </w:r>
      <w:r>
        <w:rPr>
          <w:rFonts w:hint="eastAsia" w:ascii="Times New Roman" w:hAnsi="Times New Roman" w:eastAsia="方正仿宋_GBK" w:cs="Times New Roman"/>
          <w:sz w:val="32"/>
          <w:szCs w:val="32"/>
        </w:rPr>
        <w:t>户；</w:t>
      </w:r>
      <w:r>
        <w:rPr>
          <w:rFonts w:hint="eastAsia" w:ascii="Times New Roman" w:hAnsi="Times New Roman" w:eastAsia="方正仿宋_GBK" w:cs="Times New Roman"/>
          <w:b/>
          <w:bCs/>
          <w:sz w:val="32"/>
          <w:szCs w:val="32"/>
        </w:rPr>
        <w:t>三是</w:t>
      </w:r>
      <w:r>
        <w:rPr>
          <w:rFonts w:hint="eastAsia" w:ascii="Times New Roman" w:hAnsi="Times New Roman" w:eastAsia="方正仿宋_GBK" w:cs="Times New Roman"/>
          <w:sz w:val="32"/>
          <w:szCs w:val="32"/>
        </w:rPr>
        <w:t>严格督察执法。全面开展自然资源督察工作，立案查处自然资源违法案件</w:t>
      </w:r>
      <w:r>
        <w:rPr>
          <w:rFonts w:ascii="Times New Roman" w:hAnsi="Times New Roman" w:eastAsia="方正仿宋_GBK" w:cs="Times New Roman"/>
          <w:sz w:val="32"/>
          <w:szCs w:val="32"/>
        </w:rPr>
        <w:t>27</w:t>
      </w:r>
      <w:r>
        <w:rPr>
          <w:rFonts w:hint="eastAsia" w:ascii="Times New Roman" w:hAnsi="Times New Roman" w:eastAsia="方正仿宋_GBK" w:cs="Times New Roman"/>
          <w:sz w:val="32"/>
          <w:szCs w:val="32"/>
        </w:rPr>
        <w:t>件，退还土地</w:t>
      </w:r>
      <w:r>
        <w:rPr>
          <w:rFonts w:ascii="Times New Roman" w:hAnsi="Times New Roman" w:eastAsia="方正仿宋_GBK" w:cs="Times New Roman"/>
          <w:sz w:val="32"/>
          <w:szCs w:val="32"/>
        </w:rPr>
        <w:t>292.26</w:t>
      </w:r>
      <w:r>
        <w:rPr>
          <w:rFonts w:hint="eastAsia" w:ascii="Times New Roman" w:hAnsi="Times New Roman" w:eastAsia="方正仿宋_GBK" w:cs="Times New Roman"/>
          <w:sz w:val="32"/>
          <w:szCs w:val="32"/>
        </w:rPr>
        <w:t>亩，没收建（构）筑物</w:t>
      </w:r>
      <w:r>
        <w:rPr>
          <w:rFonts w:ascii="Times New Roman" w:hAnsi="Times New Roman" w:eastAsia="方正仿宋_GBK" w:cs="Times New Roman"/>
          <w:sz w:val="32"/>
          <w:szCs w:val="32"/>
        </w:rPr>
        <w:t>11.9682</w:t>
      </w:r>
      <w:r>
        <w:rPr>
          <w:rFonts w:hint="eastAsia" w:ascii="Times New Roman" w:hAnsi="Times New Roman" w:eastAsia="方正仿宋_GBK" w:cs="Times New Roman"/>
          <w:sz w:val="32"/>
          <w:szCs w:val="32"/>
        </w:rPr>
        <w:t>万平方米，罚款</w:t>
      </w:r>
      <w:r>
        <w:rPr>
          <w:rFonts w:ascii="Times New Roman" w:hAnsi="Times New Roman" w:eastAsia="方正仿宋_GBK" w:cs="Times New Roman"/>
          <w:sz w:val="32"/>
          <w:szCs w:val="32"/>
        </w:rPr>
        <w:t>1043.7232</w:t>
      </w:r>
      <w:r>
        <w:rPr>
          <w:rFonts w:hint="eastAsia" w:ascii="Times New Roman" w:hAnsi="Times New Roman" w:eastAsia="方正仿宋_GBK" w:cs="Times New Roman"/>
          <w:sz w:val="32"/>
          <w:szCs w:val="32"/>
        </w:rPr>
        <w:t>万元。全市</w:t>
      </w:r>
      <w:r>
        <w:rPr>
          <w:rFonts w:ascii="Times New Roman" w:hAnsi="Times New Roman" w:eastAsia="方正仿宋_GBK" w:cs="Times New Roman"/>
          <w:sz w:val="32"/>
          <w:szCs w:val="32"/>
        </w:rPr>
        <w:t>2018—2024</w:t>
      </w:r>
      <w:r>
        <w:rPr>
          <w:rFonts w:hint="eastAsia" w:ascii="Times New Roman" w:hAnsi="Times New Roman" w:eastAsia="方正仿宋_GBK" w:cs="Times New Roman"/>
          <w:sz w:val="32"/>
          <w:szCs w:val="32"/>
        </w:rPr>
        <w:t>年存量违法占用耕地问题整改到位</w:t>
      </w:r>
      <w:r>
        <w:rPr>
          <w:rFonts w:ascii="Times New Roman" w:hAnsi="Times New Roman" w:eastAsia="方正仿宋_GBK" w:cs="Times New Roman"/>
          <w:sz w:val="32"/>
          <w:szCs w:val="32"/>
        </w:rPr>
        <w:t>912.67</w:t>
      </w:r>
      <w:r>
        <w:rPr>
          <w:rFonts w:hint="eastAsia" w:ascii="Times New Roman" w:hAnsi="Times New Roman" w:eastAsia="方正仿宋_GBK" w:cs="Times New Roman"/>
          <w:sz w:val="32"/>
          <w:szCs w:val="32"/>
        </w:rPr>
        <w:t>亩，整改率</w:t>
      </w:r>
      <w:r>
        <w:rPr>
          <w:rFonts w:ascii="Times New Roman" w:hAnsi="Times New Roman" w:eastAsia="方正仿宋_GBK" w:cs="Times New Roman"/>
          <w:sz w:val="32"/>
          <w:szCs w:val="32"/>
        </w:rPr>
        <w:t>96.35%</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b/>
          <w:bCs/>
          <w:sz w:val="32"/>
          <w:szCs w:val="32"/>
        </w:rPr>
        <w:t>四是</w:t>
      </w:r>
      <w:r>
        <w:rPr>
          <w:rFonts w:hint="eastAsia" w:ascii="Times New Roman" w:hAnsi="Times New Roman" w:eastAsia="方正仿宋_GBK" w:cs="Times New Roman"/>
          <w:sz w:val="32"/>
          <w:szCs w:val="32"/>
        </w:rPr>
        <w:t>完成耕林园边界初步划定。明晰耕地、林地、草地、湿地及园地边界。</w:t>
      </w:r>
    </w:p>
    <w:p w14:paraId="2FE97384">
      <w:pPr>
        <w:spacing w:line="576" w:lineRule="exact"/>
        <w:ind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4.坚持“绿色发展”，服务生态文明建设。</w:t>
      </w:r>
      <w:r>
        <w:rPr>
          <w:rFonts w:hint="eastAsia" w:ascii="Times New Roman" w:hAnsi="Times New Roman" w:eastAsia="方正仿宋_GBK" w:cs="Times New Roman"/>
          <w:b/>
          <w:bCs/>
          <w:sz w:val="32"/>
          <w:szCs w:val="32"/>
        </w:rPr>
        <w:t>一是</w:t>
      </w:r>
      <w:r>
        <w:rPr>
          <w:rFonts w:hint="eastAsia" w:ascii="Times New Roman" w:hAnsi="Times New Roman" w:eastAsia="方正仿宋_GBK" w:cs="Times New Roman"/>
          <w:sz w:val="32"/>
          <w:szCs w:val="32"/>
        </w:rPr>
        <w:t>持续推进</w:t>
      </w:r>
      <w:r>
        <w:rPr>
          <w:rFonts w:hint="eastAsia" w:eastAsia="方正仿宋_GBK" w:cs="Times New Roman"/>
          <w:sz w:val="32"/>
          <w:szCs w:val="32"/>
          <w:lang w:eastAsia="zh-CN"/>
        </w:rPr>
        <w:t>矿山生态修复</w:t>
      </w:r>
      <w:r>
        <w:rPr>
          <w:rFonts w:hint="eastAsia" w:ascii="Times New Roman" w:hAnsi="Times New Roman" w:eastAsia="方正仿宋_GBK" w:cs="Times New Roman"/>
          <w:sz w:val="32"/>
          <w:szCs w:val="32"/>
        </w:rPr>
        <w:t>。印发</w:t>
      </w:r>
      <w:r>
        <w:rPr>
          <w:rFonts w:ascii="Times New Roman" w:hAnsi="Times New Roman" w:eastAsia="方正仿宋_GBK" w:cs="Times New Roman"/>
          <w:sz w:val="32"/>
          <w:szCs w:val="32"/>
        </w:rPr>
        <w:t>5</w:t>
      </w:r>
      <w:r>
        <w:rPr>
          <w:rFonts w:hint="eastAsia" w:ascii="Times New Roman" w:hAnsi="Times New Roman" w:eastAsia="方正仿宋_GBK" w:cs="Times New Roman"/>
          <w:sz w:val="32"/>
          <w:szCs w:val="32"/>
        </w:rPr>
        <w:t>个县区国土空间生态修复规划。有效推动</w:t>
      </w:r>
      <w:r>
        <w:rPr>
          <w:rFonts w:ascii="Times New Roman" w:hAnsi="Times New Roman" w:eastAsia="方正仿宋_GBK" w:cs="Times New Roman"/>
          <w:sz w:val="32"/>
          <w:szCs w:val="32"/>
        </w:rPr>
        <w:t>139.73</w:t>
      </w:r>
      <w:r>
        <w:rPr>
          <w:rFonts w:hint="eastAsia" w:ascii="Times New Roman" w:hAnsi="Times New Roman" w:eastAsia="方正仿宋_GBK" w:cs="Times New Roman"/>
          <w:sz w:val="32"/>
          <w:szCs w:val="32"/>
        </w:rPr>
        <w:t>公顷历史遗留矿山图斑销号。完成</w:t>
      </w:r>
      <w:r>
        <w:rPr>
          <w:rFonts w:hint="eastAsia" w:eastAsia="方正仿宋_GBK" w:cs="Times New Roman"/>
          <w:sz w:val="32"/>
          <w:szCs w:val="32"/>
          <w:lang w:eastAsia="zh-CN"/>
        </w:rPr>
        <w:t>矿山生态修复</w:t>
      </w:r>
      <w:r>
        <w:rPr>
          <w:rFonts w:hint="eastAsia" w:ascii="Times New Roman" w:hAnsi="Times New Roman" w:eastAsia="方正仿宋_GBK" w:cs="Times New Roman"/>
          <w:sz w:val="32"/>
          <w:szCs w:val="32"/>
        </w:rPr>
        <w:t>任务</w:t>
      </w:r>
      <w:r>
        <w:rPr>
          <w:rFonts w:ascii="Times New Roman" w:hAnsi="Times New Roman" w:eastAsia="方正仿宋_GBK" w:cs="Times New Roman"/>
          <w:sz w:val="32"/>
          <w:szCs w:val="32"/>
        </w:rPr>
        <w:t>1265</w:t>
      </w:r>
      <w:r>
        <w:rPr>
          <w:rFonts w:hint="eastAsia" w:ascii="Times New Roman" w:hAnsi="Times New Roman" w:eastAsia="方正仿宋_GBK" w:cs="Times New Roman"/>
          <w:sz w:val="32"/>
          <w:szCs w:val="32"/>
        </w:rPr>
        <w:t>亩。制发矿山生态修复工作指南。攀钢矿业尖山排土场生态修复案例入选全国</w:t>
      </w:r>
      <w:r>
        <w:rPr>
          <w:rFonts w:hint="eastAsia" w:eastAsia="方正仿宋_GBK" w:cs="Times New Roman"/>
          <w:sz w:val="32"/>
          <w:szCs w:val="32"/>
          <w:lang w:eastAsia="zh-CN"/>
        </w:rPr>
        <w:t>矿山生态修复</w:t>
      </w:r>
      <w:r>
        <w:rPr>
          <w:rFonts w:hint="eastAsia" w:ascii="Times New Roman" w:hAnsi="Times New Roman" w:eastAsia="方正仿宋_GBK" w:cs="Times New Roman"/>
          <w:sz w:val="32"/>
          <w:szCs w:val="32"/>
        </w:rPr>
        <w:t>典型案例；</w:t>
      </w:r>
      <w:r>
        <w:rPr>
          <w:rFonts w:hint="eastAsia" w:ascii="Times New Roman" w:hAnsi="Times New Roman" w:eastAsia="方正仿宋_GBK" w:cs="Times New Roman"/>
          <w:b/>
          <w:bCs/>
          <w:sz w:val="32"/>
          <w:szCs w:val="32"/>
        </w:rPr>
        <w:t>二是</w:t>
      </w:r>
      <w:r>
        <w:rPr>
          <w:rFonts w:hint="eastAsia" w:ascii="Times New Roman" w:hAnsi="Times New Roman" w:eastAsia="方正仿宋_GBK" w:cs="Times New Roman"/>
          <w:sz w:val="32"/>
          <w:szCs w:val="32"/>
        </w:rPr>
        <w:t>推动全市土地整治重大项目取得成效。统筹推进安宁河流域、盐边县全域土地综合整治。启动攀西地区金沙江—安宁河流域山水林田湖草沙一体化保护修复工程筹备工作。重点生态修复工作成效突出，获省政府督察激励并在全省推广经验做法。</w:t>
      </w:r>
    </w:p>
    <w:p w14:paraId="33A1DDB6">
      <w:pPr>
        <w:spacing w:line="576" w:lineRule="exact"/>
        <w:ind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5.坚持“人民至上”，用心用情服务民生。</w:t>
      </w:r>
      <w:r>
        <w:rPr>
          <w:rFonts w:hint="eastAsia" w:ascii="Times New Roman" w:hAnsi="Times New Roman" w:eastAsia="方正仿宋_GBK" w:cs="Times New Roman"/>
          <w:b/>
          <w:bCs/>
          <w:sz w:val="32"/>
          <w:szCs w:val="32"/>
        </w:rPr>
        <w:t>一是织密地质灾害防护网。</w:t>
      </w:r>
      <w:r>
        <w:rPr>
          <w:rFonts w:hint="eastAsia" w:ascii="Times New Roman" w:hAnsi="Times New Roman" w:eastAsia="方正仿宋_GBK" w:cs="Times New Roman"/>
          <w:sz w:val="32"/>
          <w:szCs w:val="32"/>
        </w:rPr>
        <w:t>组织开展</w:t>
      </w:r>
      <w:r>
        <w:rPr>
          <w:rFonts w:ascii="Times New Roman" w:hAnsi="Times New Roman" w:eastAsia="方正仿宋_GBK" w:cs="Times New Roman"/>
          <w:sz w:val="32"/>
          <w:szCs w:val="32"/>
        </w:rPr>
        <w:t>4</w:t>
      </w:r>
      <w:r>
        <w:rPr>
          <w:rFonts w:hint="eastAsia" w:ascii="Times New Roman" w:hAnsi="Times New Roman" w:eastAsia="方正仿宋_GBK" w:cs="Times New Roman"/>
          <w:sz w:val="32"/>
          <w:szCs w:val="32"/>
        </w:rPr>
        <w:t>轮次隐患大排查，排查重点部位</w:t>
      </w:r>
      <w:r>
        <w:rPr>
          <w:rFonts w:ascii="Times New Roman" w:hAnsi="Times New Roman" w:eastAsia="方正仿宋_GBK" w:cs="Times New Roman"/>
          <w:sz w:val="32"/>
          <w:szCs w:val="32"/>
        </w:rPr>
        <w:t>3800</w:t>
      </w:r>
      <w:r>
        <w:rPr>
          <w:rFonts w:hint="eastAsia" w:ascii="Times New Roman" w:hAnsi="Times New Roman" w:eastAsia="方正仿宋_GBK" w:cs="Times New Roman"/>
          <w:sz w:val="32"/>
          <w:szCs w:val="32"/>
        </w:rPr>
        <w:t>余处，转移群众</w:t>
      </w:r>
      <w:r>
        <w:rPr>
          <w:rFonts w:ascii="Times New Roman" w:hAnsi="Times New Roman" w:eastAsia="方正仿宋_GBK" w:cs="Times New Roman"/>
          <w:sz w:val="32"/>
          <w:szCs w:val="32"/>
        </w:rPr>
        <w:t>1691</w:t>
      </w:r>
      <w:r>
        <w:rPr>
          <w:rFonts w:hint="eastAsia" w:ascii="Times New Roman" w:hAnsi="Times New Roman" w:eastAsia="方正仿宋_GBK" w:cs="Times New Roman"/>
          <w:sz w:val="32"/>
          <w:szCs w:val="32"/>
        </w:rPr>
        <w:t>户</w:t>
      </w:r>
      <w:r>
        <w:rPr>
          <w:rFonts w:ascii="Times New Roman" w:hAnsi="Times New Roman" w:eastAsia="方正仿宋_GBK" w:cs="Times New Roman"/>
          <w:sz w:val="32"/>
          <w:szCs w:val="32"/>
        </w:rPr>
        <w:t>4220</w:t>
      </w:r>
      <w:r>
        <w:rPr>
          <w:rFonts w:hint="eastAsia" w:ascii="Times New Roman" w:hAnsi="Times New Roman" w:eastAsia="方正仿宋_GBK" w:cs="Times New Roman"/>
          <w:sz w:val="32"/>
          <w:szCs w:val="32"/>
        </w:rPr>
        <w:t>人，连续</w:t>
      </w:r>
      <w:r>
        <w:rPr>
          <w:rFonts w:ascii="Times New Roman" w:hAnsi="Times New Roman" w:eastAsia="方正仿宋_GBK" w:cs="Times New Roman"/>
          <w:sz w:val="32"/>
          <w:szCs w:val="32"/>
        </w:rPr>
        <w:t>9</w:t>
      </w:r>
      <w:r>
        <w:rPr>
          <w:rFonts w:hint="eastAsia" w:ascii="Times New Roman" w:hAnsi="Times New Roman" w:eastAsia="方正仿宋_GBK" w:cs="Times New Roman"/>
          <w:sz w:val="32"/>
          <w:szCs w:val="32"/>
        </w:rPr>
        <w:t>年实现安全度汛</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零伤亡</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。争取中、省补助资金</w:t>
      </w:r>
      <w:r>
        <w:rPr>
          <w:rFonts w:ascii="Times New Roman" w:hAnsi="Times New Roman" w:eastAsia="方正仿宋_GBK" w:cs="Times New Roman"/>
          <w:sz w:val="32"/>
          <w:szCs w:val="32"/>
        </w:rPr>
        <w:t>1359.26</w:t>
      </w:r>
      <w:r>
        <w:rPr>
          <w:rFonts w:hint="eastAsia" w:ascii="Times New Roman" w:hAnsi="Times New Roman" w:eastAsia="方正仿宋_GBK" w:cs="Times New Roman"/>
          <w:sz w:val="32"/>
          <w:szCs w:val="32"/>
        </w:rPr>
        <w:t>万元用于实施地质灾害治理工程、县域斜坡风险详查及避险搬迁；</w:t>
      </w:r>
      <w:r>
        <w:rPr>
          <w:rFonts w:hint="eastAsia" w:ascii="Times New Roman" w:hAnsi="Times New Roman" w:eastAsia="方正仿宋_GBK" w:cs="Times New Roman"/>
          <w:b/>
          <w:bCs/>
          <w:sz w:val="32"/>
          <w:szCs w:val="32"/>
        </w:rPr>
        <w:t>二是提升不动产登记水平。</w:t>
      </w:r>
      <w:r>
        <w:rPr>
          <w:rFonts w:hint="eastAsia" w:ascii="Times New Roman" w:hAnsi="Times New Roman" w:eastAsia="方正仿宋_GBK" w:cs="Times New Roman"/>
          <w:sz w:val="32"/>
          <w:szCs w:val="32"/>
        </w:rPr>
        <w:t>全面化解全市</w:t>
      </w:r>
      <w:r>
        <w:rPr>
          <w:rFonts w:ascii="Times New Roman" w:hAnsi="Times New Roman" w:eastAsia="方正仿宋_GBK" w:cs="Times New Roman"/>
          <w:sz w:val="32"/>
          <w:szCs w:val="32"/>
        </w:rPr>
        <w:t>46</w:t>
      </w:r>
      <w:r>
        <w:rPr>
          <w:rFonts w:hint="eastAsia" w:ascii="Times New Roman" w:hAnsi="Times New Roman" w:eastAsia="方正仿宋_GBK" w:cs="Times New Roman"/>
          <w:sz w:val="32"/>
          <w:szCs w:val="32"/>
        </w:rPr>
        <w:t>个项目、</w:t>
      </w:r>
      <w:r>
        <w:rPr>
          <w:rFonts w:ascii="Times New Roman" w:hAnsi="Times New Roman" w:eastAsia="方正仿宋_GBK" w:cs="Times New Roman"/>
          <w:sz w:val="32"/>
          <w:szCs w:val="32"/>
        </w:rPr>
        <w:t>15125</w:t>
      </w:r>
      <w:r>
        <w:rPr>
          <w:rFonts w:hint="eastAsia" w:ascii="Times New Roman" w:hAnsi="Times New Roman" w:eastAsia="方正仿宋_GBK" w:cs="Times New Roman"/>
          <w:sz w:val="32"/>
          <w:szCs w:val="32"/>
        </w:rPr>
        <w:t>套房屋</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不动产登记难</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问题，惠及群众</w:t>
      </w:r>
      <w:r>
        <w:rPr>
          <w:rFonts w:ascii="Times New Roman" w:hAnsi="Times New Roman" w:eastAsia="方正仿宋_GBK" w:cs="Times New Roman"/>
          <w:sz w:val="32"/>
          <w:szCs w:val="32"/>
        </w:rPr>
        <w:t>5</w:t>
      </w:r>
      <w:r>
        <w:rPr>
          <w:rFonts w:hint="eastAsia" w:ascii="Times New Roman" w:hAnsi="Times New Roman" w:eastAsia="方正仿宋_GBK" w:cs="Times New Roman"/>
          <w:sz w:val="32"/>
          <w:szCs w:val="32"/>
        </w:rPr>
        <w:t>万余人。制定城市更新保留建筑盘活利用支持措施，开展公积金购房</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一件事</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改革试点。</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守初心</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肯登攀</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党建品牌被市直机关工委评为优秀党建品牌。</w:t>
      </w:r>
    </w:p>
    <w:p w14:paraId="685589EC">
      <w:pPr>
        <w:adjustRightInd w:val="0"/>
        <w:snapToGrid w:val="0"/>
        <w:spacing w:line="578" w:lineRule="exact"/>
        <w:ind w:firstLine="640" w:firstLineChars="200"/>
        <w:contextualSpacing/>
        <w:jc w:val="left"/>
        <w:rPr>
          <w:rFonts w:hint="eastAsia"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color w:val="000000"/>
          <w:kern w:val="0"/>
          <w:sz w:val="32"/>
          <w:szCs w:val="32"/>
          <w:shd w:val="clear" w:color="auto" w:fill="FFFFFF"/>
        </w:rPr>
        <w:t>2.</w:t>
      </w:r>
      <w:r>
        <w:rPr>
          <w:rFonts w:ascii="Times New Roman" w:hAnsi="Times New Roman" w:eastAsia="楷体_GB2312" w:cs="Times New Roman"/>
          <w:color w:val="000000"/>
          <w:kern w:val="0"/>
          <w:sz w:val="32"/>
          <w:szCs w:val="32"/>
          <w:shd w:val="clear" w:color="auto" w:fill="FFFFFF"/>
          <w:lang w:val="zh-CN"/>
        </w:rPr>
        <w:t>预算管理。</w:t>
      </w:r>
    </w:p>
    <w:p w14:paraId="7643D9B6">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预算编制质量</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本单位严格遵循 “量入为出、统筹兼顾、保障重点、讲求绩效” 原则开展预算编制，紧扣单位履职和事业发展需求，细化预算编制内容，明确支出标准和项目明细，预算编制与实际工作契合度较高，编制依据充分、数据精准，未出现无依据编制、超范围编制等问题，预算编制质量整体良好，为年度预算执行奠定坚实基础。</w:t>
      </w:r>
    </w:p>
    <w:p w14:paraId="4FA062F7">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单位收入统筹。强化各类收入全口径统筹管理，将财政拨款收入、事业收入等所有收入全部纳入单位预算，统一核算、统一管理，杜绝收入游离于预算外的情况。严格按照政策规定组织收入，做到应收尽收、及时入库，同时合理统筹收入与支出，根据收入规模科学安排支出计划，实现收支平衡，保障单位各项工作有序开展。</w:t>
      </w:r>
    </w:p>
    <w:p w14:paraId="07573781">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支出执行进度</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建立预算支出执行台账，实行常态化跟踪管理，定期梳理支出执行情况，针对执行滞后事项及时分析原因、制定整改措施，督促各科室加快支出进度。年度内各项预算支出按计划有序推进，基本支出执行进度保持较高水平，项目支出根据工作推进节奏合理列支，整体支出执行进度符合财政部门要求，未出现长期大额资金沉淀情况。</w:t>
      </w:r>
    </w:p>
    <w:p w14:paraId="24B12168">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预算年终结余</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加强预算执行动态管控，优化资金拨付和使用流程，有效压缩预算年终结余规模。年末结余资金主要为未完成项目结转资金，均按规定办理结转手续，无违规结余、闲置沉淀资金情况，结余资金管理规范，严格遵循财政部门关于年终结余资金使用和结转的相关规定，切实提高资金使用效率。</w:t>
      </w:r>
    </w:p>
    <w:p w14:paraId="20A95544">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严控一般性支出</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严格落实过 “紧日子” 要求，从严控制因公出国（境）、公务接待、公务用车运行维护、会议培训等一般性支出，细化支出标准，强化审核把关。一般性支出较上年实现合理压减，无超标准、超范围列支情况，同时优化支出结构，将节约的资金优先保障单位核心履职、重点事业发展等关键领域，切实提升资金配置效益。</w:t>
      </w:r>
    </w:p>
    <w:p w14:paraId="2C7CFB7E">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3.</w:t>
      </w:r>
      <w:r>
        <w:rPr>
          <w:rFonts w:ascii="Times New Roman" w:hAnsi="Times New Roman" w:eastAsia="楷体_GB2312" w:cs="Times New Roman"/>
          <w:color w:val="000000"/>
          <w:kern w:val="0"/>
          <w:sz w:val="32"/>
          <w:szCs w:val="32"/>
          <w:shd w:val="clear" w:color="auto" w:fill="FFFFFF"/>
          <w:lang w:val="zh-CN"/>
        </w:rPr>
        <w:t>财务管理。</w:t>
      </w:r>
    </w:p>
    <w:p w14:paraId="128C77E6">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财务管理制度</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本单位健全完善财务管理制度体系，结合工作实际修订完善《财务管理制度》《资金使用管理办法》《费用报销管理规定》等制度文件，覆盖预算编制、资金收付、费用报销、财务核算等全流程，制度内容贴合行政事业单位财务管理要求，具有较强的指导性和可操作性。同时加强制度宣传和执行监督，确保财务工作各环节有章可循、有规可依，制度执行到位，未出现违反财务管理制度的行为。</w:t>
      </w:r>
    </w:p>
    <w:p w14:paraId="5A7F69CC">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财务岗位设置</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严格按照《</w:t>
      </w:r>
      <w:r>
        <w:rPr>
          <w:rFonts w:hint="eastAsia" w:eastAsia="仿宋_GB2312" w:cs="Times New Roman"/>
          <w:color w:val="000000"/>
          <w:kern w:val="0"/>
          <w:sz w:val="32"/>
          <w:szCs w:val="32"/>
          <w:shd w:val="clear" w:color="auto" w:fill="FFFFFF"/>
          <w:lang w:eastAsia="zh-CN"/>
        </w:rPr>
        <w:t>中华人民共和国会计法</w:t>
      </w:r>
      <w:r>
        <w:rPr>
          <w:rFonts w:ascii="Times New Roman" w:hAnsi="Times New Roman" w:eastAsia="仿宋_GB2312" w:cs="Times New Roman"/>
          <w:color w:val="000000"/>
          <w:kern w:val="0"/>
          <w:sz w:val="32"/>
          <w:szCs w:val="32"/>
          <w:shd w:val="clear" w:color="auto" w:fill="FFFFFF"/>
        </w:rPr>
        <w:t>》《行政事业单位财务规则》等规定，科学设置财务岗位，明确会计、出纳、稽核等岗位的职责权限，做到不相容岗位相互分离、相互制约、相互监督，杜绝一人兼任多个不相容岗位的情况。配备具备相应专业能力和从业资格的财务人员，定岗定责、各司其职，岗位衔接顺畅，财务工作运转高效，有效防范财务风险。</w:t>
      </w:r>
    </w:p>
    <w:p w14:paraId="6AC90162">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资金使用规范。强化资金使用全流程管控，严格执行 “三重一大” 决策制度，大额资金使用经集体研究决策后列支；资金拨付严格按照预算安排和工作进度执行，做到专款专用，无截留、挤占、挪用财政资金情况；费用报销严格履行审核审批流程，票据真实合法、附件齐全，财务核算及时、准确、规范，会计凭证、会计账簿等财务资料完整规范。资金使用全程可追溯、可核查，未出现资金使用不规范、违规支付等问题，资金使用效益得到有效保障。</w:t>
      </w:r>
    </w:p>
    <w:p w14:paraId="2D8FF5C5">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4.</w:t>
      </w:r>
      <w:r>
        <w:rPr>
          <w:rFonts w:ascii="Times New Roman" w:hAnsi="Times New Roman" w:eastAsia="楷体_GB2312" w:cs="Times New Roman"/>
          <w:color w:val="000000"/>
          <w:kern w:val="0"/>
          <w:sz w:val="32"/>
          <w:szCs w:val="32"/>
          <w:shd w:val="clear" w:color="auto" w:fill="FFFFFF"/>
          <w:lang w:val="zh-CN"/>
        </w:rPr>
        <w:t>资产管理。</w:t>
      </w:r>
    </w:p>
    <w:p w14:paraId="03BBD351">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人均资产变化率。</w:t>
      </w:r>
      <w:r>
        <w:rPr>
          <w:rFonts w:hint="eastAsia" w:ascii="Times New Roman" w:hAnsi="Times New Roman" w:eastAsia="仿宋_GB2312" w:cs="Times New Roman"/>
          <w:color w:val="000000"/>
          <w:kern w:val="0"/>
          <w:sz w:val="32"/>
          <w:szCs w:val="32"/>
          <w:shd w:val="clear" w:color="auto" w:fill="FFFFFF"/>
        </w:rPr>
        <w:t>2025</w:t>
      </w:r>
      <w:r>
        <w:rPr>
          <w:rFonts w:ascii="Times New Roman" w:hAnsi="Times New Roman" w:eastAsia="仿宋_GB2312" w:cs="Times New Roman"/>
          <w:color w:val="000000"/>
          <w:kern w:val="0"/>
          <w:sz w:val="32"/>
          <w:szCs w:val="32"/>
          <w:shd w:val="clear" w:color="auto" w:fill="FFFFFF"/>
        </w:rPr>
        <w:t>年度内本单位人均资产规模呈合理波动状态，人均资产变化率控制在合理区间。新增资产严格按照预算编制和资产配置标准执行，根据单位人员编制、履职需求科学配置，无超标准、超编制购置资产情况；同时加强存量资产管理，及时清理低效、闲置资产，避免资产规模无序增长，人均资产配置与单位履职需求相匹配，资产保障能力稳步提升。</w:t>
      </w:r>
    </w:p>
    <w:p w14:paraId="700F0A39">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资产利用率</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建立资产使用动态监管机制，定期开展资产清查盘点，明确资产使用责任主体，规范资产领用、使用、归还流程，杜绝资产 “重购置、轻使用” 情况。办公设备、公务用车、办公用房等各类资产均得到充分利用，无长期闲置、低效运转资产，资产使用效率较高。核心业务资产优先保障、高效利用，切实支撑单位履职和事业发展，资产利用率达到年度绩效目标要求。</w:t>
      </w:r>
    </w:p>
    <w:p w14:paraId="0C096AAD">
      <w:pPr>
        <w:adjustRightInd w:val="0"/>
        <w:snapToGrid w:val="0"/>
        <w:spacing w:line="578" w:lineRule="exact"/>
        <w:ind w:firstLine="640" w:firstLineChars="200"/>
        <w:contextualSpacing/>
        <w:jc w:val="left"/>
        <w:rPr>
          <w:rFonts w:hint="eastAsia"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5.</w:t>
      </w:r>
      <w:r>
        <w:rPr>
          <w:rFonts w:ascii="Times New Roman" w:hAnsi="Times New Roman" w:eastAsia="楷体_GB2312" w:cs="Times New Roman"/>
          <w:color w:val="000000"/>
          <w:kern w:val="0"/>
          <w:sz w:val="32"/>
          <w:szCs w:val="32"/>
          <w:shd w:val="clear" w:color="auto" w:fill="FFFFFF"/>
          <w:lang w:val="zh-CN"/>
        </w:rPr>
        <w:t>采购管理。</w:t>
      </w:r>
    </w:p>
    <w:p w14:paraId="0EF9860A">
      <w:pPr>
        <w:adjustRightInd w:val="0"/>
        <w:snapToGrid w:val="0"/>
        <w:spacing w:line="578" w:lineRule="exact"/>
        <w:ind w:firstLine="640" w:firstLineChars="200"/>
        <w:contextualSpacing/>
        <w:jc w:val="left"/>
        <w:rPr>
          <w:rFonts w:ascii="Times New Roman" w:hAnsi="Times New Roman" w:eastAsia="仿宋_GB2312" w:cs="Times New Roman"/>
          <w:color w:val="auto"/>
          <w:kern w:val="0"/>
          <w:sz w:val="32"/>
          <w:szCs w:val="32"/>
          <w:shd w:val="clear" w:color="auto" w:fill="FFFFFF"/>
        </w:rPr>
      </w:pPr>
      <w:r>
        <w:rPr>
          <w:rFonts w:ascii="Times New Roman" w:hAnsi="Times New Roman" w:eastAsia="仿宋_GB2312" w:cs="Times New Roman"/>
          <w:color w:val="auto"/>
          <w:kern w:val="0"/>
          <w:sz w:val="32"/>
          <w:szCs w:val="32"/>
          <w:shd w:val="clear" w:color="auto" w:fill="FFFFFF"/>
        </w:rPr>
        <w:t>支持中小企业发展</w:t>
      </w:r>
      <w:r>
        <w:rPr>
          <w:rFonts w:hint="eastAsia" w:ascii="Times New Roman" w:hAnsi="Times New Roman" w:eastAsia="仿宋_GB2312" w:cs="Times New Roman"/>
          <w:color w:val="auto"/>
          <w:kern w:val="0"/>
          <w:sz w:val="32"/>
          <w:szCs w:val="32"/>
          <w:shd w:val="clear" w:color="auto" w:fill="FFFFFF"/>
        </w:rPr>
        <w:t>。</w:t>
      </w:r>
      <w:r>
        <w:rPr>
          <w:rFonts w:ascii="Times New Roman" w:hAnsi="Times New Roman" w:eastAsia="仿宋_GB2312" w:cs="Times New Roman"/>
          <w:color w:val="auto"/>
          <w:kern w:val="0"/>
          <w:sz w:val="32"/>
          <w:szCs w:val="32"/>
          <w:shd w:val="clear" w:color="auto" w:fill="FFFFFF"/>
        </w:rPr>
        <w:t xml:space="preserve">严格落实国家关于支持中小企业发展的政府采购政策，在采购文件编制、采购需求设置、评审标准制定等环节，对中小企业予以政策倾斜，合理划分采购包，积极预留采购份额专门面向中小企业采购，对小微企业给予价格评审优惠。年度内政府采购项目中，面向中小企业采购金额占比 </w:t>
      </w:r>
      <w:r>
        <w:rPr>
          <w:rFonts w:hint="eastAsia" w:ascii="Times New Roman" w:hAnsi="Times New Roman" w:eastAsia="仿宋_GB2312" w:cs="Times New Roman"/>
          <w:color w:val="auto"/>
          <w:kern w:val="0"/>
          <w:sz w:val="32"/>
          <w:szCs w:val="32"/>
          <w:shd w:val="clear" w:color="auto" w:fill="FFFFFF"/>
          <w:lang w:val="en-US" w:eastAsia="zh-CN"/>
        </w:rPr>
        <w:t>9.9</w:t>
      </w:r>
      <w:r>
        <w:rPr>
          <w:rFonts w:ascii="Times New Roman" w:hAnsi="Times New Roman" w:eastAsia="仿宋_GB2312" w:cs="Times New Roman"/>
          <w:color w:val="auto"/>
          <w:kern w:val="0"/>
          <w:sz w:val="32"/>
          <w:szCs w:val="32"/>
          <w:shd w:val="clear" w:color="auto" w:fill="FFFFFF"/>
        </w:rPr>
        <w:t xml:space="preserve">%，其中面向小微企业采购金额占比 </w:t>
      </w:r>
      <w:r>
        <w:rPr>
          <w:rFonts w:hint="eastAsia" w:ascii="Times New Roman" w:hAnsi="Times New Roman" w:eastAsia="仿宋_GB2312" w:cs="Times New Roman"/>
          <w:color w:val="auto"/>
          <w:kern w:val="0"/>
          <w:sz w:val="32"/>
          <w:szCs w:val="32"/>
          <w:shd w:val="clear" w:color="auto" w:fill="FFFFFF"/>
          <w:lang w:val="en-US" w:eastAsia="zh-CN"/>
        </w:rPr>
        <w:t>0.42</w:t>
      </w:r>
      <w:r>
        <w:rPr>
          <w:rFonts w:ascii="Times New Roman" w:hAnsi="Times New Roman" w:eastAsia="仿宋_GB2312" w:cs="Times New Roman"/>
          <w:color w:val="auto"/>
          <w:kern w:val="0"/>
          <w:sz w:val="32"/>
          <w:szCs w:val="32"/>
          <w:shd w:val="clear" w:color="auto" w:fill="FFFFFF"/>
        </w:rPr>
        <w:t>%，切实履行了扶持中小企业发展的社会责任，助力中小企业健康发展。</w:t>
      </w:r>
    </w:p>
    <w:p w14:paraId="05D9A02D">
      <w:pPr>
        <w:adjustRightInd w:val="0"/>
        <w:snapToGrid w:val="0"/>
        <w:spacing w:line="578" w:lineRule="exact"/>
        <w:ind w:firstLine="640" w:firstLineChars="200"/>
        <w:contextualSpacing/>
        <w:jc w:val="left"/>
        <w:rPr>
          <w:rFonts w:hint="eastAsia" w:ascii="Times New Roman" w:hAnsi="Times New Roman" w:eastAsia="仿宋_GB2312" w:cs="Times New Roman"/>
          <w:color w:val="auto"/>
          <w:kern w:val="0"/>
          <w:sz w:val="32"/>
          <w:szCs w:val="32"/>
          <w:shd w:val="clear" w:color="auto" w:fill="FFFFFF"/>
          <w:lang w:eastAsia="zh-CN"/>
        </w:rPr>
      </w:pPr>
      <w:r>
        <w:rPr>
          <w:rFonts w:ascii="Times New Roman" w:hAnsi="Times New Roman" w:eastAsia="仿宋_GB2312" w:cs="Times New Roman"/>
          <w:color w:val="auto"/>
          <w:kern w:val="0"/>
          <w:sz w:val="32"/>
          <w:szCs w:val="32"/>
          <w:shd w:val="clear" w:color="auto" w:fill="FFFFFF"/>
        </w:rPr>
        <w:t>采购执行率</w:t>
      </w:r>
      <w:r>
        <w:rPr>
          <w:rFonts w:hint="eastAsia" w:ascii="Times New Roman" w:hAnsi="Times New Roman" w:eastAsia="仿宋_GB2312" w:cs="Times New Roman"/>
          <w:color w:val="auto"/>
          <w:kern w:val="0"/>
          <w:sz w:val="32"/>
          <w:szCs w:val="32"/>
          <w:shd w:val="clear" w:color="auto" w:fill="FFFFFF"/>
        </w:rPr>
        <w:t>。</w:t>
      </w:r>
      <w:r>
        <w:rPr>
          <w:rFonts w:ascii="Times New Roman" w:hAnsi="Times New Roman" w:eastAsia="仿宋_GB2312" w:cs="Times New Roman"/>
          <w:color w:val="auto"/>
          <w:kern w:val="0"/>
          <w:sz w:val="32"/>
          <w:szCs w:val="32"/>
          <w:shd w:val="clear" w:color="auto" w:fill="FFFFFF"/>
        </w:rPr>
        <w:t xml:space="preserve">强化政府采购预算与执行的衔接，严格按照批复的政府采购预算开展采购活动，建立政府采购执行台账，实时跟踪采购项目进度，及时协调解决采购执行过程中的问题。规范采购流程，严格遵循公开招标、竞争性谈判等法定采购方式，做到采购程序合法、合规、公开、透明。年度内政府采购预算执行率达到 </w:t>
      </w:r>
      <w:r>
        <w:rPr>
          <w:rFonts w:hint="eastAsia" w:ascii="Times New Roman" w:hAnsi="Times New Roman" w:eastAsia="仿宋_GB2312" w:cs="Times New Roman"/>
          <w:color w:val="auto"/>
          <w:kern w:val="0"/>
          <w:sz w:val="32"/>
          <w:szCs w:val="32"/>
          <w:shd w:val="clear" w:color="auto" w:fill="FFFFFF"/>
          <w:lang w:val="en-US" w:eastAsia="zh-CN"/>
        </w:rPr>
        <w:t>100</w:t>
      </w:r>
      <w:r>
        <w:rPr>
          <w:rFonts w:ascii="Times New Roman" w:hAnsi="Times New Roman" w:eastAsia="仿宋_GB2312" w:cs="Times New Roman"/>
          <w:color w:val="auto"/>
          <w:kern w:val="0"/>
          <w:sz w:val="32"/>
          <w:szCs w:val="32"/>
          <w:shd w:val="clear" w:color="auto" w:fill="FFFFFF"/>
        </w:rPr>
        <w:t>%，采购项目均按计划顺利完成，采购质量和效率较高，未出现采购预算执行滞后、无预算采购等问题，有效保障了单位各项工作的物资和服务需求</w:t>
      </w:r>
      <w:r>
        <w:rPr>
          <w:rFonts w:hint="eastAsia" w:ascii="Times New Roman" w:hAnsi="Times New Roman" w:eastAsia="仿宋_GB2312" w:cs="Times New Roman"/>
          <w:color w:val="auto"/>
          <w:kern w:val="0"/>
          <w:sz w:val="32"/>
          <w:szCs w:val="32"/>
          <w:shd w:val="clear" w:color="auto" w:fill="FFFFFF"/>
          <w:lang w:eastAsia="zh-CN"/>
        </w:rPr>
        <w:t>。</w:t>
      </w:r>
    </w:p>
    <w:p w14:paraId="6583F0F2">
      <w:pPr>
        <w:adjustRightInd w:val="0"/>
        <w:snapToGrid w:val="0"/>
        <w:spacing w:line="578" w:lineRule="exact"/>
        <w:ind w:firstLine="643" w:firstLineChars="200"/>
        <w:contextualSpacing/>
        <w:jc w:val="left"/>
        <w:rPr>
          <w:rFonts w:ascii="Times New Roman" w:hAnsi="Times New Roman" w:eastAsia="仿宋_GB2312" w:cs="Times New Roman"/>
          <w:color w:val="auto"/>
          <w:kern w:val="0"/>
          <w:sz w:val="32"/>
          <w:szCs w:val="32"/>
          <w:shd w:val="clear" w:color="auto" w:fill="FFFFFF"/>
        </w:rPr>
      </w:pPr>
      <w:r>
        <w:rPr>
          <w:rFonts w:ascii="Times New Roman" w:hAnsi="Times New Roman" w:eastAsia="楷体_GB2312" w:cs="Times New Roman"/>
          <w:b/>
          <w:bCs/>
          <w:color w:val="auto"/>
          <w:kern w:val="0"/>
          <w:sz w:val="32"/>
          <w:szCs w:val="32"/>
          <w:shd w:val="clear" w:color="auto" w:fill="FFFFFF"/>
          <w:lang w:val="zh-CN"/>
        </w:rPr>
        <w:t>（二）部门预算项目绩效分析。</w:t>
      </w:r>
      <w:r>
        <w:rPr>
          <w:rFonts w:ascii="Times New Roman" w:hAnsi="Times New Roman" w:eastAsia="仿宋_GB2312" w:cs="Times New Roman"/>
          <w:color w:val="auto"/>
          <w:kern w:val="0"/>
          <w:sz w:val="32"/>
          <w:szCs w:val="32"/>
          <w:shd w:val="clear" w:color="auto" w:fill="FFFFFF"/>
          <w:lang w:val="zh-CN"/>
        </w:rPr>
        <w:t>填报以下数据，并根据部门预算绩效评价指标体系“项目绩效”涉及二、三级指标进行逐项绩效分析并评分，依次包括项目</w:t>
      </w:r>
      <w:r>
        <w:rPr>
          <w:rFonts w:ascii="Times New Roman" w:hAnsi="Times New Roman" w:eastAsia="仿宋_GB2312" w:cs="Times New Roman"/>
          <w:color w:val="auto"/>
          <w:kern w:val="0"/>
          <w:sz w:val="32"/>
          <w:szCs w:val="32"/>
          <w:shd w:val="clear" w:color="auto" w:fill="FFFFFF"/>
        </w:rPr>
        <w:t>决策、项目执行、目标实现等情况。</w:t>
      </w:r>
    </w:p>
    <w:p w14:paraId="556A745F">
      <w:pPr>
        <w:adjustRightInd w:val="0"/>
        <w:snapToGrid w:val="0"/>
        <w:spacing w:line="578" w:lineRule="exact"/>
        <w:ind w:firstLine="640" w:firstLineChars="200"/>
        <w:contextualSpacing/>
        <w:jc w:val="left"/>
        <w:rPr>
          <w:rFonts w:ascii="Times New Roman" w:hAnsi="Times New Roman" w:eastAsia="仿宋_GB2312" w:cs="Times New Roman"/>
          <w:color w:val="auto"/>
          <w:kern w:val="0"/>
          <w:sz w:val="32"/>
          <w:szCs w:val="32"/>
          <w:shd w:val="clear" w:color="auto" w:fill="FFFFFF"/>
          <w:lang w:val="zh-CN"/>
        </w:rPr>
      </w:pPr>
      <w:r>
        <w:rPr>
          <w:rFonts w:ascii="Times New Roman" w:hAnsi="Times New Roman" w:eastAsia="仿宋_GB2312" w:cs="Times New Roman"/>
          <w:color w:val="auto"/>
          <w:kern w:val="0"/>
          <w:sz w:val="32"/>
          <w:szCs w:val="32"/>
          <w:shd w:val="clear" w:color="auto" w:fill="FFFFFF"/>
        </w:rPr>
        <w:t>常年项目绩效分析。</w:t>
      </w:r>
      <w:r>
        <w:rPr>
          <w:rFonts w:ascii="Times New Roman" w:hAnsi="Times New Roman" w:eastAsia="仿宋_GB2312" w:cs="Times New Roman"/>
          <w:color w:val="auto"/>
          <w:kern w:val="0"/>
          <w:sz w:val="32"/>
          <w:szCs w:val="32"/>
          <w:shd w:val="clear" w:color="auto" w:fill="FFFFFF"/>
          <w:lang w:val="zh-CN"/>
        </w:rPr>
        <w:t>该类项目总数</w:t>
      </w:r>
      <w:r>
        <w:rPr>
          <w:rFonts w:hint="eastAsia" w:ascii="Times New Roman" w:hAnsi="Times New Roman" w:eastAsia="仿宋_GB2312" w:cs="Times New Roman"/>
          <w:color w:val="auto"/>
          <w:kern w:val="0"/>
          <w:sz w:val="32"/>
          <w:szCs w:val="32"/>
          <w:shd w:val="clear" w:color="auto" w:fill="FFFFFF"/>
          <w:lang w:val="en-US" w:eastAsia="zh-CN"/>
        </w:rPr>
        <w:t>6</w:t>
      </w:r>
      <w:r>
        <w:rPr>
          <w:rFonts w:ascii="Times New Roman" w:hAnsi="Times New Roman" w:eastAsia="仿宋_GB2312" w:cs="Times New Roman"/>
          <w:color w:val="auto"/>
          <w:kern w:val="0"/>
          <w:sz w:val="32"/>
          <w:szCs w:val="32"/>
          <w:shd w:val="clear" w:color="auto" w:fill="FFFFFF"/>
          <w:lang w:val="zh-CN"/>
        </w:rPr>
        <w:t>个，涉及预算总金额</w:t>
      </w:r>
      <w:r>
        <w:rPr>
          <w:rFonts w:hint="eastAsia" w:ascii="Times New Roman" w:hAnsi="Times New Roman" w:eastAsia="仿宋_GB2312" w:cs="Times New Roman"/>
          <w:color w:val="auto"/>
          <w:kern w:val="0"/>
          <w:sz w:val="32"/>
          <w:szCs w:val="32"/>
          <w:shd w:val="clear" w:color="auto" w:fill="FFFFFF"/>
          <w:lang w:val="en-US" w:eastAsia="zh-CN"/>
        </w:rPr>
        <w:t>214.23</w:t>
      </w:r>
      <w:r>
        <w:rPr>
          <w:rFonts w:ascii="Times New Roman" w:hAnsi="Times New Roman" w:eastAsia="仿宋_GB2312" w:cs="Times New Roman"/>
          <w:color w:val="auto"/>
          <w:kern w:val="0"/>
          <w:sz w:val="32"/>
          <w:szCs w:val="32"/>
          <w:shd w:val="clear" w:color="auto" w:fill="FFFFFF"/>
          <w:lang w:val="zh-CN"/>
        </w:rPr>
        <w:t>万元，1</w:t>
      </w:r>
      <w:r>
        <w:rPr>
          <w:rFonts w:hint="eastAsia" w:ascii="Times New Roman" w:hAnsi="Times New Roman" w:eastAsia="仿宋_GB2312" w:cs="Times New Roman"/>
          <w:color w:val="auto"/>
          <w:kern w:val="0"/>
          <w:sz w:val="32"/>
          <w:szCs w:val="32"/>
          <w:shd w:val="clear" w:color="auto" w:fill="FFFFFF"/>
          <w:lang w:val="zh-CN"/>
        </w:rPr>
        <w:t>—</w:t>
      </w:r>
      <w:r>
        <w:rPr>
          <w:rFonts w:ascii="Times New Roman" w:hAnsi="Times New Roman" w:eastAsia="仿宋_GB2312" w:cs="Times New Roman"/>
          <w:color w:val="auto"/>
          <w:kern w:val="0"/>
          <w:sz w:val="32"/>
          <w:szCs w:val="32"/>
          <w:shd w:val="clear" w:color="auto" w:fill="FFFFFF"/>
          <w:lang w:val="zh-CN"/>
        </w:rPr>
        <w:t>1</w:t>
      </w:r>
      <w:r>
        <w:rPr>
          <w:rFonts w:ascii="Times New Roman" w:hAnsi="Times New Roman" w:eastAsia="仿宋_GB2312" w:cs="Times New Roman"/>
          <w:color w:val="auto"/>
          <w:kern w:val="0"/>
          <w:sz w:val="32"/>
          <w:szCs w:val="32"/>
          <w:shd w:val="clear" w:color="auto" w:fill="FFFFFF"/>
        </w:rPr>
        <w:t>2</w:t>
      </w:r>
      <w:r>
        <w:rPr>
          <w:rFonts w:ascii="Times New Roman" w:hAnsi="Times New Roman" w:eastAsia="仿宋_GB2312" w:cs="Times New Roman"/>
          <w:color w:val="auto"/>
          <w:kern w:val="0"/>
          <w:sz w:val="32"/>
          <w:szCs w:val="32"/>
          <w:shd w:val="clear" w:color="auto" w:fill="FFFFFF"/>
          <w:lang w:val="zh-CN"/>
        </w:rPr>
        <w:t>月预算执行总体进度为</w:t>
      </w:r>
      <w:r>
        <w:rPr>
          <w:rFonts w:hint="eastAsia" w:ascii="Times New Roman" w:hAnsi="Times New Roman" w:eastAsia="仿宋_GB2312" w:cs="Times New Roman"/>
          <w:color w:val="auto"/>
          <w:kern w:val="0"/>
          <w:sz w:val="32"/>
          <w:szCs w:val="32"/>
          <w:shd w:val="clear" w:color="auto" w:fill="FFFFFF"/>
          <w:lang w:val="en-US" w:eastAsia="zh-CN"/>
        </w:rPr>
        <w:t>100</w:t>
      </w:r>
      <w:r>
        <w:rPr>
          <w:rFonts w:ascii="Times New Roman" w:hAnsi="Times New Roman" w:eastAsia="仿宋_GB2312" w:cs="Times New Roman"/>
          <w:color w:val="auto"/>
          <w:kern w:val="0"/>
          <w:sz w:val="32"/>
          <w:szCs w:val="32"/>
          <w:shd w:val="clear" w:color="auto" w:fill="FFFFFF"/>
          <w:lang w:val="zh-CN"/>
        </w:rPr>
        <w:t>%，其中：预算结余率大于</w:t>
      </w:r>
      <w:r>
        <w:rPr>
          <w:rFonts w:ascii="Times New Roman" w:hAnsi="Times New Roman" w:eastAsia="仿宋_GB2312" w:cs="Times New Roman"/>
          <w:color w:val="auto"/>
          <w:kern w:val="0"/>
          <w:sz w:val="32"/>
          <w:szCs w:val="32"/>
          <w:shd w:val="clear" w:color="auto" w:fill="FFFFFF"/>
        </w:rPr>
        <w:t>10%</w:t>
      </w:r>
      <w:r>
        <w:rPr>
          <w:rFonts w:ascii="Times New Roman" w:hAnsi="Times New Roman" w:eastAsia="仿宋_GB2312" w:cs="Times New Roman"/>
          <w:color w:val="auto"/>
          <w:kern w:val="0"/>
          <w:sz w:val="32"/>
          <w:szCs w:val="32"/>
          <w:shd w:val="clear" w:color="auto" w:fill="FFFFFF"/>
          <w:lang w:val="zh-CN"/>
        </w:rPr>
        <w:t>的项目共计</w:t>
      </w:r>
      <w:r>
        <w:rPr>
          <w:rFonts w:hint="eastAsia" w:ascii="Times New Roman" w:hAnsi="Times New Roman" w:eastAsia="仿宋_GB2312" w:cs="Times New Roman"/>
          <w:color w:val="auto"/>
          <w:kern w:val="0"/>
          <w:sz w:val="32"/>
          <w:szCs w:val="32"/>
          <w:shd w:val="clear" w:color="auto" w:fill="FFFFFF"/>
          <w:lang w:val="en-US" w:eastAsia="zh-CN"/>
        </w:rPr>
        <w:t>0</w:t>
      </w:r>
      <w:r>
        <w:rPr>
          <w:rFonts w:ascii="Times New Roman" w:hAnsi="Times New Roman" w:eastAsia="仿宋_GB2312" w:cs="Times New Roman"/>
          <w:color w:val="auto"/>
          <w:kern w:val="0"/>
          <w:sz w:val="32"/>
          <w:szCs w:val="32"/>
          <w:shd w:val="clear" w:color="auto" w:fill="FFFFFF"/>
          <w:lang w:val="zh-CN"/>
        </w:rPr>
        <w:t>个。</w:t>
      </w:r>
    </w:p>
    <w:p w14:paraId="301EA4C9">
      <w:pPr>
        <w:adjustRightInd w:val="0"/>
        <w:snapToGrid w:val="0"/>
        <w:spacing w:line="578" w:lineRule="exact"/>
        <w:ind w:firstLine="640" w:firstLineChars="200"/>
        <w:contextualSpacing/>
        <w:jc w:val="left"/>
        <w:rPr>
          <w:rFonts w:ascii="Times New Roman" w:hAnsi="Times New Roman" w:eastAsia="仿宋_GB2312" w:cs="Times New Roman"/>
          <w:color w:val="auto"/>
          <w:kern w:val="0"/>
          <w:sz w:val="32"/>
          <w:szCs w:val="32"/>
          <w:shd w:val="clear" w:color="auto" w:fill="FFFFFF"/>
          <w:lang w:val="zh-CN"/>
        </w:rPr>
      </w:pPr>
      <w:r>
        <w:rPr>
          <w:rFonts w:ascii="Times New Roman" w:hAnsi="Times New Roman" w:eastAsia="仿宋_GB2312" w:cs="Times New Roman"/>
          <w:color w:val="auto"/>
          <w:kern w:val="0"/>
          <w:sz w:val="32"/>
          <w:szCs w:val="32"/>
          <w:shd w:val="clear" w:color="auto" w:fill="FFFFFF"/>
        </w:rPr>
        <w:t>阶段（</w:t>
      </w:r>
      <w:r>
        <w:rPr>
          <w:rFonts w:hint="eastAsia" w:ascii="Times New Roman" w:hAnsi="Times New Roman" w:eastAsia="仿宋_GB2312" w:cs="Times New Roman"/>
          <w:color w:val="auto"/>
          <w:kern w:val="0"/>
          <w:sz w:val="32"/>
          <w:szCs w:val="32"/>
          <w:shd w:val="clear" w:color="auto" w:fill="FFFFFF"/>
        </w:rPr>
        <w:t>含</w:t>
      </w:r>
      <w:r>
        <w:rPr>
          <w:rFonts w:ascii="Times New Roman" w:hAnsi="Times New Roman" w:eastAsia="仿宋_GB2312" w:cs="Times New Roman"/>
          <w:color w:val="auto"/>
          <w:kern w:val="0"/>
          <w:sz w:val="32"/>
          <w:szCs w:val="32"/>
          <w:shd w:val="clear" w:color="auto" w:fill="FFFFFF"/>
        </w:rPr>
        <w:t>一次性）项目绩效分析。</w:t>
      </w:r>
      <w:r>
        <w:rPr>
          <w:rFonts w:ascii="Times New Roman" w:hAnsi="Times New Roman" w:eastAsia="仿宋_GB2312" w:cs="Times New Roman"/>
          <w:color w:val="auto"/>
          <w:kern w:val="0"/>
          <w:sz w:val="32"/>
          <w:szCs w:val="32"/>
          <w:shd w:val="clear" w:color="auto" w:fill="FFFFFF"/>
          <w:lang w:val="zh-CN"/>
        </w:rPr>
        <w:t>该类项目总数</w:t>
      </w:r>
      <w:r>
        <w:rPr>
          <w:rFonts w:hint="eastAsia" w:ascii="Times New Roman" w:hAnsi="Times New Roman" w:eastAsia="仿宋_GB2312" w:cs="Times New Roman"/>
          <w:color w:val="auto"/>
          <w:kern w:val="0"/>
          <w:sz w:val="32"/>
          <w:szCs w:val="32"/>
          <w:shd w:val="clear" w:color="auto" w:fill="FFFFFF"/>
          <w:lang w:val="en-US" w:eastAsia="zh-CN"/>
        </w:rPr>
        <w:t>36</w:t>
      </w:r>
      <w:r>
        <w:rPr>
          <w:rFonts w:ascii="Times New Roman" w:hAnsi="Times New Roman" w:eastAsia="仿宋_GB2312" w:cs="Times New Roman"/>
          <w:color w:val="auto"/>
          <w:kern w:val="0"/>
          <w:sz w:val="32"/>
          <w:szCs w:val="32"/>
          <w:shd w:val="clear" w:color="auto" w:fill="FFFFFF"/>
          <w:lang w:val="zh-CN"/>
        </w:rPr>
        <w:t>个，涉及预算总金额</w:t>
      </w:r>
      <w:r>
        <w:rPr>
          <w:rFonts w:hint="eastAsia" w:ascii="Times New Roman" w:hAnsi="Times New Roman" w:eastAsia="仿宋_GB2312" w:cs="Times New Roman"/>
          <w:color w:val="auto"/>
          <w:kern w:val="0"/>
          <w:sz w:val="32"/>
          <w:szCs w:val="32"/>
          <w:shd w:val="clear" w:color="auto" w:fill="FFFFFF"/>
          <w:lang w:val="en-US" w:eastAsia="zh-CN"/>
        </w:rPr>
        <w:t>1295.01</w:t>
      </w:r>
      <w:r>
        <w:rPr>
          <w:rFonts w:ascii="Times New Roman" w:hAnsi="Times New Roman" w:eastAsia="仿宋_GB2312" w:cs="Times New Roman"/>
          <w:color w:val="auto"/>
          <w:kern w:val="0"/>
          <w:sz w:val="32"/>
          <w:szCs w:val="32"/>
          <w:shd w:val="clear" w:color="auto" w:fill="FFFFFF"/>
          <w:lang w:val="zh-CN"/>
        </w:rPr>
        <w:t>万元，1</w:t>
      </w:r>
      <w:r>
        <w:rPr>
          <w:rFonts w:hint="eastAsia" w:ascii="Times New Roman" w:hAnsi="Times New Roman" w:eastAsia="仿宋_GB2312" w:cs="Times New Roman"/>
          <w:color w:val="auto"/>
          <w:kern w:val="0"/>
          <w:sz w:val="32"/>
          <w:szCs w:val="32"/>
          <w:shd w:val="clear" w:color="auto" w:fill="FFFFFF"/>
          <w:lang w:val="zh-CN"/>
        </w:rPr>
        <w:t>—</w:t>
      </w:r>
      <w:r>
        <w:rPr>
          <w:rFonts w:ascii="Times New Roman" w:hAnsi="Times New Roman" w:eastAsia="仿宋_GB2312" w:cs="Times New Roman"/>
          <w:color w:val="auto"/>
          <w:kern w:val="0"/>
          <w:sz w:val="32"/>
          <w:szCs w:val="32"/>
          <w:shd w:val="clear" w:color="auto" w:fill="FFFFFF"/>
          <w:lang w:val="zh-CN"/>
        </w:rPr>
        <w:t>1</w:t>
      </w:r>
      <w:r>
        <w:rPr>
          <w:rFonts w:ascii="Times New Roman" w:hAnsi="Times New Roman" w:eastAsia="仿宋_GB2312" w:cs="Times New Roman"/>
          <w:color w:val="auto"/>
          <w:kern w:val="0"/>
          <w:sz w:val="32"/>
          <w:szCs w:val="32"/>
          <w:shd w:val="clear" w:color="auto" w:fill="FFFFFF"/>
        </w:rPr>
        <w:t>2</w:t>
      </w:r>
      <w:r>
        <w:rPr>
          <w:rFonts w:ascii="Times New Roman" w:hAnsi="Times New Roman" w:eastAsia="仿宋_GB2312" w:cs="Times New Roman"/>
          <w:color w:val="auto"/>
          <w:kern w:val="0"/>
          <w:sz w:val="32"/>
          <w:szCs w:val="32"/>
          <w:shd w:val="clear" w:color="auto" w:fill="FFFFFF"/>
          <w:lang w:val="zh-CN"/>
        </w:rPr>
        <w:t>月预算执行总体进度为</w:t>
      </w:r>
      <w:r>
        <w:rPr>
          <w:rFonts w:hint="eastAsia" w:ascii="Times New Roman" w:hAnsi="Times New Roman" w:eastAsia="仿宋_GB2312" w:cs="Times New Roman"/>
          <w:color w:val="auto"/>
          <w:kern w:val="0"/>
          <w:sz w:val="32"/>
          <w:szCs w:val="32"/>
          <w:shd w:val="clear" w:color="auto" w:fill="FFFFFF"/>
          <w:lang w:val="en-US" w:eastAsia="zh-CN"/>
        </w:rPr>
        <w:t>100</w:t>
      </w:r>
      <w:r>
        <w:rPr>
          <w:rFonts w:ascii="Times New Roman" w:hAnsi="Times New Roman" w:eastAsia="仿宋_GB2312" w:cs="Times New Roman"/>
          <w:color w:val="auto"/>
          <w:kern w:val="0"/>
          <w:sz w:val="32"/>
          <w:szCs w:val="32"/>
          <w:shd w:val="clear" w:color="auto" w:fill="FFFFFF"/>
        </w:rPr>
        <w:t xml:space="preserve"> </w:t>
      </w:r>
      <w:r>
        <w:rPr>
          <w:rFonts w:ascii="Times New Roman" w:hAnsi="Times New Roman" w:eastAsia="仿宋_GB2312" w:cs="Times New Roman"/>
          <w:color w:val="auto"/>
          <w:kern w:val="0"/>
          <w:sz w:val="32"/>
          <w:szCs w:val="32"/>
          <w:shd w:val="clear" w:color="auto" w:fill="FFFFFF"/>
          <w:lang w:val="zh-CN"/>
        </w:rPr>
        <w:t>%，其中：预算结余率大于</w:t>
      </w:r>
      <w:r>
        <w:rPr>
          <w:rFonts w:ascii="Times New Roman" w:hAnsi="Times New Roman" w:eastAsia="仿宋_GB2312" w:cs="Times New Roman"/>
          <w:color w:val="auto"/>
          <w:kern w:val="0"/>
          <w:sz w:val="32"/>
          <w:szCs w:val="32"/>
          <w:shd w:val="clear" w:color="auto" w:fill="FFFFFF"/>
        </w:rPr>
        <w:t>10%</w:t>
      </w:r>
      <w:r>
        <w:rPr>
          <w:rFonts w:ascii="Times New Roman" w:hAnsi="Times New Roman" w:eastAsia="仿宋_GB2312" w:cs="Times New Roman"/>
          <w:color w:val="auto"/>
          <w:kern w:val="0"/>
          <w:sz w:val="32"/>
          <w:szCs w:val="32"/>
          <w:shd w:val="clear" w:color="auto" w:fill="FFFFFF"/>
          <w:lang w:val="zh-CN"/>
        </w:rPr>
        <w:t>的项目共计</w:t>
      </w:r>
      <w:r>
        <w:rPr>
          <w:rFonts w:hint="eastAsia" w:ascii="Times New Roman" w:hAnsi="Times New Roman" w:eastAsia="仿宋_GB2312" w:cs="Times New Roman"/>
          <w:color w:val="auto"/>
          <w:kern w:val="0"/>
          <w:sz w:val="32"/>
          <w:szCs w:val="32"/>
          <w:shd w:val="clear" w:color="auto" w:fill="FFFFFF"/>
          <w:lang w:val="en-US" w:eastAsia="zh-CN"/>
        </w:rPr>
        <w:t>0</w:t>
      </w:r>
      <w:r>
        <w:rPr>
          <w:rFonts w:ascii="Times New Roman" w:hAnsi="Times New Roman" w:eastAsia="仿宋_GB2312" w:cs="Times New Roman"/>
          <w:color w:val="auto"/>
          <w:kern w:val="0"/>
          <w:sz w:val="32"/>
          <w:szCs w:val="32"/>
          <w:shd w:val="clear" w:color="auto" w:fill="FFFFFF"/>
          <w:lang w:val="zh-CN"/>
        </w:rPr>
        <w:t>个。</w:t>
      </w:r>
    </w:p>
    <w:p w14:paraId="69F6C709">
      <w:pPr>
        <w:adjustRightInd w:val="0"/>
        <w:snapToGrid w:val="0"/>
        <w:spacing w:line="578" w:lineRule="exact"/>
        <w:ind w:firstLine="640" w:firstLineChars="200"/>
        <w:contextualSpacing/>
        <w:jc w:val="left"/>
        <w:rPr>
          <w:rFonts w:hint="eastAsia" w:ascii="Times New Roman" w:hAnsi="Times New Roman" w:eastAsia="仿宋_GB2312" w:cs="Times New Roman"/>
          <w:color w:val="auto"/>
          <w:kern w:val="0"/>
          <w:sz w:val="32"/>
          <w:szCs w:val="32"/>
          <w:shd w:val="clear" w:color="auto" w:fill="FFFFFF"/>
          <w:lang w:val="zh-CN"/>
        </w:rPr>
      </w:pPr>
      <w:r>
        <w:rPr>
          <w:rFonts w:ascii="Times New Roman" w:hAnsi="Times New Roman" w:eastAsia="楷体_GB2312" w:cs="Times New Roman"/>
          <w:color w:val="auto"/>
          <w:kern w:val="0"/>
          <w:sz w:val="32"/>
          <w:szCs w:val="32"/>
          <w:shd w:val="clear" w:color="auto" w:fill="FFFFFF"/>
        </w:rPr>
        <w:t>1.</w:t>
      </w:r>
      <w:r>
        <w:rPr>
          <w:rFonts w:ascii="Times New Roman" w:hAnsi="Times New Roman" w:eastAsia="楷体_GB2312" w:cs="Times New Roman"/>
          <w:color w:val="auto"/>
          <w:kern w:val="0"/>
          <w:sz w:val="32"/>
          <w:szCs w:val="32"/>
          <w:shd w:val="clear" w:color="auto" w:fill="FFFFFF"/>
          <w:lang w:val="zh-CN"/>
        </w:rPr>
        <w:t>项目决策。</w:t>
      </w:r>
      <w:r>
        <w:rPr>
          <w:rFonts w:hint="eastAsia" w:ascii="Times New Roman" w:hAnsi="Times New Roman" w:eastAsia="仿宋_GB2312" w:cs="Times New Roman"/>
          <w:color w:val="auto"/>
          <w:kern w:val="0"/>
          <w:sz w:val="32"/>
          <w:szCs w:val="32"/>
          <w:shd w:val="clear" w:color="auto" w:fill="FFFFFF"/>
          <w:lang w:val="en-US" w:eastAsia="zh-CN"/>
        </w:rPr>
        <w:t>一是</w:t>
      </w:r>
      <w:r>
        <w:rPr>
          <w:rFonts w:hint="eastAsia" w:ascii="Times New Roman" w:hAnsi="Times New Roman" w:eastAsia="仿宋_GB2312" w:cs="Times New Roman"/>
          <w:color w:val="auto"/>
          <w:kern w:val="0"/>
          <w:sz w:val="32"/>
          <w:szCs w:val="32"/>
          <w:shd w:val="clear" w:color="auto" w:fill="FFFFFF"/>
          <w:lang w:val="zh-CN"/>
        </w:rPr>
        <w:t>项目申报规范性。</w:t>
      </w:r>
      <w:r>
        <w:rPr>
          <w:rFonts w:hint="eastAsia" w:ascii="Times New Roman" w:hAnsi="Times New Roman" w:eastAsia="仿宋_GB2312" w:cs="Times New Roman"/>
          <w:color w:val="auto"/>
          <w:kern w:val="0"/>
          <w:sz w:val="32"/>
          <w:szCs w:val="32"/>
          <w:shd w:val="clear" w:color="auto" w:fill="FFFFFF"/>
          <w:lang w:val="en-US" w:eastAsia="zh-CN"/>
        </w:rPr>
        <w:t>单位</w:t>
      </w:r>
      <w:r>
        <w:rPr>
          <w:rFonts w:hint="eastAsia" w:ascii="Times New Roman" w:hAnsi="Times New Roman" w:eastAsia="仿宋_GB2312" w:cs="Times New Roman"/>
          <w:color w:val="auto"/>
          <w:kern w:val="0"/>
          <w:sz w:val="32"/>
          <w:szCs w:val="32"/>
          <w:shd w:val="clear" w:color="auto" w:fill="FFFFFF"/>
          <w:lang w:val="zh-CN"/>
        </w:rPr>
        <w:t>实施项目按照规定的立项程序进行了申报，审批文件，材料符合相关要求；</w:t>
      </w:r>
      <w:r>
        <w:rPr>
          <w:rFonts w:hint="eastAsia" w:ascii="Times New Roman" w:hAnsi="Times New Roman" w:eastAsia="仿宋_GB2312" w:cs="Times New Roman"/>
          <w:color w:val="auto"/>
          <w:kern w:val="0"/>
          <w:sz w:val="32"/>
          <w:szCs w:val="32"/>
          <w:shd w:val="clear" w:color="auto" w:fill="FFFFFF"/>
          <w:lang w:val="en-US" w:eastAsia="zh-CN"/>
        </w:rPr>
        <w:t>二是</w:t>
      </w:r>
      <w:r>
        <w:rPr>
          <w:rFonts w:hint="eastAsia" w:ascii="Times New Roman" w:hAnsi="Times New Roman" w:eastAsia="仿宋_GB2312" w:cs="Times New Roman"/>
          <w:color w:val="auto"/>
          <w:kern w:val="0"/>
          <w:sz w:val="32"/>
          <w:szCs w:val="32"/>
          <w:shd w:val="clear" w:color="auto" w:fill="FFFFFF"/>
          <w:lang w:val="zh-CN"/>
        </w:rPr>
        <w:t>绩效目标合理性。项目所设定的绩效目标依据充分，符合客观实际</w:t>
      </w:r>
      <w:r>
        <w:rPr>
          <w:rFonts w:hint="eastAsia" w:eastAsia="仿宋_GB2312" w:cs="Times New Roman"/>
          <w:color w:val="auto"/>
          <w:kern w:val="0"/>
          <w:sz w:val="32"/>
          <w:szCs w:val="32"/>
          <w:shd w:val="clear" w:color="auto" w:fill="FFFFFF"/>
          <w:lang w:val="zh-CN"/>
        </w:rPr>
        <w:t>，与</w:t>
      </w:r>
      <w:r>
        <w:rPr>
          <w:rFonts w:hint="eastAsia" w:ascii="Times New Roman" w:hAnsi="Times New Roman" w:eastAsia="仿宋_GB2312" w:cs="Times New Roman"/>
          <w:color w:val="auto"/>
          <w:kern w:val="0"/>
          <w:sz w:val="32"/>
          <w:szCs w:val="32"/>
          <w:shd w:val="clear" w:color="auto" w:fill="FFFFFF"/>
          <w:lang w:val="zh-CN"/>
        </w:rPr>
        <w:t>实际工作内容具有</w:t>
      </w:r>
      <w:r>
        <w:rPr>
          <w:rFonts w:hint="eastAsia" w:eastAsia="仿宋_GB2312" w:cs="Times New Roman"/>
          <w:color w:val="auto"/>
          <w:kern w:val="0"/>
          <w:sz w:val="32"/>
          <w:szCs w:val="32"/>
          <w:shd w:val="clear" w:color="auto" w:fill="FFFFFF"/>
          <w:lang w:val="zh-CN"/>
        </w:rPr>
        <w:t>密切</w:t>
      </w:r>
      <w:r>
        <w:rPr>
          <w:rFonts w:hint="eastAsia" w:ascii="Times New Roman" w:hAnsi="Times New Roman" w:eastAsia="仿宋_GB2312" w:cs="Times New Roman"/>
          <w:color w:val="auto"/>
          <w:kern w:val="0"/>
          <w:sz w:val="32"/>
          <w:szCs w:val="32"/>
          <w:shd w:val="clear" w:color="auto" w:fill="FFFFFF"/>
          <w:lang w:val="zh-CN"/>
        </w:rPr>
        <w:t>相关性，与预算确定的项目资金量相匹配。</w:t>
      </w:r>
      <w:r>
        <w:rPr>
          <w:rFonts w:hint="eastAsia" w:ascii="Times New Roman" w:hAnsi="Times New Roman" w:eastAsia="仿宋_GB2312" w:cs="Times New Roman"/>
          <w:color w:val="auto"/>
          <w:kern w:val="0"/>
          <w:sz w:val="32"/>
          <w:szCs w:val="32"/>
          <w:shd w:val="clear" w:color="auto" w:fill="FFFFFF"/>
          <w:lang w:val="en-US" w:eastAsia="zh-CN"/>
        </w:rPr>
        <w:t>三是</w:t>
      </w:r>
      <w:r>
        <w:rPr>
          <w:rFonts w:hint="eastAsia" w:ascii="Times New Roman" w:hAnsi="Times New Roman" w:eastAsia="仿宋_GB2312" w:cs="Times New Roman"/>
          <w:color w:val="auto"/>
          <w:kern w:val="0"/>
          <w:sz w:val="32"/>
          <w:szCs w:val="32"/>
          <w:shd w:val="clear" w:color="auto" w:fill="FFFFFF"/>
          <w:lang w:val="zh-CN"/>
        </w:rPr>
        <w:t>绩效指标明确性。项目绩效目标细化分解</w:t>
      </w:r>
      <w:r>
        <w:rPr>
          <w:rFonts w:hint="eastAsia" w:eastAsia="仿宋_GB2312" w:cs="Times New Roman"/>
          <w:color w:val="auto"/>
          <w:kern w:val="0"/>
          <w:sz w:val="32"/>
          <w:szCs w:val="32"/>
          <w:shd w:val="clear" w:color="auto" w:fill="FFFFFF"/>
          <w:lang w:val="zh-CN"/>
        </w:rPr>
        <w:t>为</w:t>
      </w:r>
      <w:r>
        <w:rPr>
          <w:rFonts w:hint="eastAsia" w:ascii="Times New Roman" w:hAnsi="Times New Roman" w:eastAsia="仿宋_GB2312" w:cs="Times New Roman"/>
          <w:color w:val="auto"/>
          <w:kern w:val="0"/>
          <w:sz w:val="32"/>
          <w:szCs w:val="32"/>
          <w:shd w:val="clear" w:color="auto" w:fill="FFFFFF"/>
          <w:lang w:val="zh-CN"/>
        </w:rPr>
        <w:t>具体绩效指标，通过清晰，可衡量的指标值予以体现，与项目目标任务数或计划数相对应。</w:t>
      </w:r>
    </w:p>
    <w:p w14:paraId="58CD9FD9">
      <w:pPr>
        <w:adjustRightInd w:val="0"/>
        <w:snapToGrid w:val="0"/>
        <w:spacing w:line="578" w:lineRule="exact"/>
        <w:ind w:firstLine="640" w:firstLineChars="200"/>
        <w:contextualSpacing/>
        <w:jc w:val="left"/>
        <w:rPr>
          <w:rFonts w:ascii="Times New Roman" w:hAnsi="Times New Roman" w:eastAsia="楷体_GB2312" w:cs="Times New Roman"/>
          <w:color w:val="auto"/>
          <w:kern w:val="0"/>
          <w:sz w:val="32"/>
          <w:szCs w:val="32"/>
          <w:shd w:val="clear" w:color="auto" w:fill="FFFFFF"/>
          <w:lang w:val="zh-CN"/>
        </w:rPr>
      </w:pPr>
      <w:r>
        <w:rPr>
          <w:rFonts w:ascii="Times New Roman" w:hAnsi="Times New Roman" w:eastAsia="楷体_GB2312" w:cs="Times New Roman"/>
          <w:color w:val="auto"/>
          <w:kern w:val="0"/>
          <w:sz w:val="32"/>
          <w:szCs w:val="32"/>
          <w:shd w:val="clear" w:color="auto" w:fill="FFFFFF"/>
        </w:rPr>
        <w:t>2.项目执行</w:t>
      </w:r>
      <w:r>
        <w:rPr>
          <w:rFonts w:ascii="Times New Roman" w:hAnsi="Times New Roman" w:eastAsia="楷体_GB2312" w:cs="Times New Roman"/>
          <w:color w:val="auto"/>
          <w:kern w:val="0"/>
          <w:sz w:val="32"/>
          <w:szCs w:val="32"/>
          <w:shd w:val="clear" w:color="auto" w:fill="FFFFFF"/>
          <w:lang w:val="zh-CN"/>
        </w:rPr>
        <w:t>。</w:t>
      </w:r>
      <w:r>
        <w:rPr>
          <w:rFonts w:hint="eastAsia" w:ascii="Times New Roman" w:hAnsi="Times New Roman" w:eastAsia="仿宋_GB2312" w:cs="Times New Roman"/>
          <w:color w:val="auto"/>
          <w:kern w:val="0"/>
          <w:sz w:val="32"/>
          <w:szCs w:val="32"/>
          <w:shd w:val="clear" w:color="auto" w:fill="FFFFFF"/>
          <w:lang w:val="en-US" w:eastAsia="zh-CN"/>
        </w:rPr>
        <w:t>一是</w:t>
      </w:r>
      <w:r>
        <w:rPr>
          <w:rFonts w:hint="eastAsia" w:ascii="Times New Roman" w:hAnsi="Times New Roman" w:eastAsia="仿宋_GB2312" w:cs="Times New Roman"/>
          <w:color w:val="auto"/>
          <w:kern w:val="0"/>
          <w:sz w:val="32"/>
          <w:szCs w:val="32"/>
          <w:shd w:val="clear" w:color="auto" w:fill="FFFFFF"/>
          <w:lang w:val="zh-CN"/>
        </w:rPr>
        <w:t>业务管理。管理制度健全性方面，</w:t>
      </w:r>
      <w:r>
        <w:rPr>
          <w:rFonts w:hint="eastAsia" w:ascii="Times New Roman" w:hAnsi="Times New Roman" w:eastAsia="仿宋_GB2312" w:cs="Times New Roman"/>
          <w:color w:val="auto"/>
          <w:kern w:val="0"/>
          <w:sz w:val="32"/>
          <w:szCs w:val="32"/>
          <w:shd w:val="clear" w:color="auto" w:fill="FFFFFF"/>
          <w:lang w:val="en-US" w:eastAsia="zh-CN"/>
        </w:rPr>
        <w:t>单位</w:t>
      </w:r>
      <w:r>
        <w:rPr>
          <w:rFonts w:hint="eastAsia" w:ascii="Times New Roman" w:hAnsi="Times New Roman" w:eastAsia="仿宋_GB2312" w:cs="Times New Roman"/>
          <w:color w:val="auto"/>
          <w:kern w:val="0"/>
          <w:sz w:val="32"/>
          <w:szCs w:val="32"/>
          <w:shd w:val="clear" w:color="auto" w:fill="FFFFFF"/>
          <w:lang w:val="zh-CN"/>
        </w:rPr>
        <w:t>已制定或具有相应的业务管理制度，制度合法，合规，完整；项目执行有效性方面，项目遵守相关法律法规和业务管理规定。工作开展过程中，有规划，管理规范，基础资料整理完整，按</w:t>
      </w:r>
      <w:r>
        <w:rPr>
          <w:rFonts w:hint="eastAsia" w:ascii="Times New Roman" w:hAnsi="Times New Roman" w:eastAsia="仿宋_GB2312" w:cs="Times New Roman"/>
          <w:color w:val="auto"/>
          <w:kern w:val="0"/>
          <w:sz w:val="32"/>
          <w:szCs w:val="32"/>
          <w:shd w:val="clear" w:color="auto" w:fill="FFFFFF"/>
          <w:lang w:val="en-US" w:eastAsia="zh-CN"/>
        </w:rPr>
        <w:t>计</w:t>
      </w:r>
      <w:r>
        <w:rPr>
          <w:rFonts w:hint="eastAsia" w:ascii="Times New Roman" w:hAnsi="Times New Roman" w:eastAsia="仿宋_GB2312" w:cs="Times New Roman"/>
          <w:color w:val="auto"/>
          <w:kern w:val="0"/>
          <w:sz w:val="32"/>
          <w:szCs w:val="32"/>
          <w:shd w:val="clear" w:color="auto" w:fill="FFFFFF"/>
          <w:lang w:val="zh-CN"/>
        </w:rPr>
        <w:t>划进度实施，管理有序，基础资料整理完整</w:t>
      </w:r>
      <w:r>
        <w:rPr>
          <w:rFonts w:hint="eastAsia" w:eastAsia="仿宋_GB2312" w:cs="Times New Roman"/>
          <w:color w:val="auto"/>
          <w:kern w:val="0"/>
          <w:sz w:val="32"/>
          <w:szCs w:val="32"/>
          <w:shd w:val="clear" w:color="auto" w:fill="FFFFFF"/>
          <w:lang w:val="zh-CN"/>
        </w:rPr>
        <w:t>；在</w:t>
      </w:r>
      <w:r>
        <w:rPr>
          <w:rFonts w:hint="eastAsia" w:ascii="Times New Roman" w:hAnsi="Times New Roman" w:eastAsia="仿宋_GB2312" w:cs="Times New Roman"/>
          <w:color w:val="auto"/>
          <w:kern w:val="0"/>
          <w:sz w:val="32"/>
          <w:szCs w:val="32"/>
          <w:shd w:val="clear" w:color="auto" w:fill="FFFFFF"/>
          <w:lang w:val="zh-CN"/>
        </w:rPr>
        <w:t>项目质量可控性方面，已制定或具有相应的项目质量要求或标准，做到事前严格审核，事中跟踪监控和事后专项检查。</w:t>
      </w:r>
      <w:r>
        <w:rPr>
          <w:rFonts w:hint="eastAsia" w:ascii="Times New Roman" w:hAnsi="Times New Roman" w:eastAsia="仿宋_GB2312" w:cs="Times New Roman"/>
          <w:color w:val="auto"/>
          <w:kern w:val="0"/>
          <w:sz w:val="32"/>
          <w:szCs w:val="32"/>
          <w:shd w:val="clear" w:color="auto" w:fill="FFFFFF"/>
          <w:lang w:val="en-US" w:eastAsia="zh-CN"/>
        </w:rPr>
        <w:t>二是</w:t>
      </w:r>
      <w:r>
        <w:rPr>
          <w:rFonts w:hint="eastAsia" w:ascii="Times New Roman" w:hAnsi="Times New Roman" w:eastAsia="仿宋_GB2312" w:cs="Times New Roman"/>
          <w:color w:val="auto"/>
          <w:kern w:val="0"/>
          <w:sz w:val="32"/>
          <w:szCs w:val="32"/>
          <w:shd w:val="clear" w:color="auto" w:fill="FFFFFF"/>
          <w:lang w:val="zh-CN"/>
        </w:rPr>
        <w:t>财务管理。管理制度健全性方面，已制定相关内部监督检查制度或办法，项目资金管理办法符合相关财务会计制度的规定；资金使用合规性方面，资金的拨付有完整的审批程序和手续，符合项目规定的用途，无擅自扩大范围和提高支出标准等现象，不</w:t>
      </w:r>
      <w:r>
        <w:rPr>
          <w:rFonts w:hint="eastAsia" w:ascii="Times New Roman" w:hAnsi="Times New Roman" w:eastAsia="仿宋_GB2312" w:cs="Times New Roman"/>
          <w:color w:val="auto"/>
          <w:kern w:val="0"/>
          <w:sz w:val="32"/>
          <w:szCs w:val="32"/>
          <w:shd w:val="clear" w:color="auto" w:fill="FFFFFF"/>
          <w:lang w:val="en-US" w:eastAsia="zh-CN"/>
        </w:rPr>
        <w:t>存</w:t>
      </w:r>
      <w:r>
        <w:rPr>
          <w:rFonts w:hint="eastAsia" w:ascii="Times New Roman" w:hAnsi="Times New Roman" w:eastAsia="仿宋_GB2312" w:cs="Times New Roman"/>
          <w:color w:val="auto"/>
          <w:kern w:val="0"/>
          <w:sz w:val="32"/>
          <w:szCs w:val="32"/>
          <w:shd w:val="clear" w:color="auto" w:fill="FFFFFF"/>
          <w:lang w:val="zh-CN"/>
        </w:rPr>
        <w:t>在截留、挤占、挪用、虚列支出等情况；财务监控有效性方面，已制定或具有相应的监控机制，采取了相应的财务检查等必要的监控措施或手段。</w:t>
      </w:r>
    </w:p>
    <w:p w14:paraId="49773614">
      <w:pPr>
        <w:spacing w:line="578" w:lineRule="exact"/>
        <w:ind w:firstLine="640" w:firstLineChars="200"/>
        <w:rPr>
          <w:rFonts w:ascii="Times New Roman" w:hAnsi="Times New Roman" w:eastAsia="楷体_GB2312" w:cs="Times New Roman"/>
          <w:color w:val="auto"/>
          <w:kern w:val="0"/>
          <w:sz w:val="32"/>
          <w:szCs w:val="32"/>
          <w:shd w:val="clear" w:color="auto" w:fill="FFFFFF"/>
          <w:lang w:val="zh-CN"/>
        </w:rPr>
      </w:pPr>
      <w:r>
        <w:rPr>
          <w:rFonts w:ascii="Times New Roman" w:hAnsi="Times New Roman" w:eastAsia="楷体_GB2312" w:cs="Times New Roman"/>
          <w:color w:val="auto"/>
          <w:kern w:val="0"/>
          <w:sz w:val="32"/>
          <w:szCs w:val="32"/>
          <w:shd w:val="clear" w:color="auto" w:fill="FFFFFF"/>
        </w:rPr>
        <w:t>3.</w:t>
      </w:r>
      <w:r>
        <w:rPr>
          <w:rFonts w:ascii="Times New Roman" w:hAnsi="Times New Roman" w:eastAsia="楷体_GB2312" w:cs="Times New Roman"/>
          <w:color w:val="auto"/>
          <w:kern w:val="0"/>
          <w:sz w:val="32"/>
          <w:szCs w:val="32"/>
          <w:shd w:val="clear" w:color="auto" w:fill="FFFFFF"/>
          <w:lang w:val="zh-CN"/>
        </w:rPr>
        <w:t>目标实现</w:t>
      </w:r>
    </w:p>
    <w:p w14:paraId="2A0EA4B1">
      <w:pPr>
        <w:spacing w:line="578" w:lineRule="exact"/>
        <w:ind w:firstLine="640" w:firstLineChars="200"/>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2025年度一般公共预算安排</w:t>
      </w:r>
      <w:r>
        <w:rPr>
          <w:rFonts w:hint="eastAsia" w:ascii="Times New Roman" w:hAnsi="Times New Roman" w:eastAsia="仿宋_GB2312" w:cs="Times New Roman"/>
          <w:color w:val="auto"/>
          <w:sz w:val="32"/>
          <w:szCs w:val="32"/>
        </w:rPr>
        <w:t>土地评估</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2025年地质灾害防治经费</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自然资源综合行政执法经费（机关）</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新一轮找矿突破战略行动工作经费</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2019-2035攀枝花市国土空间总体规划（清欠）</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2024年度自然资源调查监测专项工作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西区格里坪工业园区（格里坪单元、龙洞单元）国土空间详细规划工作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国土空间生态修复规划编制（清欠）</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攀枝花市城市发展暨土地资源推介工作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2025年度攀枝花市中心城区城镇开发边界局部优化调整</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各类调查监测经费</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攀枝花市市级矿产资源规划（2026—2030年）编制专项工作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rPr>
        <w:t>025年度自然资源综合动态监测工作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兰谱路历史文化街区（城市原点片区）城市设计》《望江片区—大梯道—二街坊片区城市设计》编制项目</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耕地林地园地空间治理“一张图”建设经费</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攀枝花市“十五五”基础测绘规划编制工作</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办公场地搬迁维修费用</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2025年度国土变更调查暨2026年度日常变更调查项目</w:t>
      </w:r>
      <w:r>
        <w:rPr>
          <w:rFonts w:hint="eastAsia" w:ascii="Times New Roman" w:hAnsi="Times New Roman" w:eastAsia="仿宋_GB2312" w:cs="Times New Roman"/>
          <w:color w:val="auto"/>
          <w:sz w:val="32"/>
          <w:szCs w:val="32"/>
          <w:lang w:val="en-US" w:eastAsia="zh-CN"/>
        </w:rPr>
        <w:t>等；</w:t>
      </w:r>
      <w:r>
        <w:rPr>
          <w:rFonts w:ascii="Times New Roman" w:hAnsi="Times New Roman" w:eastAsia="仿宋_GB2312" w:cs="Times New Roman"/>
          <w:color w:val="auto"/>
          <w:sz w:val="32"/>
          <w:szCs w:val="32"/>
        </w:rPr>
        <w:t>2025年度政府性基金预算安排</w:t>
      </w:r>
      <w:r>
        <w:rPr>
          <w:rFonts w:hint="eastAsia" w:ascii="Times New Roman" w:hAnsi="Times New Roman" w:eastAsia="仿宋_GB2312" w:cs="Times New Roman"/>
          <w:color w:val="auto"/>
          <w:sz w:val="32"/>
          <w:szCs w:val="32"/>
        </w:rPr>
        <w:t>攀枝花市田长制工作专项经费</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攀枝花市迤资园区（迤资单元）控制性详细规划修编项目</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攀枝花市炳草岗片区（炳草岗一单元）国土空间详细规划编制</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各项目资金本年度实际完成率，质量达标率，完成及时性及成本节约率均达到合理范围。本年度各项目资金实施所产生的社会效益，经济效益，生态效益，可持续影响等均达到合理范围。服务对象满意度指标均</w:t>
      </w:r>
      <w:r>
        <w:rPr>
          <w:rFonts w:hint="eastAsia" w:ascii="Times New Roman" w:hAnsi="Times New Roman" w:eastAsia="仿宋_GB2312" w:cs="Times New Roman"/>
          <w:color w:val="auto"/>
          <w:sz w:val="32"/>
          <w:szCs w:val="32"/>
          <w:lang w:val="en-US" w:eastAsia="zh-CN"/>
        </w:rPr>
        <w:t>符合</w:t>
      </w:r>
      <w:r>
        <w:rPr>
          <w:rFonts w:hint="eastAsia" w:ascii="Times New Roman" w:hAnsi="Times New Roman" w:eastAsia="仿宋_GB2312" w:cs="Times New Roman"/>
          <w:color w:val="auto"/>
          <w:sz w:val="32"/>
          <w:szCs w:val="32"/>
        </w:rPr>
        <w:t>目标</w:t>
      </w:r>
      <w:r>
        <w:rPr>
          <w:rFonts w:hint="eastAsia" w:ascii="Times New Roman" w:hAnsi="Times New Roman" w:eastAsia="仿宋_GB2312" w:cs="Times New Roman"/>
          <w:color w:val="auto"/>
          <w:sz w:val="32"/>
          <w:szCs w:val="32"/>
          <w:lang w:val="en-US" w:eastAsia="zh-CN"/>
        </w:rPr>
        <w:t>标准</w:t>
      </w:r>
      <w:r>
        <w:rPr>
          <w:rFonts w:hint="eastAsia" w:ascii="Times New Roman" w:hAnsi="Times New Roman" w:eastAsia="仿宋_GB2312" w:cs="Times New Roman"/>
          <w:color w:val="auto"/>
          <w:sz w:val="32"/>
          <w:szCs w:val="32"/>
        </w:rPr>
        <w:t>。</w:t>
      </w:r>
    </w:p>
    <w:p w14:paraId="16BCAA62">
      <w:pPr>
        <w:snapToGrid w:val="0"/>
        <w:spacing w:line="600" w:lineRule="exact"/>
        <w:ind w:firstLine="643" w:firstLineChars="200"/>
        <w:rPr>
          <w:rFonts w:hint="eastAsia" w:ascii="Times New Roman" w:hAnsi="Times New Roman" w:eastAsia="楷体_GB2312" w:cs="Times New Roman"/>
          <w:b/>
          <w:bCs/>
          <w:sz w:val="32"/>
          <w:szCs w:val="32"/>
          <w:lang w:val="zh-CN"/>
        </w:rPr>
      </w:pPr>
      <w:r>
        <w:rPr>
          <w:rFonts w:ascii="Times New Roman" w:hAnsi="Times New Roman" w:eastAsia="楷体_GB2312" w:cs="Times New Roman"/>
          <w:b/>
          <w:bCs/>
          <w:color w:val="000000"/>
          <w:kern w:val="0"/>
          <w:sz w:val="32"/>
          <w:szCs w:val="32"/>
          <w:shd w:val="clear" w:color="auto" w:fill="FFFFFF"/>
          <w:lang w:val="zh-CN"/>
        </w:rPr>
        <w:t>（三）</w:t>
      </w:r>
      <w:r>
        <w:rPr>
          <w:rFonts w:ascii="Times New Roman" w:hAnsi="Times New Roman" w:eastAsia="楷体_GB2312" w:cs="Times New Roman"/>
          <w:b/>
          <w:bCs/>
          <w:sz w:val="32"/>
          <w:szCs w:val="32"/>
          <w:lang w:val="zh-CN"/>
        </w:rPr>
        <w:t>绩效结果应用情况。</w:t>
      </w:r>
    </w:p>
    <w:p w14:paraId="67AFD831">
      <w:pPr>
        <w:snapToGrid w:val="0"/>
        <w:spacing w:line="600" w:lineRule="exact"/>
        <w:ind w:firstLine="643" w:firstLineChars="200"/>
        <w:rPr>
          <w:rFonts w:hint="eastAsia"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b/>
          <w:color w:val="000000"/>
          <w:kern w:val="0"/>
          <w:sz w:val="32"/>
          <w:szCs w:val="32"/>
          <w:shd w:val="clear" w:color="auto" w:fill="FFFFFF"/>
          <w:lang w:val="zh-CN"/>
        </w:rPr>
        <w:t>内部应用情况：</w:t>
      </w:r>
      <w:r>
        <w:rPr>
          <w:rFonts w:ascii="Times New Roman" w:hAnsi="Times New Roman" w:eastAsia="仿宋_GB2312" w:cs="Times New Roman"/>
          <w:color w:val="000000"/>
          <w:kern w:val="0"/>
          <w:sz w:val="32"/>
          <w:szCs w:val="32"/>
          <w:shd w:val="clear" w:color="auto" w:fill="FFFFFF"/>
          <w:lang w:val="zh-CN"/>
        </w:rPr>
        <w:t>将本次绩效自评得分、评价结论及发现问题纳入单位年度财务管理工作复盘核心内容，作为各科室年度工作考核的重要参考依据。同时，以绩效结果为导向，优化下一年度预算编制思路，对绩效良好、履职支撑作用显著的工作领域优先保障预算安排；对执行效率偏低、效益未达预期的项目，核减</w:t>
      </w:r>
      <w:r>
        <w:rPr>
          <w:rFonts w:hint="eastAsia" w:eastAsia="仿宋_GB2312" w:cs="Times New Roman"/>
          <w:color w:val="000000"/>
          <w:kern w:val="0"/>
          <w:sz w:val="32"/>
          <w:szCs w:val="32"/>
          <w:shd w:val="clear" w:color="auto" w:fill="FFFFFF"/>
          <w:lang w:val="zh-CN"/>
        </w:rPr>
        <w:t>下一</w:t>
      </w:r>
      <w:r>
        <w:rPr>
          <w:rFonts w:ascii="Times New Roman" w:hAnsi="Times New Roman" w:eastAsia="仿宋_GB2312" w:cs="Times New Roman"/>
          <w:color w:val="000000"/>
          <w:kern w:val="0"/>
          <w:sz w:val="32"/>
          <w:szCs w:val="32"/>
          <w:shd w:val="clear" w:color="auto" w:fill="FFFFFF"/>
          <w:lang w:val="zh-CN"/>
        </w:rPr>
        <w:t>年度预算额度并重新论证实施必要性，实现预算资金 “奖优罚劣” 的精准配置。</w:t>
      </w:r>
    </w:p>
    <w:p w14:paraId="62132B48">
      <w:pPr>
        <w:snapToGrid w:val="0"/>
        <w:spacing w:line="600" w:lineRule="exact"/>
        <w:ind w:firstLine="643" w:firstLineChars="200"/>
        <w:rPr>
          <w:rFonts w:hint="eastAsia"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b/>
          <w:bCs/>
          <w:color w:val="000000"/>
          <w:kern w:val="0"/>
          <w:sz w:val="32"/>
          <w:szCs w:val="32"/>
          <w:shd w:val="clear" w:color="auto" w:fill="FFFFFF"/>
        </w:rPr>
        <w:t>信息公开情况</w:t>
      </w:r>
      <w:r>
        <w:rPr>
          <w:rFonts w:ascii="Times New Roman" w:hAnsi="Times New Roman" w:eastAsia="仿宋_GB2312" w:cs="Times New Roman"/>
          <w:color w:val="000000"/>
          <w:kern w:val="0"/>
          <w:sz w:val="32"/>
          <w:szCs w:val="32"/>
          <w:shd w:val="clear" w:color="auto" w:fill="FFFFFF"/>
        </w:rPr>
        <w:t>：</w:t>
      </w:r>
      <w:r>
        <w:rPr>
          <w:rFonts w:hint="eastAsia" w:eastAsia="仿宋_GB2312" w:cs="Times New Roman"/>
          <w:color w:val="000000"/>
          <w:kern w:val="0"/>
          <w:sz w:val="32"/>
          <w:szCs w:val="32"/>
          <w:shd w:val="clear" w:color="auto" w:fill="FFFFFF"/>
          <w:lang w:eastAsia="zh-CN"/>
        </w:rPr>
        <w:t>按照</w:t>
      </w:r>
      <w:r>
        <w:rPr>
          <w:rFonts w:ascii="Times New Roman" w:hAnsi="Times New Roman" w:eastAsia="仿宋_GB2312" w:cs="Times New Roman"/>
          <w:color w:val="000000"/>
          <w:kern w:val="0"/>
          <w:sz w:val="32"/>
          <w:szCs w:val="32"/>
          <w:shd w:val="clear" w:color="auto" w:fill="FFFFFF"/>
        </w:rPr>
        <w:t>行政事业单位预算绩效信息公开相关规定，在单位内部公示栏及官方指定公开平台，依规、及时、准确公开本次绩效自评的评价范围、自评得分、评价结论、主要问题等核心信息，公开内容简洁明了、数据真实完整，主动接受干部职工及社会公众监督，切实提升预算绩效管理工作的透明度和公信力。</w:t>
      </w:r>
    </w:p>
    <w:p w14:paraId="53D1AF10">
      <w:pPr>
        <w:snapToGrid w:val="0"/>
        <w:spacing w:line="600" w:lineRule="exact"/>
        <w:ind w:firstLine="643" w:firstLineChars="200"/>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b/>
          <w:bCs/>
          <w:color w:val="000000"/>
          <w:kern w:val="0"/>
          <w:sz w:val="32"/>
          <w:szCs w:val="32"/>
          <w:shd w:val="clear" w:color="auto" w:fill="FFFFFF"/>
        </w:rPr>
        <w:t>整改反馈情况</w:t>
      </w:r>
      <w:r>
        <w:rPr>
          <w:rFonts w:ascii="Times New Roman" w:hAnsi="Times New Roman" w:eastAsia="仿宋_GB2312" w:cs="Times New Roman"/>
          <w:color w:val="000000"/>
          <w:kern w:val="0"/>
          <w:sz w:val="32"/>
          <w:szCs w:val="32"/>
          <w:shd w:val="clear" w:color="auto" w:fill="FFFFFF"/>
        </w:rPr>
        <w:t>：针对自评发现的预算执行、资产盘活、编制衔接等问题，第一时间制定《绩效自评问题整改台账》，明确整改事项、责任科室、整改措施及完成时限，实行 “台账式管理、销号式推进”。整改过程中，由单位财务部门牵头定期跟踪整改进度，及时协调解决整改难点问题；所有问题均按计划完成整改，并由整改责任科室提交整改完成报告及佐证材料，形成 “发现问题 — 整改落实 — 核查反馈” 的闭环管理机制，确保问题整改落地见效，同时将整改经验纳入单位内控管理体系，形成长效管理机制。</w:t>
      </w:r>
    </w:p>
    <w:p w14:paraId="7D5ED724">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四、评价结论及建议</w:t>
      </w:r>
    </w:p>
    <w:p w14:paraId="6568D5B7">
      <w:pPr>
        <w:widowControl/>
        <w:adjustRightInd w:val="0"/>
        <w:snapToGrid w:val="0"/>
        <w:spacing w:line="578" w:lineRule="exact"/>
        <w:ind w:firstLine="643" w:firstLineChars="200"/>
        <w:contextualSpacing/>
        <w:jc w:val="left"/>
        <w:rPr>
          <w:rFonts w:hint="eastAsia"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（一）评价结论。</w:t>
      </w:r>
    </w:p>
    <w:p w14:paraId="7608717B">
      <w:pPr>
        <w:widowControl/>
        <w:adjustRightInd w:val="0"/>
        <w:snapToGrid w:val="0"/>
        <w:spacing w:line="578" w:lineRule="exact"/>
        <w:ind w:firstLine="640" w:firstLineChars="200"/>
        <w:contextualSpacing/>
        <w:jc w:val="left"/>
        <w:rPr>
          <w:rFonts w:hint="eastAsia" w:ascii="Times New Roman" w:hAnsi="Times New Roman" w:eastAsia="仿宋_GB2312" w:cs="Times New Roman"/>
          <w:sz w:val="32"/>
        </w:rPr>
      </w:pPr>
      <w:r>
        <w:rPr>
          <w:rFonts w:ascii="Times New Roman" w:hAnsi="Times New Roman" w:eastAsia="仿宋_GB2312" w:cs="Times New Roman"/>
          <w:sz w:val="32"/>
        </w:rPr>
        <w:t>本次对本单位年度预算资金绩效开展全面自评，从预算管理、财务管理、资产管理、采购管理等维度综合考评，</w:t>
      </w:r>
      <w:r>
        <w:rPr>
          <w:rFonts w:ascii="Arial" w:hAnsi="Arial" w:eastAsia="仿宋_GB2312" w:cs="Arial"/>
          <w:b w:val="0"/>
          <w:bCs w:val="0"/>
          <w:color w:val="1F2329"/>
          <w:sz w:val="32"/>
        </w:rPr>
        <w:t>自评得分</w:t>
      </w:r>
      <w:r>
        <w:rPr>
          <w:rFonts w:hint="eastAsia" w:ascii="Arial" w:hAnsi="Arial" w:eastAsia="仿宋_GB2312" w:cs="Arial"/>
          <w:b w:val="0"/>
          <w:bCs w:val="0"/>
          <w:color w:val="1F2329"/>
          <w:sz w:val="32"/>
        </w:rPr>
        <w:t>89</w:t>
      </w:r>
      <w:r>
        <w:rPr>
          <w:rFonts w:ascii="Arial" w:hAnsi="Arial" w:eastAsia="仿宋_GB2312" w:cs="Arial"/>
          <w:b w:val="0"/>
          <w:bCs w:val="0"/>
          <w:color w:val="1F2329"/>
          <w:sz w:val="32"/>
        </w:rPr>
        <w:t>分</w:t>
      </w:r>
      <w:r>
        <w:rPr>
          <w:rFonts w:ascii="Times New Roman" w:hAnsi="Times New Roman" w:eastAsia="仿宋_GB2312" w:cs="Times New Roman"/>
          <w:b w:val="0"/>
          <w:bCs w:val="0"/>
          <w:sz w:val="32"/>
        </w:rPr>
        <w:t>，</w:t>
      </w:r>
      <w:r>
        <w:rPr>
          <w:rFonts w:ascii="Times New Roman" w:hAnsi="Times New Roman" w:eastAsia="仿宋_GB2312" w:cs="Times New Roman"/>
          <w:sz w:val="32"/>
        </w:rPr>
        <w:t>整体绩效等级为良好。年度预算资金整体使用规范、执行有序，资金效益基本发挥，有效保障了单位履职和各项事业发展的顺利推进；但在预算执行精细化、资产盘活效率、采购流程衔接等方面仍存在短板，需进一步优化完善，提升预算资金绩效管理水平。</w:t>
      </w:r>
      <w:r>
        <w:rPr>
          <w:rFonts w:hint="eastAsia" w:ascii="Times New Roman" w:hAnsi="Times New Roman" w:eastAsia="仿宋_GB2312" w:cs="Times New Roman"/>
          <w:sz w:val="32"/>
        </w:rPr>
        <w:t xml:space="preserve"> </w:t>
      </w:r>
    </w:p>
    <w:p w14:paraId="0A75EB51">
      <w:pPr>
        <w:widowControl/>
        <w:adjustRightInd w:val="0"/>
        <w:snapToGrid w:val="0"/>
        <w:spacing w:line="578" w:lineRule="exact"/>
        <w:ind w:firstLine="643" w:firstLineChars="200"/>
        <w:contextualSpacing/>
        <w:jc w:val="left"/>
        <w:rPr>
          <w:rFonts w:hint="eastAsia"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（二）存在问题。</w:t>
      </w:r>
    </w:p>
    <w:p w14:paraId="7DB2C88E">
      <w:pPr>
        <w:widowControl/>
        <w:adjustRightInd w:val="0"/>
        <w:snapToGrid w:val="0"/>
        <w:spacing w:line="578" w:lineRule="exact"/>
        <w:ind w:firstLine="608" w:firstLineChars="200"/>
        <w:contextualSpacing/>
        <w:jc w:val="left"/>
        <w:rPr>
          <w:rFonts w:hint="eastAsia" w:ascii="Times New Roman" w:hAnsi="Times New Roman" w:eastAsia="仿宋_GB2312" w:cs="Times New Roman"/>
          <w:w w:val="95"/>
          <w:kern w:val="0"/>
          <w:sz w:val="32"/>
          <w:szCs w:val="32"/>
        </w:rPr>
      </w:pPr>
      <w:r>
        <w:rPr>
          <w:rFonts w:ascii="Times New Roman" w:hAnsi="Times New Roman" w:eastAsia="仿宋_GB2312" w:cs="Times New Roman"/>
          <w:w w:val="95"/>
          <w:kern w:val="0"/>
          <w:sz w:val="32"/>
          <w:szCs w:val="32"/>
        </w:rPr>
        <w:t>预算执行存在不均衡问题，部分项目支出进度偏缓，资金使用效率未</w:t>
      </w:r>
      <w:r>
        <w:rPr>
          <w:rFonts w:hint="eastAsia" w:eastAsia="仿宋_GB2312" w:cs="Times New Roman"/>
          <w:w w:val="95"/>
          <w:kern w:val="0"/>
          <w:sz w:val="32"/>
          <w:szCs w:val="32"/>
          <w:lang w:eastAsia="zh-CN"/>
        </w:rPr>
        <w:t>达到</w:t>
      </w:r>
      <w:r>
        <w:rPr>
          <w:rFonts w:ascii="Times New Roman" w:hAnsi="Times New Roman" w:eastAsia="仿宋_GB2312" w:cs="Times New Roman"/>
          <w:w w:val="95"/>
          <w:kern w:val="0"/>
          <w:sz w:val="32"/>
          <w:szCs w:val="32"/>
        </w:rPr>
        <w:t>最优；存量资产盘活力度仍需加强，部分低效资产未及时处置，资产盘活率有待提升；预算编制与业务工作衔接不够紧密，部分编制内容细化程度不足，与实际需求存在小幅偏差；采购管理与项目执行协同性不足，个别采购项目流程推进滞后，影响项目整体落地节奏。</w:t>
      </w:r>
    </w:p>
    <w:p w14:paraId="28EFD51A">
      <w:pPr>
        <w:widowControl/>
        <w:adjustRightInd w:val="0"/>
        <w:snapToGrid w:val="0"/>
        <w:spacing w:line="578" w:lineRule="exact"/>
        <w:ind w:firstLine="643" w:firstLineChars="200"/>
        <w:contextualSpacing/>
        <w:jc w:val="left"/>
        <w:rPr>
          <w:rFonts w:hint="eastAsia" w:ascii="Times New Roman" w:hAnsi="Times New Roman" w:eastAsia="仿宋_GB2312" w:cs="Times New Roman"/>
          <w:kern w:val="0"/>
          <w:sz w:val="32"/>
          <w:szCs w:val="32"/>
        </w:rPr>
      </w:pPr>
      <w:r>
        <w:rPr>
          <w:rFonts w:ascii="Times New Roman" w:hAnsi="Times New Roman" w:eastAsia="楷体_GB2312" w:cs="Times New Roman"/>
          <w:b/>
          <w:bCs/>
          <w:color w:val="000000"/>
          <w:kern w:val="0"/>
          <w:sz w:val="32"/>
          <w:szCs w:val="32"/>
          <w:shd w:val="clear" w:color="auto" w:fill="FFFFFF"/>
          <w:lang w:val="zh-CN"/>
        </w:rPr>
        <w:t>（三）改进建议。</w:t>
      </w:r>
    </w:p>
    <w:p w14:paraId="1B6E1938">
      <w:pPr>
        <w:widowControl/>
        <w:adjustRightInd w:val="0"/>
        <w:snapToGrid w:val="0"/>
        <w:spacing w:line="578" w:lineRule="exact"/>
        <w:ind w:firstLine="643" w:firstLineChars="200"/>
        <w:contextualSpacing/>
        <w:jc w:val="left"/>
        <w:rPr>
          <w:rFonts w:ascii="Times New Roman" w:hAnsi="Times New Roman" w:eastAsia="仿宋_GB2312" w:cs="Times New Roman"/>
          <w:kern w:val="0"/>
          <w:sz w:val="32"/>
          <w:szCs w:val="32"/>
        </w:rPr>
      </w:pPr>
      <w:r>
        <w:rPr>
          <w:rFonts w:ascii="Times New Roman" w:hAnsi="Times New Roman" w:eastAsia="仿宋_GB2312" w:cs="Times New Roman"/>
          <w:b/>
          <w:bCs/>
          <w:kern w:val="0"/>
          <w:sz w:val="32"/>
          <w:szCs w:val="32"/>
        </w:rPr>
        <w:t>针对预算执行不均衡问题</w:t>
      </w:r>
      <w:r>
        <w:rPr>
          <w:rFonts w:ascii="Times New Roman" w:hAnsi="Times New Roman" w:eastAsia="仿宋_GB2312" w:cs="Times New Roman"/>
          <w:kern w:val="0"/>
          <w:sz w:val="32"/>
          <w:szCs w:val="32"/>
        </w:rPr>
        <w:t xml:space="preserve">：优化预算支出动态管控机制，建立项目支出月度调度制度，对进度偏缓项目逐一分析原因、制定推进计划，明确责任科室和完成时限；结合工作实际合理调整资金拨付节奏，保障项目资金按需列支，提升资金使用效率。 </w:t>
      </w:r>
    </w:p>
    <w:p w14:paraId="4CB91246">
      <w:pPr>
        <w:widowControl/>
        <w:adjustRightInd w:val="0"/>
        <w:snapToGrid w:val="0"/>
        <w:spacing w:line="578" w:lineRule="exact"/>
        <w:ind w:firstLine="643" w:firstLineChars="200"/>
        <w:contextualSpacing/>
        <w:jc w:val="left"/>
        <w:rPr>
          <w:rFonts w:ascii="Times New Roman" w:hAnsi="Times New Roman" w:eastAsia="仿宋_GB2312" w:cs="Times New Roman"/>
          <w:kern w:val="0"/>
          <w:sz w:val="32"/>
          <w:szCs w:val="32"/>
        </w:rPr>
      </w:pPr>
      <w:r>
        <w:rPr>
          <w:rFonts w:ascii="Times New Roman" w:hAnsi="Times New Roman" w:eastAsia="仿宋_GB2312" w:cs="Times New Roman"/>
          <w:b/>
          <w:bCs/>
          <w:kern w:val="0"/>
          <w:sz w:val="32"/>
          <w:szCs w:val="32"/>
        </w:rPr>
        <w:t>针对存量资产盘活不足问题</w:t>
      </w:r>
      <w:r>
        <w:rPr>
          <w:rFonts w:ascii="Times New Roman" w:hAnsi="Times New Roman" w:eastAsia="仿宋_GB2312" w:cs="Times New Roman"/>
          <w:kern w:val="0"/>
          <w:sz w:val="32"/>
          <w:szCs w:val="32"/>
        </w:rPr>
        <w:t xml:space="preserve">：开展存量资产专项清查，建立低效、闲置资产台账，分类制定盘活方案，通过内部调剂、规范处置、共享共用等方式加快盘活进度；完善资产全生命周期管理，将资产盘活率纳入绩效管理指标，强化考核引导。 </w:t>
      </w:r>
    </w:p>
    <w:p w14:paraId="0A80D60D">
      <w:pPr>
        <w:widowControl/>
        <w:adjustRightInd w:val="0"/>
        <w:snapToGrid w:val="0"/>
        <w:spacing w:line="578" w:lineRule="exact"/>
        <w:ind w:firstLine="643" w:firstLineChars="200"/>
        <w:contextualSpacing/>
        <w:jc w:val="left"/>
        <w:rPr>
          <w:rFonts w:ascii="Times New Roman" w:hAnsi="Times New Roman" w:eastAsia="仿宋_GB2312" w:cs="Times New Roman"/>
          <w:kern w:val="0"/>
          <w:sz w:val="32"/>
          <w:szCs w:val="32"/>
        </w:rPr>
      </w:pPr>
      <w:r>
        <w:rPr>
          <w:rFonts w:ascii="Times New Roman" w:hAnsi="Times New Roman" w:eastAsia="仿宋_GB2312" w:cs="Times New Roman"/>
          <w:b/>
          <w:bCs/>
          <w:kern w:val="0"/>
          <w:sz w:val="32"/>
          <w:szCs w:val="32"/>
        </w:rPr>
        <w:t>针对预算编制与业务衔接不紧密问题</w:t>
      </w:r>
      <w:r>
        <w:rPr>
          <w:rFonts w:ascii="Times New Roman" w:hAnsi="Times New Roman" w:eastAsia="仿宋_GB2312" w:cs="Times New Roman"/>
          <w:kern w:val="0"/>
          <w:sz w:val="32"/>
          <w:szCs w:val="32"/>
        </w:rPr>
        <w:t xml:space="preserve">：深化预算编制精细化管理，提前组织各业务科室梳理年度工作需求，细化项目预算编制内容，明确支出标准和实施节点；建立预算编制与业务工作会商机制，确保预算编制与单位履职、事业发展需求高度契合。 </w:t>
      </w:r>
    </w:p>
    <w:p w14:paraId="1CA8D483">
      <w:pPr>
        <w:widowControl/>
        <w:adjustRightInd w:val="0"/>
        <w:snapToGrid w:val="0"/>
        <w:spacing w:line="578" w:lineRule="exact"/>
        <w:ind w:firstLine="643" w:firstLineChars="200"/>
        <w:contextualSpacing/>
        <w:jc w:val="left"/>
        <w:rPr>
          <w:rFonts w:ascii="Times New Roman" w:hAnsi="Times New Roman" w:eastAsia="黑体" w:cs="Times New Roman"/>
          <w:sz w:val="32"/>
          <w:szCs w:val="32"/>
        </w:rPr>
      </w:pPr>
      <w:r>
        <w:rPr>
          <w:rFonts w:ascii="Times New Roman" w:hAnsi="Times New Roman" w:eastAsia="仿宋_GB2312" w:cs="Times New Roman"/>
          <w:b/>
          <w:bCs/>
          <w:kern w:val="0"/>
          <w:sz w:val="32"/>
          <w:szCs w:val="32"/>
        </w:rPr>
        <w:t>针对采购与项目执行协同性不足问题</w:t>
      </w:r>
      <w:r>
        <w:rPr>
          <w:rFonts w:ascii="Times New Roman" w:hAnsi="Times New Roman" w:eastAsia="仿宋_GB2312" w:cs="Times New Roman"/>
          <w:kern w:val="0"/>
          <w:sz w:val="32"/>
          <w:szCs w:val="32"/>
        </w:rPr>
        <w:t>：建立采购管理与项目执行联动机制，提前谋划采购工作，根据项目实施计划合理安排采购时序；优化采购流程审核环节，提升采购审批效率，加强采购过程跟踪，确保采购结果及时匹配项目执行需求，保障项目按期落地。</w:t>
      </w:r>
    </w:p>
    <w:p w14:paraId="2246E092">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p>
    <w:p w14:paraId="359E6999">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r>
        <w:rPr>
          <w:rFonts w:ascii="Times New Roman" w:hAnsi="Times New Roman" w:eastAsia="方正小标宋简体" w:cs="Times New Roman"/>
          <w:bCs/>
          <w:sz w:val="44"/>
          <w:szCs w:val="44"/>
          <w:shd w:val="clear" w:color="auto" w:fill="FFFFFF"/>
        </w:rPr>
        <w:t>部门预算绩效</w:t>
      </w:r>
      <w:r>
        <w:rPr>
          <w:rFonts w:hint="eastAsia" w:ascii="Times New Roman" w:hAnsi="Times New Roman" w:eastAsia="方正小标宋简体" w:cs="Times New Roman"/>
          <w:bCs/>
          <w:sz w:val="44"/>
          <w:szCs w:val="44"/>
          <w:shd w:val="clear" w:color="auto" w:fill="FFFFFF"/>
        </w:rPr>
        <w:t>自评</w:t>
      </w:r>
      <w:r>
        <w:rPr>
          <w:rFonts w:ascii="Times New Roman" w:hAnsi="Times New Roman" w:eastAsia="方正小标宋简体" w:cs="Times New Roman"/>
          <w:bCs/>
          <w:sz w:val="44"/>
          <w:szCs w:val="44"/>
          <w:shd w:val="clear" w:color="auto" w:fill="FFFFFF"/>
        </w:rPr>
        <w:t>报告</w:t>
      </w:r>
    </w:p>
    <w:p w14:paraId="68DD713A">
      <w:pPr>
        <w:widowControl/>
        <w:spacing w:line="578" w:lineRule="exact"/>
        <w:contextualSpacing/>
        <w:jc w:val="center"/>
        <w:outlineLvl w:val="3"/>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w:t>
      </w:r>
      <w:r>
        <w:rPr>
          <w:rFonts w:hint="eastAsia" w:ascii="Times New Roman" w:hAnsi="Times New Roman" w:eastAsia="仿宋_GB2312" w:cs="Times New Roman"/>
          <w:sz w:val="32"/>
          <w:szCs w:val="32"/>
          <w:shd w:val="clear" w:color="auto" w:fill="FFFFFF"/>
          <w:lang w:val="en-US" w:eastAsia="zh-CN"/>
        </w:rPr>
        <w:t>攀枝花市土地储备中心</w:t>
      </w:r>
      <w:r>
        <w:rPr>
          <w:rFonts w:ascii="Times New Roman" w:hAnsi="Times New Roman" w:eastAsia="仿宋_GB2312" w:cs="Times New Roman"/>
          <w:sz w:val="32"/>
          <w:szCs w:val="32"/>
          <w:shd w:val="clear" w:color="auto" w:fill="FFFFFF"/>
        </w:rPr>
        <w:t>）</w:t>
      </w:r>
    </w:p>
    <w:p w14:paraId="44250BE1">
      <w:pPr>
        <w:keepNext w:val="0"/>
        <w:keepLines w:val="0"/>
        <w:pageBreakBefore w:val="0"/>
        <w:widowControl/>
        <w:kinsoku/>
        <w:wordWrap/>
        <w:overflowPunct/>
        <w:topLinePunct w:val="0"/>
        <w:autoSpaceDN/>
        <w:bidi w:val="0"/>
        <w:adjustRightInd w:val="0"/>
        <w:snapToGrid w:val="0"/>
        <w:spacing w:line="600" w:lineRule="exact"/>
        <w:ind w:firstLine="480" w:firstLineChars="200"/>
        <w:contextualSpacing/>
        <w:jc w:val="left"/>
        <w:textAlignment w:val="auto"/>
        <w:rPr>
          <w:rFonts w:hint="default" w:ascii="Times New Roman" w:hAnsi="Times New Roman" w:eastAsia="黑体" w:cs="Times New Roman"/>
          <w:color w:val="000000"/>
          <w:kern w:val="0"/>
          <w:sz w:val="24"/>
          <w:szCs w:val="32"/>
          <w:shd w:val="clear" w:color="auto" w:fill="FFFFFF"/>
        </w:rPr>
      </w:pPr>
    </w:p>
    <w:p w14:paraId="5B896F0D">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一、单位基本情况</w:t>
      </w:r>
    </w:p>
    <w:p w14:paraId="54BCD8B8">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left"/>
        <w:textAlignment w:val="auto"/>
        <w:rPr>
          <w:rFonts w:hint="default" w:ascii="Times New Roman" w:hAnsi="Times New Roman" w:cs="Times New Roman"/>
          <w:szCs w:val="32"/>
        </w:rPr>
      </w:pPr>
      <w:r>
        <w:rPr>
          <w:rFonts w:hint="default" w:ascii="Times New Roman" w:hAnsi="Times New Roman" w:eastAsia="楷体_GB2312" w:cs="Times New Roman"/>
          <w:b/>
          <w:sz w:val="32"/>
          <w:szCs w:val="32"/>
          <w:lang w:val="zh-CN"/>
        </w:rPr>
        <w:t>（一）机构组成。</w:t>
      </w:r>
      <w:r>
        <w:rPr>
          <w:rFonts w:hint="default" w:ascii="Times New Roman" w:hAnsi="Times New Roman" w:eastAsia="仿宋_GB2312" w:cs="Times New Roman"/>
          <w:sz w:val="32"/>
          <w:szCs w:val="32"/>
          <w:lang w:val="zh-CN"/>
        </w:rPr>
        <w:t>攀枝花市土地储备中心根据工作需要及单位实际情况共设置5个科室，分别为办公室、储备科、统征科、工程科、资金科。</w:t>
      </w:r>
    </w:p>
    <w:p w14:paraId="135CA5E4">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sz w:val="32"/>
          <w:szCs w:val="32"/>
          <w:lang w:val="zh-CN"/>
        </w:rPr>
        <w:t>（二）机构职能。</w:t>
      </w:r>
      <w:r>
        <w:rPr>
          <w:rFonts w:hint="default" w:ascii="Times New Roman" w:hAnsi="Times New Roman" w:eastAsia="仿宋_GB2312" w:cs="Times New Roman"/>
          <w:sz w:val="32"/>
          <w:szCs w:val="32"/>
          <w:lang w:val="zh-CN"/>
        </w:rPr>
        <w:t>攀枝花市土地储备中心是由中共攀枝花市委机构编制委员会批准设立（攀编发〔2006〕5号），为攀枝花市国土资源局所属公益一类事业单位。主要职责：（1）根据土地利用总体规划和城市规划以及市场需求情况，草拟土地储备年度计划。（2）对拟收购土地进行市场调查分析，拟制土地收购方案。（3）</w:t>
      </w:r>
      <w:r>
        <w:rPr>
          <w:rFonts w:hint="eastAsia" w:eastAsia="仿宋_GB2312" w:cs="Times New Roman"/>
          <w:sz w:val="32"/>
          <w:szCs w:val="32"/>
          <w:lang w:val="zh-CN"/>
        </w:rPr>
        <w:t>拟订</w:t>
      </w:r>
      <w:r>
        <w:rPr>
          <w:rFonts w:hint="default" w:ascii="Times New Roman" w:hAnsi="Times New Roman" w:eastAsia="仿宋_GB2312" w:cs="Times New Roman"/>
          <w:sz w:val="32"/>
          <w:szCs w:val="32"/>
          <w:lang w:val="zh-CN"/>
        </w:rPr>
        <w:t>储备土地开发整理方案，组织工程招投标和工程进度，质量监督。（4）按规定管理依法收回的违法用地、闲置荒芜土地、无主地和置换土地，并纳入储备土地范围，并对储备土地进行管理。（5）对城市建成区内成片旧城改</w:t>
      </w:r>
      <w:r>
        <w:rPr>
          <w:rFonts w:hint="eastAsia" w:eastAsia="仿宋_GB2312" w:cs="Times New Roman"/>
          <w:sz w:val="32"/>
          <w:szCs w:val="32"/>
          <w:lang w:val="zh-CN"/>
        </w:rPr>
        <w:t>造地</w:t>
      </w:r>
      <w:r>
        <w:rPr>
          <w:rFonts w:hint="default" w:ascii="Times New Roman" w:hAnsi="Times New Roman" w:eastAsia="仿宋_GB2312" w:cs="Times New Roman"/>
          <w:sz w:val="32"/>
          <w:szCs w:val="32"/>
          <w:lang w:val="zh-CN"/>
        </w:rPr>
        <w:t>块进行开发、加工整理。（6）严格执行土地收购储备资金管理规定，多渠道筹措土地收购储备资金。（7）协助规划部门做好储备土地规划方案的优化，拟制储备土地营销方案，做好储备土地招商引资和投入市场的前期准备工作。（8）完成上级部门交办的其他工作。主管部门：攀枝花市自然资源和规划局。</w:t>
      </w:r>
    </w:p>
    <w:p w14:paraId="5F224583">
      <w:pPr>
        <w:keepNext w:val="0"/>
        <w:keepLines w:val="0"/>
        <w:pageBreakBefore w:val="0"/>
        <w:kinsoku/>
        <w:wordWrap/>
        <w:overflowPunct/>
        <w:topLinePunct w:val="0"/>
        <w:autoSpaceDN/>
        <w:bidi w:val="0"/>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shd w:val="clear" w:color="auto" w:fill="FFFFFF"/>
          <w:lang w:val="zh-CN"/>
        </w:rPr>
        <w:t>（三）人员概况。</w:t>
      </w:r>
      <w:r>
        <w:rPr>
          <w:rFonts w:hint="default" w:ascii="Times New Roman" w:hAnsi="Times New Roman" w:eastAsia="仿宋_GB2312" w:cs="Times New Roman"/>
          <w:sz w:val="32"/>
          <w:szCs w:val="32"/>
        </w:rPr>
        <w:t>截至2025年末，攀枝花市土地储备中心实有在编人员1</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名，全部为事业编制。</w:t>
      </w:r>
    </w:p>
    <w:p w14:paraId="6DDCC643">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二、</w:t>
      </w:r>
      <w:r>
        <w:rPr>
          <w:rFonts w:hint="default" w:ascii="Times New Roman" w:hAnsi="Times New Roman" w:eastAsia="黑体" w:cs="Times New Roman"/>
          <w:color w:val="000000"/>
          <w:kern w:val="0"/>
          <w:sz w:val="32"/>
          <w:szCs w:val="32"/>
          <w:shd w:val="clear" w:color="auto" w:fill="FFFFFF"/>
          <w:lang w:val="en-US" w:eastAsia="zh-CN"/>
        </w:rPr>
        <w:t>单位</w:t>
      </w:r>
      <w:r>
        <w:rPr>
          <w:rFonts w:hint="default" w:ascii="Times New Roman" w:hAnsi="Times New Roman" w:eastAsia="黑体" w:cs="Times New Roman"/>
          <w:color w:val="000000"/>
          <w:kern w:val="0"/>
          <w:sz w:val="32"/>
          <w:szCs w:val="32"/>
          <w:shd w:val="clear" w:color="auto" w:fill="FFFFFF"/>
          <w:lang w:val="zh-CN"/>
        </w:rPr>
        <w:t>资金收支情况</w:t>
      </w:r>
    </w:p>
    <w:p w14:paraId="46CC36B0">
      <w:pPr>
        <w:keepNext w:val="0"/>
        <w:keepLines w:val="0"/>
        <w:pageBreakBefore w:val="0"/>
        <w:widowControl w:val="0"/>
        <w:kinsoku/>
        <w:wordWrap/>
        <w:overflowPunct/>
        <w:topLinePunct w:val="0"/>
        <w:autoSpaceDN/>
        <w:bidi w:val="0"/>
        <w:spacing w:line="600" w:lineRule="exact"/>
        <w:ind w:firstLine="643" w:firstLineChars="200"/>
        <w:jc w:val="both"/>
        <w:textAlignment w:val="auto"/>
        <w:outlineLvl w:val="9"/>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shd w:val="clear" w:color="auto" w:fill="FFFFFF"/>
          <w:lang w:val="zh-CN" w:eastAsia="zh-CN" w:bidi="ar-SA"/>
        </w:rPr>
        <w:t>（一）收入情况。</w:t>
      </w:r>
      <w:r>
        <w:rPr>
          <w:rFonts w:hint="default" w:ascii="Times New Roman" w:hAnsi="Times New Roman" w:eastAsia="仿宋_GB2312" w:cs="Times New Roman"/>
          <w:color w:val="auto"/>
          <w:kern w:val="2"/>
          <w:sz w:val="32"/>
          <w:szCs w:val="32"/>
          <w:highlight w:val="none"/>
          <w:lang w:val="en-US" w:eastAsia="zh-CN" w:bidi="ar-SA"/>
        </w:rPr>
        <w:t>2025年度本年收入合计</w:t>
      </w:r>
      <w:r>
        <w:rPr>
          <w:rFonts w:hint="default" w:ascii="Times New Roman" w:hAnsi="Times New Roman" w:eastAsia="仿宋_GB2312" w:cs="Times New Roman"/>
          <w:kern w:val="2"/>
          <w:sz w:val="32"/>
          <w:szCs w:val="32"/>
          <w:lang w:val="en-US" w:eastAsia="zh-CN" w:bidi="ar-SA"/>
        </w:rPr>
        <w:t>40667.14</w:t>
      </w:r>
      <w:r>
        <w:rPr>
          <w:rFonts w:hint="default" w:ascii="Times New Roman" w:hAnsi="Times New Roman" w:eastAsia="仿宋_GB2312" w:cs="Times New Roman"/>
          <w:color w:val="auto"/>
          <w:kern w:val="2"/>
          <w:sz w:val="32"/>
          <w:szCs w:val="32"/>
          <w:highlight w:val="none"/>
          <w:lang w:val="en-US" w:eastAsia="zh-CN" w:bidi="ar-SA"/>
        </w:rPr>
        <w:t>万元，其中：一般公共预算财政拨款收入</w:t>
      </w:r>
      <w:r>
        <w:rPr>
          <w:rFonts w:hint="default" w:ascii="Times New Roman" w:hAnsi="Times New Roman" w:eastAsia="仿宋_GB2312" w:cs="Times New Roman"/>
          <w:kern w:val="2"/>
          <w:sz w:val="32"/>
          <w:szCs w:val="32"/>
          <w:lang w:val="en-US" w:eastAsia="zh-CN" w:bidi="ar-SA"/>
        </w:rPr>
        <w:t>40397.3</w:t>
      </w:r>
      <w:r>
        <w:rPr>
          <w:rFonts w:hint="default" w:ascii="Times New Roman" w:hAnsi="Times New Roman" w:eastAsia="仿宋_GB2312" w:cs="Times New Roman"/>
          <w:color w:val="auto"/>
          <w:kern w:val="2"/>
          <w:sz w:val="32"/>
          <w:szCs w:val="32"/>
          <w:highlight w:val="none"/>
          <w:lang w:val="en-US" w:eastAsia="zh-CN" w:bidi="ar-SA"/>
        </w:rPr>
        <w:t>万元，占</w:t>
      </w:r>
      <w:r>
        <w:rPr>
          <w:rFonts w:hint="default" w:ascii="Times New Roman" w:hAnsi="Times New Roman" w:eastAsia="仿宋_GB2312" w:cs="Times New Roman"/>
          <w:kern w:val="2"/>
          <w:sz w:val="32"/>
          <w:szCs w:val="32"/>
          <w:lang w:val="en-US" w:eastAsia="zh-CN" w:bidi="ar-SA"/>
        </w:rPr>
        <w:t>99.33</w:t>
      </w:r>
      <w:r>
        <w:rPr>
          <w:rFonts w:hint="default" w:ascii="Times New Roman" w:hAnsi="Times New Roman" w:eastAsia="仿宋_GB2312" w:cs="Times New Roman"/>
          <w:color w:val="auto"/>
          <w:kern w:val="2"/>
          <w:sz w:val="32"/>
          <w:szCs w:val="32"/>
          <w:highlight w:val="none"/>
          <w:lang w:val="en-US" w:eastAsia="zh-CN" w:bidi="ar-SA"/>
        </w:rPr>
        <w:t>%；政府性基金预算财政拨款收入</w:t>
      </w:r>
      <w:r>
        <w:rPr>
          <w:rFonts w:hint="default" w:ascii="Times New Roman" w:hAnsi="Times New Roman" w:eastAsia="仿宋_GB2312" w:cs="Times New Roman"/>
          <w:kern w:val="2"/>
          <w:sz w:val="32"/>
          <w:szCs w:val="32"/>
          <w:lang w:val="en-US" w:eastAsia="zh-CN" w:bidi="ar-SA"/>
        </w:rPr>
        <w:t>269.84</w:t>
      </w:r>
      <w:r>
        <w:rPr>
          <w:rFonts w:hint="default" w:ascii="Times New Roman" w:hAnsi="Times New Roman" w:eastAsia="仿宋_GB2312" w:cs="Times New Roman"/>
          <w:color w:val="auto"/>
          <w:kern w:val="2"/>
          <w:sz w:val="32"/>
          <w:szCs w:val="32"/>
          <w:highlight w:val="none"/>
          <w:lang w:val="en-US" w:eastAsia="zh-CN" w:bidi="ar-SA"/>
        </w:rPr>
        <w:t>万元，占</w:t>
      </w:r>
      <w:r>
        <w:rPr>
          <w:rFonts w:hint="default" w:ascii="Times New Roman" w:hAnsi="Times New Roman" w:eastAsia="仿宋_GB2312" w:cs="Times New Roman"/>
          <w:kern w:val="2"/>
          <w:sz w:val="32"/>
          <w:szCs w:val="32"/>
          <w:lang w:val="en-US" w:eastAsia="zh-CN" w:bidi="ar-SA"/>
        </w:rPr>
        <w:t>0.67</w:t>
      </w:r>
      <w:r>
        <w:rPr>
          <w:rFonts w:hint="default" w:ascii="Times New Roman" w:hAnsi="Times New Roman" w:eastAsia="仿宋_GB2312" w:cs="Times New Roman"/>
          <w:color w:val="auto"/>
          <w:kern w:val="2"/>
          <w:sz w:val="32"/>
          <w:szCs w:val="32"/>
          <w:highlight w:val="none"/>
          <w:lang w:val="en-US" w:eastAsia="zh-CN" w:bidi="ar-SA"/>
        </w:rPr>
        <w:t>%。</w:t>
      </w:r>
    </w:p>
    <w:p w14:paraId="536675AA">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bCs/>
          <w:color w:val="000000"/>
          <w:kern w:val="0"/>
          <w:sz w:val="32"/>
          <w:szCs w:val="32"/>
          <w:shd w:val="clear" w:color="auto" w:fill="FFFFFF"/>
          <w:lang w:val="zh-CN"/>
        </w:rPr>
        <w:t>（二）支出情况。</w:t>
      </w:r>
      <w:r>
        <w:rPr>
          <w:rFonts w:hint="default" w:ascii="Times New Roman" w:hAnsi="Times New Roman" w:eastAsia="仿宋_GB2312" w:cs="Times New Roman"/>
          <w:color w:val="auto"/>
          <w:kern w:val="2"/>
          <w:sz w:val="32"/>
          <w:szCs w:val="32"/>
          <w:highlight w:val="none"/>
          <w:lang w:val="zh-CN" w:eastAsia="zh-CN" w:bidi="ar-SA"/>
        </w:rPr>
        <w:t>2025年度本年支出合计40667.14万元，其中：基本支出351.31万元，占0.86%；项目支出40315.83万元，占99.14</w:t>
      </w:r>
      <w:r>
        <w:rPr>
          <w:rFonts w:hint="default" w:ascii="Times New Roman" w:hAnsi="Times New Roman" w:eastAsia="仿宋_GB2312" w:cs="Times New Roman"/>
          <w:color w:val="auto"/>
          <w:kern w:val="2"/>
          <w:sz w:val="32"/>
          <w:szCs w:val="32"/>
          <w:highlight w:val="none"/>
          <w:lang w:val="en-US" w:eastAsia="zh-CN" w:bidi="ar-SA"/>
        </w:rPr>
        <w:t>%。</w:t>
      </w:r>
    </w:p>
    <w:p w14:paraId="1ABF090E">
      <w:pPr>
        <w:keepNext w:val="0"/>
        <w:keepLines w:val="0"/>
        <w:pageBreakBefore w:val="0"/>
        <w:kinsoku/>
        <w:wordWrap/>
        <w:overflowPunct/>
        <w:topLinePunct w:val="0"/>
        <w:autoSpaceDN/>
        <w:bidi w:val="0"/>
        <w:spacing w:line="600" w:lineRule="exact"/>
        <w:ind w:firstLine="643"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color w:val="000000"/>
          <w:kern w:val="0"/>
          <w:sz w:val="32"/>
          <w:szCs w:val="32"/>
          <w:shd w:val="clear" w:color="auto" w:fill="FFFFFF"/>
          <w:lang w:val="zh-CN"/>
        </w:rPr>
        <w:t>（三）结余分配和结转结余情况。</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年年初结转和结余27890.60万元，年末结转和结余27890.</w:t>
      </w:r>
      <w:r>
        <w:rPr>
          <w:rFonts w:hint="default" w:ascii="Times New Roman" w:hAnsi="Times New Roman" w:eastAsia="仿宋_GB2312" w:cs="Times New Roman"/>
          <w:sz w:val="32"/>
          <w:szCs w:val="32"/>
          <w:lang w:eastAsia="zh-CN"/>
        </w:rPr>
        <w:t>60</w:t>
      </w:r>
      <w:r>
        <w:rPr>
          <w:rFonts w:hint="default" w:ascii="Times New Roman" w:hAnsi="Times New Roman" w:eastAsia="仿宋_GB2312" w:cs="Times New Roman"/>
          <w:sz w:val="32"/>
          <w:szCs w:val="32"/>
        </w:rPr>
        <w:t>万元。</w:t>
      </w:r>
    </w:p>
    <w:p w14:paraId="45E69AF0">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三、</w:t>
      </w:r>
      <w:r>
        <w:rPr>
          <w:rFonts w:hint="default" w:ascii="Times New Roman" w:hAnsi="Times New Roman" w:eastAsia="黑体" w:cs="Times New Roman"/>
          <w:color w:val="000000"/>
          <w:kern w:val="0"/>
          <w:sz w:val="32"/>
          <w:szCs w:val="32"/>
          <w:shd w:val="clear" w:color="auto" w:fill="FFFFFF"/>
          <w:lang w:val="en-US" w:eastAsia="zh-CN"/>
        </w:rPr>
        <w:t>单位</w:t>
      </w:r>
      <w:r>
        <w:rPr>
          <w:rFonts w:hint="default" w:ascii="Times New Roman" w:hAnsi="Times New Roman" w:eastAsia="黑体" w:cs="Times New Roman"/>
          <w:color w:val="000000"/>
          <w:kern w:val="0"/>
          <w:sz w:val="32"/>
          <w:szCs w:val="32"/>
          <w:shd w:val="clear" w:color="auto" w:fill="FFFFFF"/>
          <w:lang w:val="zh-CN"/>
        </w:rPr>
        <w:t>预算绩效分析</w:t>
      </w:r>
    </w:p>
    <w:p w14:paraId="69C22518">
      <w:pPr>
        <w:keepNext w:val="0"/>
        <w:keepLines w:val="0"/>
        <w:pageBreakBefore w:val="0"/>
        <w:kinsoku/>
        <w:wordWrap/>
        <w:overflowPunct/>
        <w:topLinePunct w:val="0"/>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bCs/>
          <w:color w:val="000000"/>
          <w:kern w:val="0"/>
          <w:sz w:val="32"/>
          <w:szCs w:val="32"/>
          <w:shd w:val="clear" w:color="auto" w:fill="FFFFFF"/>
          <w:lang w:val="zh-CN"/>
        </w:rPr>
        <w:t>（一）</w:t>
      </w:r>
      <w:r>
        <w:rPr>
          <w:rFonts w:hint="default" w:ascii="Times New Roman" w:hAnsi="Times New Roman" w:eastAsia="楷体_GB2312" w:cs="Times New Roman"/>
          <w:b/>
          <w:bCs/>
          <w:color w:val="000000"/>
          <w:kern w:val="0"/>
          <w:sz w:val="32"/>
          <w:szCs w:val="32"/>
          <w:shd w:val="clear" w:color="auto" w:fill="FFFFFF"/>
          <w:lang w:val="en-US" w:eastAsia="zh-CN"/>
        </w:rPr>
        <w:t>单位</w:t>
      </w:r>
      <w:r>
        <w:rPr>
          <w:rFonts w:hint="default" w:ascii="Times New Roman" w:hAnsi="Times New Roman" w:eastAsia="楷体_GB2312" w:cs="Times New Roman"/>
          <w:b/>
          <w:bCs/>
          <w:color w:val="000000"/>
          <w:kern w:val="0"/>
          <w:sz w:val="32"/>
          <w:szCs w:val="32"/>
          <w:shd w:val="clear" w:color="auto" w:fill="FFFFFF"/>
          <w:lang w:val="zh-CN"/>
        </w:rPr>
        <w:t>预算总体绩效分析。</w:t>
      </w:r>
    </w:p>
    <w:p w14:paraId="337C29C9">
      <w:pPr>
        <w:keepNext w:val="0"/>
        <w:keepLines w:val="0"/>
        <w:pageBreakBefore w:val="0"/>
        <w:kinsoku/>
        <w:wordWrap/>
        <w:overflowPunct/>
        <w:topLinePunct w:val="0"/>
        <w:autoSpaceDN/>
        <w:bidi w:val="0"/>
        <w:snapToGrid w:val="0"/>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lang w:val="zh-CN"/>
        </w:rPr>
        <w:t>履职效能。</w:t>
      </w:r>
      <w:r>
        <w:rPr>
          <w:rFonts w:hint="default" w:ascii="Times New Roman" w:hAnsi="Times New Roman" w:eastAsia="仿宋_GB2312" w:cs="Times New Roman"/>
          <w:sz w:val="32"/>
          <w:szCs w:val="32"/>
        </w:rPr>
        <w:t>2025年以来工作开展情况如下：</w:t>
      </w:r>
    </w:p>
    <w:p w14:paraId="2AAA38C3">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一是专项债券与土地储备管理成效显著</w:t>
      </w:r>
    </w:p>
    <w:p w14:paraId="40F2AE94">
      <w:pPr>
        <w:keepNext w:val="0"/>
        <w:keepLines w:val="0"/>
        <w:pageBreakBefore w:val="0"/>
        <w:numPr>
          <w:ilvl w:val="0"/>
          <w:numId w:val="4"/>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项债券推进：完成6个拟使用专项债券的土地储备项目入库，推动4个项目发行专项债券1.35亿元；组织各县（区）、国家钒钛高新区土地储备机构开展2026年度第1批次债券项目申报，收集8个项目入库需求报市政府审核批准并录入财政穿透式债务系统，目前5个项目已通过省级联评联审。</w:t>
      </w:r>
    </w:p>
    <w:p w14:paraId="48F42189">
      <w:pPr>
        <w:keepNext w:val="0"/>
        <w:keepLines w:val="0"/>
        <w:pageBreakBefore w:val="0"/>
        <w:numPr>
          <w:ilvl w:val="0"/>
          <w:numId w:val="4"/>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储备土地管理：按《攀枝花市土地储备中心2025年储备土地安全检查工作方案》，每季度对市级储备土地及地面资产的地质灾害、消防、森林防灭火等安全隐患开展全覆盖检查；与西区土地储备中心完成“文化岛”四期储备土地移交管护协议签订，并函告督促将租金缴入市级财政；配合完成三区、国家钒钛高新区拟出让土地涉及市级储备土地的产权注销；阶段性完成未确定使用权人国有建设用地（储备土地）资产专项清查。</w:t>
      </w:r>
    </w:p>
    <w:p w14:paraId="0A53D429">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二是统征遗留问题与信访维稳扎实处置</w:t>
      </w:r>
    </w:p>
    <w:p w14:paraId="746CD76C">
      <w:pPr>
        <w:keepNext w:val="0"/>
        <w:keepLines w:val="0"/>
        <w:pageBreakBefore w:val="0"/>
        <w:numPr>
          <w:ilvl w:val="0"/>
          <w:numId w:val="5"/>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遗留问题化解：完成凤凰乡情苑11＃楼房屋安全性鉴定、房产测绘，目前该楼消防改造工程进入财政投资评审；经与市不动产登记中心、东</w:t>
      </w:r>
      <w:r>
        <w:rPr>
          <w:rFonts w:hint="eastAsia" w:eastAsia="仿宋_GB2312" w:cs="Times New Roman"/>
          <w:sz w:val="32"/>
          <w:szCs w:val="32"/>
          <w:lang w:eastAsia="zh-CN"/>
        </w:rPr>
        <w:t>区委政法委</w:t>
      </w:r>
      <w:r>
        <w:rPr>
          <w:rFonts w:hint="default" w:ascii="Times New Roman" w:hAnsi="Times New Roman" w:eastAsia="仿宋_GB2312" w:cs="Times New Roman"/>
          <w:sz w:val="32"/>
          <w:szCs w:val="32"/>
        </w:rPr>
        <w:t>、凤凰社区居委会对接，理清联谊大厦1＃楼产权办理思路，待铂金大厦产权分配及不动产权办理完成后启动。</w:t>
      </w:r>
    </w:p>
    <w:p w14:paraId="7D8C882E">
      <w:pPr>
        <w:keepNext w:val="0"/>
        <w:keepLines w:val="0"/>
        <w:pageBreakBefore w:val="0"/>
        <w:numPr>
          <w:ilvl w:val="0"/>
          <w:numId w:val="5"/>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信访与信息公开：按月向“有事找纪检”工作领导小组办公室报告凤凰社区安置房房产证办理情况；完成“12345”便民服务平台转交的8件服务单回复；完成闵登伟反映金华小区老熊箐社征地安置事项调查回复；代拟《政府信息公开告知书》（攀自然资公开告知〔2025〕24号），按程序完成信息公开。</w:t>
      </w:r>
    </w:p>
    <w:p w14:paraId="7D55C010">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sz w:val="32"/>
          <w:szCs w:val="32"/>
        </w:rPr>
        <w:t>三是</w:t>
      </w:r>
      <w:r>
        <w:rPr>
          <w:rFonts w:hint="default" w:ascii="Times New Roman" w:hAnsi="Times New Roman" w:eastAsia="仿宋_GB2312" w:cs="Times New Roman"/>
          <w:sz w:val="32"/>
          <w:szCs w:val="32"/>
        </w:rPr>
        <w:t>依据市政府对《攀枝花市财政局 攀枝花市机关事务服务中心关于对市级行政事业单位闲置低效国有资产资源盘活利用处置的请示》（攀财政〔2025〕92号）（以下简称请示）的批示意见，在2025年11月底前，我中心需要将西贵金沙、锦绣豪庭小区66套经济适用房协议转让给西区人民政府。转让前，由市自然资源和规划局委托中介机构对西贵金沙、锦绣豪庭小区66套经济适用房进行资产评估，以评估价为基础，商西区人民政府联合向市政府请示。</w:t>
      </w:r>
    </w:p>
    <w:p w14:paraId="18DFE272">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四是资金管理规范高效</w:t>
      </w:r>
    </w:p>
    <w:p w14:paraId="32A9D3C4">
      <w:pPr>
        <w:keepNext w:val="0"/>
        <w:keepLines w:val="0"/>
        <w:pageBreakBefore w:val="0"/>
        <w:numPr>
          <w:ilvl w:val="0"/>
          <w:numId w:val="6"/>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项资金保障：2025年红格南矿征地补偿安置市级资金收支情况：一是四川省钒钛产业投资发展有限公司向市级财政缴入红格南钒钛磁铁矿开发建设用（征）地补偿安置费缴存非税收入5亿元。二是按照《盐边县红格南钒钛磁铁矿项目用（征）地补偿安置费缴存使用管理协议》，根据盐边县资金需求及市财政资金安排，向盐边县政府拨付红格南钒钛磁铁矿开发建设用（征）地补偿安置市级资金4亿元。</w:t>
      </w:r>
    </w:p>
    <w:p w14:paraId="428F3503">
      <w:pPr>
        <w:keepNext w:val="0"/>
        <w:keepLines w:val="0"/>
        <w:pageBreakBefore w:val="0"/>
        <w:numPr>
          <w:ilvl w:val="0"/>
          <w:numId w:val="6"/>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资金争取：一是为解决凤凰小区历史遗留问题，积极争取解决凤凰小区乡情苑11号安置住宅楼遗留问题资金50万元，为后续工作开展提供资金保障。二是按照攀枝花市清理拖欠企业账款工作安排，有序开展清欠台账梳理工作，争取市级清欠资金278.05万元，完成10笔欠款清偿工作。</w:t>
      </w:r>
    </w:p>
    <w:p w14:paraId="435505F4">
      <w:pPr>
        <w:keepNext w:val="0"/>
        <w:keepLines w:val="0"/>
        <w:pageBreakBefore w:val="0"/>
        <w:numPr>
          <w:ilvl w:val="0"/>
          <w:numId w:val="6"/>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财务专项工作：完成2024年度单位财务决算报告、行政事业性国有资产报告、政府财务报告和内控报告编制上报；完成2025年度单位预算公开、市本级预算绩效自评、代管资金清查等工作。</w:t>
      </w:r>
    </w:p>
    <w:p w14:paraId="4AEFCD4D">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五是办公室综合管理保障有力</w:t>
      </w:r>
    </w:p>
    <w:p w14:paraId="36853F77">
      <w:pPr>
        <w:keepNext w:val="0"/>
        <w:keepLines w:val="0"/>
        <w:pageBreakBefore w:val="0"/>
        <w:numPr>
          <w:ilvl w:val="0"/>
          <w:numId w:val="7"/>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人事劳资与办文办会：完成月度工资核算、五险二金缴纳、保险基数调整、绩效工资计算、薪级工资增加、年金做实、劳动工资统计、基金填报、编制系统清理、工资年报、退休补助计算等工作；2025年归档文件74份，其中组织中心例会24次、主任办公会10次，印发通知2份、请示9份、函19份；完成领导临时交办的汇报材料、会议讲话、总结等文稿撰写。</w:t>
      </w:r>
    </w:p>
    <w:p w14:paraId="24347584">
      <w:pPr>
        <w:keepNext w:val="0"/>
        <w:keepLines w:val="0"/>
        <w:pageBreakBefore w:val="0"/>
        <w:numPr>
          <w:ilvl w:val="0"/>
          <w:numId w:val="7"/>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重点事项跟踪：专项跟踪办公楼诉讼</w:t>
      </w:r>
      <w:r>
        <w:rPr>
          <w:rFonts w:hint="eastAsia" w:ascii="Times New Roman" w:hAnsi="Times New Roman" w:eastAsia="仿宋_GB2312" w:cs="Times New Roman"/>
          <w:sz w:val="32"/>
          <w:szCs w:val="32"/>
          <w:lang w:eastAsia="zh-CN"/>
        </w:rPr>
        <w:t>案件</w:t>
      </w:r>
      <w:r>
        <w:rPr>
          <w:rFonts w:hint="default" w:ascii="Times New Roman" w:hAnsi="Times New Roman" w:eastAsia="仿宋_GB2312" w:cs="Times New Roman"/>
          <w:sz w:val="32"/>
          <w:szCs w:val="32"/>
        </w:rPr>
        <w:t>执行，截至目前，东区法院已陆续出具裁决和判决，至少1套住房、3个车位、7万元车位款项具备执行条件。</w:t>
      </w:r>
    </w:p>
    <w:p w14:paraId="13481F0B">
      <w:pPr>
        <w:keepNext w:val="0"/>
        <w:keepLines w:val="0"/>
        <w:pageBreakBefore w:val="0"/>
        <w:numPr>
          <w:ilvl w:val="0"/>
          <w:numId w:val="7"/>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市局交办任务：完成2025攀枝花土地发布会承办工作；完成“花城土地云”小程序运营及关停申报；参与全市建设用地批次线上联审、政务信息系统清查等工作。</w:t>
      </w:r>
    </w:p>
    <w:p w14:paraId="2578D3B8">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六是工程结算与清欠工作</w:t>
      </w:r>
    </w:p>
    <w:p w14:paraId="5D4559FA">
      <w:pPr>
        <w:keepNext w:val="0"/>
        <w:keepLines w:val="0"/>
        <w:pageBreakBefore w:val="0"/>
        <w:kinsoku/>
        <w:wordWrap/>
        <w:overflowPunct/>
        <w:topLinePunct w:val="0"/>
        <w:autoSpaceDN/>
        <w:bidi w:val="0"/>
        <w:snapToGrid w:val="0"/>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完成炳三区二期道路工程O线延长线、炳二区四号线次干路工程（一期）、攀枝花市实验学校北校门和完善周边市政设施建设项目待摊费用编制，待会审后提请局党组会审议；完成中心及市土地开发有限责任公司组织实施的“炳二区主干路A标段”等10个项目清欠，清欠金额278.05万元。</w:t>
      </w:r>
    </w:p>
    <w:p w14:paraId="3F2C25CC">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七是2025年度工作亮点</w:t>
      </w:r>
    </w:p>
    <w:p w14:paraId="2D071A14">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土地推介工作荣获各界广泛认可及市领导肯定。2025攀枝花城市价值暨土地资源发布会于9月25日圆满落幕，作为承办单位核心力量，市土储中心在市局领导下，高标准完成组织筹备、资源推介等重点工作，获领导肯定与各界广泛认可。在筹备阶段，中心通过细化6大环节流程，协调市财政局、住建局等多部门联动，对接40余家开发企业、19家媒体及自媒体直播平台，实现参会主体全覆盖；本次发布会推出的2821.62亩优质地块获企业高度关注。范继跃市长作出“很好！要到周边去，到目标城市去推荐”的肯定批示，对本次发布会组织筹备及成效高度认可。</w:t>
      </w:r>
    </w:p>
    <w:p w14:paraId="3628C320">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实现红格南钒钛磁铁矿开发建设用（征）地补偿安置资金“零差错、零延误”。2025年，中心严格执行《攀枝花市自然资源和规划局红格南矿用（征）地补偿安置市级资金收支管理规定》，实现缴存红格南钒钛磁铁矿开发建设用（征）地补偿安置费非税收入5亿元，拨付红格南钒钛磁铁矿开发建设用（征）地补偿安置市级资金4亿元。自2024年6月启动以来，中心累计办理缴存非税收入9亿元，拨付资金4亿元。中心作为资金收支工作实施单位，严格规范资金收支、精准高效落实拨付，实现资金保障“零差错、零延误”，为项目顺利推进筑牢坚实财务根基。中心精准对接盐边县资金需求，第一时间向市财政局申请资金，确保资金计划科学合理，限时完成4亿元资金拨付工作，以精细化财务工作为红格南钒钛磁铁矿开发建设提供持续稳定的资金支撑。</w:t>
      </w:r>
    </w:p>
    <w:p w14:paraId="6BEE6114">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推动4个土储债券项目发行，为土储发展注入金融活水。中心在市局的领导下，精准发力、高效推进相关工作，实现“项目入库有质量、债券发行有成效、后续申报有衔接”，为全市土地储备和城市发展注入强劲金融动力。中心精准筛选，严格对照专项债券申报标准，2025年成功完成6个拟使用专项债券的土地储备项目入库工作，加强与财政、发改等部门联动协调，2025年顺利推动4个土地储备专项债券项目发行，累计争取资金1.35亿元。</w:t>
      </w:r>
    </w:p>
    <w:p w14:paraId="1E32A731">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成功争取资金，推动统征遗留问题处置工程落地实施。2025年4月，经市政府同意，在市财政局大力支持下，专项拨款50万元，用于凤凰小区11号安置楼产权办理工作。目前已完成大部分工作，待消防整改完成后，即可</w:t>
      </w:r>
      <w:r>
        <w:rPr>
          <w:rFonts w:hint="eastAsia" w:ascii="Times New Roman" w:hAnsi="Times New Roman" w:eastAsia="仿宋_GB2312" w:cs="Times New Roman"/>
          <w:sz w:val="32"/>
          <w:szCs w:val="32"/>
          <w:lang w:eastAsia="zh-CN"/>
        </w:rPr>
        <w:t>办理</w:t>
      </w:r>
      <w:r>
        <w:rPr>
          <w:rFonts w:hint="default" w:ascii="Times New Roman" w:hAnsi="Times New Roman" w:eastAsia="仿宋_GB2312" w:cs="Times New Roman"/>
          <w:sz w:val="32"/>
          <w:szCs w:val="32"/>
        </w:rPr>
        <w:t>产权登记。</w:t>
      </w:r>
    </w:p>
    <w:p w14:paraId="75027892">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sz w:val="32"/>
          <w:szCs w:val="32"/>
          <w:lang w:val="zh-CN"/>
        </w:rPr>
        <w:t>预算管理。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攀枝花市土地储备中心严格预算编制，从单位实际出发，按照部门预算编制方法和口径科学编制年度预算。在预算执行过程中，市土地储备中心始终坚持预算刚性约束，严格预算监督，厉行节约，根据中心年度工作计划的执行情况和</w:t>
      </w:r>
      <w:r>
        <w:rPr>
          <w:rFonts w:hint="default" w:ascii="Times New Roman" w:hAnsi="Times New Roman" w:eastAsia="仿宋_GB2312" w:cs="Times New Roman"/>
          <w:sz w:val="32"/>
          <w:szCs w:val="32"/>
          <w:lang w:eastAsia="zh-CN"/>
        </w:rPr>
        <w:t>轻重缓急</w:t>
      </w:r>
      <w:r>
        <w:rPr>
          <w:rFonts w:hint="default" w:ascii="Times New Roman" w:hAnsi="Times New Roman" w:eastAsia="仿宋_GB2312" w:cs="Times New Roman"/>
          <w:sz w:val="32"/>
          <w:szCs w:val="32"/>
        </w:rPr>
        <w:t>合理安排资金支付进度，及时开展预算执行分析研判和绩效分析工作，确保资金使用效率。</w:t>
      </w:r>
    </w:p>
    <w:p w14:paraId="1438AB1A">
      <w:pPr>
        <w:keepNext w:val="0"/>
        <w:keepLines w:val="0"/>
        <w:pageBreakBefore w:val="0"/>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3.</w:t>
      </w:r>
      <w:r>
        <w:rPr>
          <w:rFonts w:hint="default" w:ascii="Times New Roman" w:hAnsi="Times New Roman" w:eastAsia="仿宋_GB2312" w:cs="Times New Roman"/>
          <w:sz w:val="32"/>
          <w:szCs w:val="32"/>
          <w:lang w:val="zh-CN"/>
        </w:rPr>
        <w:t>财务管理。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市土地储备中心在严格执行中央、省、市和上级主管部门财务管理制度的基础上，依据中心财务管理办法和各项内控制度开展财务工作。财务负责人由中心副主任担任，并设会计岗和出纳岗。中心财务管理制度健全，资金使用规范。</w:t>
      </w:r>
    </w:p>
    <w:p w14:paraId="1C6CE326">
      <w:pPr>
        <w:keepNext w:val="0"/>
        <w:keepLines w:val="0"/>
        <w:pageBreakBefore w:val="0"/>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4.</w:t>
      </w:r>
      <w:r>
        <w:rPr>
          <w:rFonts w:hint="default" w:ascii="Times New Roman" w:hAnsi="Times New Roman" w:eastAsia="仿宋_GB2312" w:cs="Times New Roman"/>
          <w:sz w:val="32"/>
          <w:szCs w:val="32"/>
          <w:lang w:val="zh-CN"/>
        </w:rPr>
        <w:t>资产管理。202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zh-CN"/>
        </w:rPr>
        <w:t>年，市土地储备中心厉行节约，无新购入固定资产，通过对现有固定资产进行必要维护维修，维持机构正常运转。同时，定期开展固定资产盘点、应收账款催收等相关工作，确保中心资产管理安全、有效、可控。</w:t>
      </w:r>
    </w:p>
    <w:p w14:paraId="276B762C">
      <w:pPr>
        <w:keepNext w:val="0"/>
        <w:keepLines w:val="0"/>
        <w:pageBreakBefore w:val="0"/>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5.</w:t>
      </w:r>
      <w:r>
        <w:rPr>
          <w:rFonts w:hint="default" w:ascii="Times New Roman" w:hAnsi="Times New Roman" w:eastAsia="仿宋_GB2312" w:cs="Times New Roman"/>
          <w:sz w:val="32"/>
          <w:szCs w:val="32"/>
          <w:lang w:val="zh-CN"/>
        </w:rPr>
        <w:t>采购管理。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年，市土地储备中心无采购支出。</w:t>
      </w:r>
    </w:p>
    <w:p w14:paraId="0F767D73">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3" w:firstLineChars="200"/>
        <w:contextualSpacing/>
        <w:jc w:val="both"/>
        <w:textAlignment w:val="auto"/>
        <w:outlineLvl w:val="9"/>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（二）单位预算项目绩效分析。</w:t>
      </w:r>
    </w:p>
    <w:p w14:paraId="1FCD0BE6">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常年项目绩效分析。</w:t>
      </w:r>
      <w:r>
        <w:rPr>
          <w:rFonts w:hint="default" w:ascii="Times New Roman" w:hAnsi="Times New Roman" w:eastAsia="仿宋_GB2312" w:cs="Times New Roman"/>
          <w:sz w:val="32"/>
          <w:szCs w:val="32"/>
          <w:lang w:val="zh-CN"/>
        </w:rPr>
        <w:t>该类项目总数</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val="zh-CN"/>
        </w:rPr>
        <w:t>个，涉及预算总金额</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val="zh-CN"/>
        </w:rPr>
        <w:t>万元。</w:t>
      </w:r>
    </w:p>
    <w:p w14:paraId="5F3796A3">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contextualSpacing/>
        <w:jc w:val="both"/>
        <w:textAlignment w:val="auto"/>
        <w:outlineLvl w:val="9"/>
        <w:rPr>
          <w:rFonts w:hint="default" w:ascii="Times New Roman" w:hAnsi="Times New Roman" w:eastAsia="仿宋_GB2312" w:cs="Times New Roman"/>
          <w:color w:val="auto"/>
          <w:kern w:val="2"/>
          <w:sz w:val="32"/>
          <w:szCs w:val="32"/>
          <w:highlight w:val="none"/>
          <w:lang w:val="zh-CN" w:eastAsia="zh-CN" w:bidi="ar-SA"/>
        </w:rPr>
      </w:pPr>
      <w:r>
        <w:rPr>
          <w:rFonts w:hint="default" w:ascii="Times New Roman" w:hAnsi="Times New Roman" w:eastAsia="仿宋_GB2312" w:cs="Times New Roman"/>
          <w:color w:val="auto"/>
          <w:kern w:val="2"/>
          <w:sz w:val="32"/>
          <w:szCs w:val="32"/>
          <w:highlight w:val="none"/>
          <w:lang w:val="en-US" w:eastAsia="zh-CN" w:bidi="ar-SA"/>
        </w:rPr>
        <w:t>阶段（一次性）项目绩效分析。</w:t>
      </w:r>
      <w:r>
        <w:rPr>
          <w:rFonts w:hint="default" w:ascii="Times New Roman" w:hAnsi="Times New Roman" w:eastAsia="仿宋_GB2312" w:cs="Times New Roman"/>
          <w:color w:val="auto"/>
          <w:kern w:val="2"/>
          <w:sz w:val="32"/>
          <w:szCs w:val="32"/>
          <w:highlight w:val="none"/>
          <w:lang w:val="zh-CN" w:eastAsia="zh-CN" w:bidi="ar-SA"/>
        </w:rPr>
        <w:t>该类项目总数</w:t>
      </w:r>
      <w:r>
        <w:rPr>
          <w:rFonts w:hint="default" w:ascii="Times New Roman" w:hAnsi="Times New Roman" w:eastAsia="仿宋_GB2312" w:cs="Times New Roman"/>
          <w:color w:val="auto"/>
          <w:kern w:val="2"/>
          <w:sz w:val="32"/>
          <w:szCs w:val="32"/>
          <w:highlight w:val="none"/>
          <w:lang w:val="en-US" w:eastAsia="zh-CN" w:bidi="ar-SA"/>
        </w:rPr>
        <w:t>1</w:t>
      </w:r>
      <w:r>
        <w:rPr>
          <w:rFonts w:hint="eastAsia" w:ascii="Times New Roman" w:hAnsi="Times New Roman" w:eastAsia="仿宋_GB2312" w:cs="Times New Roman"/>
          <w:color w:val="auto"/>
          <w:kern w:val="2"/>
          <w:sz w:val="32"/>
          <w:szCs w:val="32"/>
          <w:highlight w:val="none"/>
          <w:lang w:val="en-US" w:eastAsia="zh-CN" w:bidi="ar-SA"/>
        </w:rPr>
        <w:t>1</w:t>
      </w:r>
      <w:r>
        <w:rPr>
          <w:rFonts w:hint="default" w:ascii="Times New Roman" w:hAnsi="Times New Roman" w:eastAsia="仿宋_GB2312" w:cs="Times New Roman"/>
          <w:color w:val="auto"/>
          <w:kern w:val="2"/>
          <w:sz w:val="32"/>
          <w:szCs w:val="32"/>
          <w:highlight w:val="none"/>
          <w:lang w:val="zh-CN" w:eastAsia="zh-CN" w:bidi="ar-SA"/>
        </w:rPr>
        <w:t>个，涉及预算总金额40315.83万元，1—1</w:t>
      </w:r>
      <w:r>
        <w:rPr>
          <w:rFonts w:hint="default" w:ascii="Times New Roman" w:hAnsi="Times New Roman" w:eastAsia="仿宋_GB2312" w:cs="Times New Roman"/>
          <w:color w:val="auto"/>
          <w:kern w:val="2"/>
          <w:sz w:val="32"/>
          <w:szCs w:val="32"/>
          <w:highlight w:val="none"/>
          <w:lang w:val="en-US" w:eastAsia="zh-CN" w:bidi="ar-SA"/>
        </w:rPr>
        <w:t>2</w:t>
      </w:r>
      <w:r>
        <w:rPr>
          <w:rFonts w:hint="default" w:ascii="Times New Roman" w:hAnsi="Times New Roman" w:eastAsia="仿宋_GB2312" w:cs="Times New Roman"/>
          <w:color w:val="auto"/>
          <w:kern w:val="2"/>
          <w:sz w:val="32"/>
          <w:szCs w:val="32"/>
          <w:highlight w:val="none"/>
          <w:lang w:val="zh-CN" w:eastAsia="zh-CN" w:bidi="ar-SA"/>
        </w:rPr>
        <w:t>月预算执行总体进度为</w:t>
      </w:r>
      <w:r>
        <w:rPr>
          <w:rFonts w:hint="default" w:ascii="Times New Roman" w:hAnsi="Times New Roman" w:eastAsia="仿宋_GB2312" w:cs="Times New Roman"/>
          <w:color w:val="auto"/>
          <w:kern w:val="2"/>
          <w:sz w:val="32"/>
          <w:szCs w:val="32"/>
          <w:highlight w:val="none"/>
          <w:lang w:val="en-US" w:eastAsia="zh-CN" w:bidi="ar-SA"/>
        </w:rPr>
        <w:t>100</w:t>
      </w:r>
      <w:r>
        <w:rPr>
          <w:rFonts w:hint="default" w:ascii="Times New Roman" w:hAnsi="Times New Roman" w:eastAsia="仿宋_GB2312" w:cs="Times New Roman"/>
          <w:color w:val="auto"/>
          <w:kern w:val="2"/>
          <w:sz w:val="32"/>
          <w:szCs w:val="32"/>
          <w:highlight w:val="none"/>
          <w:lang w:val="zh-CN" w:eastAsia="zh-CN" w:bidi="ar-SA"/>
        </w:rPr>
        <w:t>%，其中：预算结余率大于</w:t>
      </w:r>
      <w:r>
        <w:rPr>
          <w:rFonts w:hint="default" w:ascii="Times New Roman" w:hAnsi="Times New Roman" w:eastAsia="仿宋_GB2312" w:cs="Times New Roman"/>
          <w:color w:val="auto"/>
          <w:kern w:val="2"/>
          <w:sz w:val="32"/>
          <w:szCs w:val="32"/>
          <w:highlight w:val="none"/>
          <w:lang w:val="en-US" w:eastAsia="zh-CN" w:bidi="ar-SA"/>
        </w:rPr>
        <w:t>10%</w:t>
      </w:r>
      <w:r>
        <w:rPr>
          <w:rFonts w:hint="default" w:ascii="Times New Roman" w:hAnsi="Times New Roman" w:eastAsia="仿宋_GB2312" w:cs="Times New Roman"/>
          <w:color w:val="auto"/>
          <w:kern w:val="2"/>
          <w:sz w:val="32"/>
          <w:szCs w:val="32"/>
          <w:highlight w:val="none"/>
          <w:lang w:val="zh-CN" w:eastAsia="zh-CN" w:bidi="ar-SA"/>
        </w:rPr>
        <w:t>的项目</w:t>
      </w:r>
      <w:r>
        <w:rPr>
          <w:rFonts w:hint="default" w:ascii="Times New Roman" w:hAnsi="Times New Roman" w:eastAsia="仿宋_GB2312" w:cs="Times New Roman"/>
          <w:color w:val="auto"/>
          <w:kern w:val="2"/>
          <w:sz w:val="32"/>
          <w:szCs w:val="32"/>
          <w:highlight w:val="none"/>
          <w:lang w:val="en-US" w:eastAsia="zh-CN" w:bidi="ar-SA"/>
        </w:rPr>
        <w:t>共计0</w:t>
      </w:r>
      <w:r>
        <w:rPr>
          <w:rFonts w:hint="default" w:ascii="Times New Roman" w:hAnsi="Times New Roman" w:eastAsia="仿宋_GB2312" w:cs="Times New Roman"/>
          <w:color w:val="auto"/>
          <w:kern w:val="2"/>
          <w:sz w:val="32"/>
          <w:szCs w:val="32"/>
          <w:highlight w:val="none"/>
          <w:lang w:val="zh-CN" w:eastAsia="zh-CN" w:bidi="ar-SA"/>
        </w:rPr>
        <w:t>个。</w:t>
      </w:r>
    </w:p>
    <w:p w14:paraId="5237B0A0">
      <w:pPr>
        <w:keepNext w:val="0"/>
        <w:keepLines w:val="0"/>
        <w:pageBreakBefore w:val="0"/>
        <w:kinsoku/>
        <w:wordWrap/>
        <w:overflowPunct/>
        <w:topLinePunct w:val="0"/>
        <w:autoSpaceDN/>
        <w:bidi w:val="0"/>
        <w:adjustRightInd w:val="0"/>
        <w:snapToGrid w:val="0"/>
        <w:spacing w:line="600" w:lineRule="exact"/>
        <w:ind w:firstLine="640" w:firstLineChars="200"/>
        <w:contextualSpacing/>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1.51040022Y000000408973</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储备土地管护（含空置房管护）经费</w:t>
      </w:r>
    </w:p>
    <w:p w14:paraId="4A4A856B">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2025年，该项目预算下达资金4.5万元；支付办公楼诉讼费0.18万元，支付湖光综合楼测绘费0.6万元，支付凤凰西街11号楼电梯年检维修维保费2.2万元，支付西贵金沙、锦绣豪庭物业费1.32万元。本项目的实施确保</w:t>
      </w:r>
      <w:r>
        <w:rPr>
          <w:rFonts w:hint="eastAsia" w:ascii="Times New Roman" w:hAnsi="Times New Roman" w:eastAsia="仿宋_GB2312" w:cs="Times New Roman"/>
          <w:sz w:val="32"/>
          <w:szCs w:val="32"/>
          <w:lang w:val="en-US" w:eastAsia="zh-CN"/>
        </w:rPr>
        <w:t>市</w:t>
      </w:r>
      <w:r>
        <w:rPr>
          <w:rFonts w:hint="default" w:ascii="Times New Roman" w:hAnsi="Times New Roman" w:eastAsia="仿宋_GB2312" w:cs="Times New Roman"/>
          <w:sz w:val="32"/>
          <w:szCs w:val="32"/>
          <w:lang w:val="en-US" w:eastAsia="zh-CN"/>
        </w:rPr>
        <w:t>土地储备中心按时完成2025年攀枝花市土地储备计划编制工作，完成2025年度储备土地及地面资产管理，确保市级储备土地环境卫生整洁、及时排查并消除各类安全隐患；完成2025年度全民所有土地资产管理信息系统信息填报工作，完成2025年度空置安置房日常维护管理，并缴纳物业管理费。</w:t>
      </w:r>
      <w:r>
        <w:rPr>
          <w:rFonts w:hint="default" w:ascii="Times New Roman" w:hAnsi="Times New Roman" w:eastAsia="仿宋_GB2312" w:cs="Times New Roman"/>
          <w:sz w:val="32"/>
          <w:szCs w:val="32"/>
          <w:lang w:val="zh-CN"/>
        </w:rPr>
        <w:t>按时支付率100%，资金支付率100%，无资金结余，无违规记录。</w:t>
      </w:r>
    </w:p>
    <w:p w14:paraId="491EE560">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2.51040023T000009215555</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退休“中人”一次性退休补贴</w:t>
      </w:r>
    </w:p>
    <w:p w14:paraId="21F6034B">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val="0"/>
          <w:bCs w:val="0"/>
          <w:color w:val="000000"/>
          <w:kern w:val="0"/>
          <w:sz w:val="32"/>
          <w:szCs w:val="32"/>
          <w:shd w:val="clear" w:color="auto" w:fill="FFFFFF"/>
          <w:lang w:val="en-US" w:eastAsia="zh-CN"/>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4.19</w:t>
      </w:r>
      <w:r>
        <w:rPr>
          <w:rFonts w:hint="default" w:ascii="Times New Roman" w:hAnsi="Times New Roman" w:eastAsia="仿宋_GB2312" w:cs="Times New Roman"/>
          <w:sz w:val="32"/>
          <w:szCs w:val="32"/>
          <w:lang w:val="zh-CN"/>
        </w:rPr>
        <w:t>万元。市土地储备中心及时、足额、准确发放退休“中人”一次性退休补贴</w:t>
      </w:r>
      <w:r>
        <w:rPr>
          <w:rFonts w:hint="default" w:ascii="Times New Roman" w:hAnsi="Times New Roman" w:eastAsia="仿宋_GB2312" w:cs="Times New Roman"/>
          <w:sz w:val="32"/>
          <w:szCs w:val="32"/>
          <w:lang w:val="en-US" w:eastAsia="zh-CN"/>
        </w:rPr>
        <w:t>4.19</w:t>
      </w:r>
      <w:r>
        <w:rPr>
          <w:rFonts w:hint="default" w:ascii="Times New Roman" w:hAnsi="Times New Roman" w:eastAsia="仿宋_GB2312" w:cs="Times New Roman"/>
          <w:sz w:val="32"/>
          <w:szCs w:val="32"/>
          <w:lang w:val="zh-CN"/>
        </w:rPr>
        <w:t>万元。按时支付率100%，资金支付率100%，无资金结余，无违规记录。</w:t>
      </w:r>
    </w:p>
    <w:p w14:paraId="1C46BD95">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3.51040023Y000009206458</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攀枝花市21条道路雨污水窨井盖加装防坠网工程</w:t>
      </w:r>
    </w:p>
    <w:p w14:paraId="2C019CAF">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0.4</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0.4</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603A5399">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4.51040025T000013337219</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红格南钒钛磁铁矿开发建设用（征）地补偿安置工作（市级）</w:t>
      </w:r>
    </w:p>
    <w:p w14:paraId="4D360B5B">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40000</w:t>
      </w:r>
      <w:r>
        <w:rPr>
          <w:rFonts w:hint="default" w:ascii="Times New Roman" w:hAnsi="Times New Roman" w:eastAsia="仿宋_GB2312" w:cs="Times New Roman"/>
          <w:sz w:val="32"/>
          <w:szCs w:val="32"/>
          <w:lang w:val="zh-CN"/>
        </w:rPr>
        <w:t>万元。市土地储备中心根据盐边县资金需求及市财政资金安排，拨付红格南钒钛磁铁矿开发建设用（征）地补偿安置市级资金</w:t>
      </w:r>
      <w:r>
        <w:rPr>
          <w:rFonts w:hint="default" w:ascii="Times New Roman" w:hAnsi="Times New Roman" w:eastAsia="仿宋_GB2312" w:cs="Times New Roman"/>
          <w:sz w:val="32"/>
          <w:szCs w:val="32"/>
          <w:lang w:val="en-US" w:eastAsia="zh-CN"/>
        </w:rPr>
        <w:t>40000万元</w:t>
      </w:r>
      <w:r>
        <w:rPr>
          <w:rFonts w:hint="default" w:ascii="Times New Roman" w:hAnsi="Times New Roman" w:eastAsia="仿宋_GB2312" w:cs="Times New Roman"/>
          <w:sz w:val="32"/>
          <w:szCs w:val="32"/>
          <w:lang w:val="zh-CN"/>
        </w:rPr>
        <w:t>。按时支付率100%，资金支付率100%，无资金结余，无违规记录。</w:t>
      </w:r>
    </w:p>
    <w:p w14:paraId="4A22CE79">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5.51040025Y000013752047</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解决凤凰小区乡情苑11号安置住宅楼遗留问题所需资金</w:t>
      </w:r>
    </w:p>
    <w:p w14:paraId="65F0475B">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8.26</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8.26</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本项目完成乡情苑11号安置住宅楼房屋安全结构鉴定、房产测绘工作，完成消防整改实施前期工作。按合同约定支付合同款，</w:t>
      </w:r>
      <w:r>
        <w:rPr>
          <w:rFonts w:hint="default" w:ascii="Times New Roman" w:hAnsi="Times New Roman" w:eastAsia="仿宋_GB2312" w:cs="Times New Roman"/>
          <w:sz w:val="32"/>
          <w:szCs w:val="32"/>
          <w:lang w:val="zh-CN"/>
        </w:rPr>
        <w:t>按时支付率100%，资金支付率100%，无资金结余，无违规记录。</w:t>
      </w:r>
    </w:p>
    <w:p w14:paraId="2E7362E5">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6.51040026Y000014135605</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炳二区主干路A标段</w:t>
      </w:r>
    </w:p>
    <w:p w14:paraId="2A9A733C">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216.51</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216.51</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5775E28D">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7.51040026Y000014135623</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炳三区二期城市基础设施道路照明工程</w:t>
      </w:r>
    </w:p>
    <w:p w14:paraId="06735786">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42.52</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42.52</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2D70250F">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8.51040026Y000014135640</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炳二区堰塞湖应急处置原有临时排污系统清理工程</w:t>
      </w:r>
    </w:p>
    <w:p w14:paraId="23DF314B">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3.19</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3.19</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1EE02750">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9.51040026Y000014135649</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炳三区标线、标牌施工</w:t>
      </w:r>
    </w:p>
    <w:p w14:paraId="6E9848AF">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1.41</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1.41</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6EB5CA31">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10.51040026Y000014135655-110指挥中心至学府花园之间人行梯步及道路安全防护工程</w:t>
      </w:r>
    </w:p>
    <w:p w14:paraId="6B0E6C81">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5.8</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5.8</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79DD5C4F">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11.51040026Y000014285455-2025年清理拖欠企业欠款（市级）50万元以下）</w:t>
      </w:r>
    </w:p>
    <w:p w14:paraId="2061A1EF">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33.43</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33.43</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1A8952FF">
      <w:pPr>
        <w:keepNext w:val="0"/>
        <w:keepLines w:val="0"/>
        <w:pageBreakBefore w:val="0"/>
        <w:kinsoku/>
        <w:wordWrap/>
        <w:overflowPunct/>
        <w:topLinePunct w:val="0"/>
        <w:autoSpaceDE w:val="0"/>
        <w:autoSpaceDN/>
        <w:bidi w:val="0"/>
        <w:spacing w:line="600" w:lineRule="exact"/>
        <w:ind w:firstLine="643" w:firstLineChars="200"/>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rPr>
        <w:t>三</w:t>
      </w:r>
      <w:r>
        <w:rPr>
          <w:rFonts w:hint="default" w:ascii="Times New Roman" w:hAnsi="Times New Roman" w:eastAsia="楷体_GB2312" w:cs="Times New Roman"/>
          <w:b/>
          <w:bCs/>
          <w:color w:val="000000"/>
          <w:kern w:val="0"/>
          <w:sz w:val="32"/>
          <w:szCs w:val="32"/>
          <w:shd w:val="clear" w:color="auto" w:fill="FFFFFF"/>
          <w:lang w:val="zh-CN"/>
        </w:rPr>
        <w:t>）绩效结果应用情况。</w:t>
      </w:r>
      <w:r>
        <w:rPr>
          <w:rFonts w:hint="default" w:ascii="Times New Roman" w:hAnsi="Times New Roman" w:eastAsia="仿宋_GB2312" w:cs="Times New Roman"/>
          <w:sz w:val="32"/>
          <w:szCs w:val="32"/>
          <w:lang w:val="zh-CN"/>
        </w:rPr>
        <w:t>市土地储备中心将绩效自评结果运用到次年工作，促进中心各项业务工作取得成效。绩效自评结果按照规定公开公示。</w:t>
      </w:r>
    </w:p>
    <w:p w14:paraId="53963430">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四、评价结论及建议</w:t>
      </w:r>
    </w:p>
    <w:p w14:paraId="407CDA79">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default" w:ascii="Times New Roman" w:hAnsi="Times New Roman" w:eastAsia="仿宋_GB2312" w:cs="Times New Roman"/>
          <w:sz w:val="32"/>
          <w:szCs w:val="32"/>
          <w:lang w:bidi="ar"/>
        </w:rPr>
        <w:t>202</w:t>
      </w:r>
      <w:r>
        <w:rPr>
          <w:rFonts w:hint="default" w:ascii="Times New Roman" w:hAnsi="Times New Roman" w:eastAsia="仿宋_GB2312" w:cs="Times New Roman"/>
          <w:sz w:val="32"/>
          <w:szCs w:val="32"/>
          <w:lang w:val="en-US" w:eastAsia="zh-CN" w:bidi="ar"/>
        </w:rPr>
        <w:t>5</w:t>
      </w:r>
      <w:r>
        <w:rPr>
          <w:rFonts w:hint="default" w:ascii="Times New Roman" w:hAnsi="Times New Roman" w:eastAsia="仿宋_GB2312" w:cs="Times New Roman"/>
          <w:sz w:val="32"/>
          <w:szCs w:val="32"/>
          <w:lang w:bidi="ar"/>
        </w:rPr>
        <w:t>年，市土地储备中心严格执行部门预算，积极争取资金支持，强化资金使用与管理，全力保障部门正常运转、确保各项业务工作顺利开展，自评得分95分。</w:t>
      </w:r>
    </w:p>
    <w:p w14:paraId="4A165086">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default" w:ascii="Times New Roman" w:hAnsi="Times New Roman" w:eastAsia="仿宋_GB2312" w:cs="Times New Roman"/>
          <w:sz w:val="32"/>
          <w:szCs w:val="32"/>
          <w:lang w:bidi="ar"/>
        </w:rPr>
        <w:t>预算安排项目资金与实际需求存在较大差距</w:t>
      </w:r>
      <w:r>
        <w:rPr>
          <w:rFonts w:hint="default" w:ascii="Times New Roman" w:hAnsi="Times New Roman" w:eastAsia="仿宋_GB2312" w:cs="Times New Roman"/>
          <w:sz w:val="32"/>
          <w:szCs w:val="32"/>
          <w:lang w:eastAsia="zh-CN" w:bidi="ar"/>
        </w:rPr>
        <w:t>。</w:t>
      </w:r>
    </w:p>
    <w:p w14:paraId="1AD5DF04">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default" w:ascii="Times New Roman" w:hAnsi="Times New Roman" w:eastAsia="仿宋_GB2312" w:cs="Times New Roman"/>
          <w:sz w:val="32"/>
          <w:szCs w:val="32"/>
          <w:lang w:bidi="ar"/>
        </w:rPr>
        <w:t>市土地储备中心将持续做好预算执行工作，严控各项开支，确保依法依规使用预算资金。</w:t>
      </w:r>
    </w:p>
    <w:p w14:paraId="5AE08C94">
      <w:pPr>
        <w:keepNext w:val="0"/>
        <w:keepLines w:val="0"/>
        <w:pageBreakBefore w:val="0"/>
        <w:widowControl w:val="0"/>
        <w:kinsoku/>
        <w:wordWrap/>
        <w:overflowPunct/>
        <w:topLinePunct w:val="0"/>
        <w:autoSpaceDN/>
        <w:bidi w:val="0"/>
        <w:spacing w:after="120" w:line="600" w:lineRule="exact"/>
        <w:ind w:left="0" w:leftChars="0" w:firstLine="640" w:firstLineChars="200"/>
        <w:jc w:val="both"/>
        <w:textAlignment w:val="auto"/>
        <w:rPr>
          <w:rFonts w:hint="default" w:ascii="Times New Roman" w:hAnsi="Times New Roman" w:eastAsia="仿宋_GB2312" w:cs="Times New Roman"/>
          <w:kern w:val="2"/>
          <w:sz w:val="32"/>
          <w:szCs w:val="32"/>
          <w:lang w:val="zh-CN" w:eastAsia="zh-CN" w:bidi="ar"/>
        </w:rPr>
      </w:pPr>
    </w:p>
    <w:p w14:paraId="767C7F16">
      <w:pPr>
        <w:keepNext w:val="0"/>
        <w:keepLines w:val="0"/>
        <w:pageBreakBefore w:val="0"/>
        <w:widowControl w:val="0"/>
        <w:kinsoku/>
        <w:wordWrap/>
        <w:overflowPunct/>
        <w:topLinePunct w:val="0"/>
        <w:autoSpaceDN/>
        <w:bidi w:val="0"/>
        <w:spacing w:after="120" w:line="600" w:lineRule="exact"/>
        <w:ind w:left="0" w:leftChars="0" w:firstLine="0" w:firstLineChars="0"/>
        <w:jc w:val="both"/>
        <w:textAlignment w:val="auto"/>
        <w:rPr>
          <w:rFonts w:hint="default" w:ascii="Times New Roman" w:hAnsi="Times New Roman" w:eastAsia="宋体" w:cs="Times New Roman"/>
          <w:kern w:val="2"/>
          <w:sz w:val="32"/>
          <w:szCs w:val="32"/>
          <w:highlight w:val="yellow"/>
          <w:lang w:val="zh-CN" w:eastAsia="zh-CN" w:bidi="ar-SA"/>
        </w:rPr>
      </w:pPr>
    </w:p>
    <w:p w14:paraId="2DD26D02">
      <w:pPr>
        <w:keepNext w:val="0"/>
        <w:keepLines w:val="0"/>
        <w:pageBreakBefore w:val="0"/>
        <w:widowControl w:val="0"/>
        <w:kinsoku/>
        <w:wordWrap/>
        <w:overflowPunct/>
        <w:topLinePunct w:val="0"/>
        <w:autoSpaceDN/>
        <w:bidi w:val="0"/>
        <w:spacing w:before="93" w:beforeLines="30" w:line="600" w:lineRule="exact"/>
        <w:jc w:val="both"/>
        <w:textAlignment w:val="auto"/>
        <w:rPr>
          <w:rFonts w:hint="default" w:ascii="Times New Roman" w:hAnsi="Times New Roman" w:eastAsia="仿宋_GB2312" w:cs="Times New Roman"/>
          <w:color w:val="FF0000"/>
          <w:kern w:val="0"/>
          <w:sz w:val="32"/>
          <w:szCs w:val="32"/>
          <w:highlight w:val="yellow"/>
          <w:shd w:val="clear" w:color="auto" w:fill="FFFFFF"/>
          <w:lang w:val="zh-CN" w:eastAsia="zh-CN" w:bidi="ar-SA"/>
        </w:rPr>
      </w:pPr>
    </w:p>
    <w:p w14:paraId="25F11E45">
      <w:pPr>
        <w:keepNext w:val="0"/>
        <w:keepLines w:val="0"/>
        <w:pageBreakBefore w:val="0"/>
        <w:kinsoku/>
        <w:wordWrap/>
        <w:overflowPunct/>
        <w:topLinePunct w:val="0"/>
        <w:autoSpaceDN/>
        <w:bidi w:val="0"/>
        <w:spacing w:line="600" w:lineRule="exact"/>
        <w:textAlignment w:val="auto"/>
        <w:rPr>
          <w:rFonts w:hint="default" w:ascii="Times New Roman" w:hAnsi="Times New Roman" w:cs="Times New Roman"/>
        </w:rPr>
      </w:pPr>
    </w:p>
    <w:p w14:paraId="3F970965">
      <w:pPr>
        <w:pStyle w:val="8"/>
        <w:spacing w:line="560" w:lineRule="exact"/>
        <w:ind w:firstLine="1760" w:firstLineChars="400"/>
        <w:rPr>
          <w:rFonts w:hint="eastAsia" w:ascii="Times New Roman" w:hAnsi="Times New Roman" w:eastAsia="方正小标宋简体"/>
          <w:bCs/>
          <w:sz w:val="44"/>
          <w:szCs w:val="44"/>
          <w:shd w:val="clear" w:color="auto" w:fill="FFFFFF"/>
        </w:rPr>
      </w:pPr>
    </w:p>
    <w:p w14:paraId="4A845E96">
      <w:pPr>
        <w:rPr>
          <w:rFonts w:hint="eastAsia" w:ascii="Times New Roman" w:hAnsi="Times New Roman" w:eastAsia="方正小标宋简体"/>
          <w:bCs/>
          <w:sz w:val="44"/>
          <w:szCs w:val="44"/>
          <w:shd w:val="clear" w:color="auto" w:fill="FFFFFF"/>
        </w:rPr>
      </w:pPr>
    </w:p>
    <w:p w14:paraId="62516AC0">
      <w:pPr>
        <w:rPr>
          <w:rFonts w:hint="eastAsia" w:ascii="Times New Roman" w:hAnsi="Times New Roman" w:eastAsia="方正小标宋简体"/>
          <w:bCs/>
          <w:sz w:val="44"/>
          <w:szCs w:val="44"/>
          <w:shd w:val="clear" w:color="auto" w:fill="FFFFFF"/>
        </w:rPr>
      </w:pPr>
    </w:p>
    <w:p w14:paraId="7572DDF2">
      <w:pPr>
        <w:pStyle w:val="8"/>
        <w:spacing w:line="560" w:lineRule="exact"/>
        <w:ind w:firstLine="1760" w:firstLineChars="400"/>
        <w:rPr>
          <w:rFonts w:hint="eastAsia" w:ascii="Times New Roman" w:hAnsi="Times New Roman" w:eastAsia="方正小标宋简体"/>
          <w:bCs/>
          <w:sz w:val="44"/>
          <w:szCs w:val="44"/>
          <w:shd w:val="clear" w:color="auto" w:fill="FFFFFF"/>
          <w:lang w:val="zh-CN"/>
        </w:rPr>
      </w:pPr>
      <w:r>
        <w:rPr>
          <w:rFonts w:hint="eastAsia" w:ascii="Times New Roman" w:hAnsi="Times New Roman" w:eastAsia="方正小标宋简体"/>
          <w:bCs/>
          <w:sz w:val="44"/>
          <w:szCs w:val="44"/>
          <w:shd w:val="clear" w:color="auto" w:fill="FFFFFF"/>
        </w:rPr>
        <w:t>部门</w:t>
      </w:r>
      <w:r>
        <w:rPr>
          <w:rFonts w:hint="eastAsia" w:ascii="Times New Roman" w:hAnsi="Times New Roman" w:eastAsia="方正小标宋简体"/>
          <w:bCs/>
          <w:sz w:val="44"/>
          <w:szCs w:val="44"/>
          <w:shd w:val="clear" w:color="auto" w:fill="FFFFFF"/>
          <w:lang w:val="zh-CN"/>
        </w:rPr>
        <w:t>预算绩效评</w:t>
      </w:r>
      <w:r>
        <w:rPr>
          <w:rFonts w:hint="eastAsia" w:ascii="Times New Roman" w:hAnsi="Times New Roman" w:eastAsia="方正小标宋简体"/>
          <w:bCs/>
          <w:sz w:val="44"/>
          <w:szCs w:val="44"/>
          <w:shd w:val="clear" w:color="auto" w:fill="FFFFFF"/>
        </w:rPr>
        <w:t>价</w:t>
      </w:r>
      <w:r>
        <w:rPr>
          <w:rFonts w:hint="eastAsia" w:ascii="Times New Roman" w:hAnsi="Times New Roman" w:eastAsia="方正小标宋简体"/>
          <w:bCs/>
          <w:sz w:val="44"/>
          <w:szCs w:val="44"/>
          <w:shd w:val="clear" w:color="auto" w:fill="FFFFFF"/>
          <w:lang w:val="zh-CN"/>
        </w:rPr>
        <w:t>报告</w:t>
      </w:r>
    </w:p>
    <w:p w14:paraId="5B5BC98E">
      <w:pPr>
        <w:pStyle w:val="8"/>
        <w:spacing w:line="560" w:lineRule="exact"/>
        <w:ind w:firstLine="1920" w:firstLineChars="600"/>
        <w:outlineLvl w:val="3"/>
        <w:rPr>
          <w:rFonts w:hint="eastAsia" w:ascii="Times New Roman" w:hAnsi="Times New Roman" w:eastAsia="仿宋_GB2312"/>
          <w:sz w:val="32"/>
          <w:szCs w:val="32"/>
          <w:lang w:val="zh-CN" w:bidi="ar"/>
        </w:rPr>
      </w:pPr>
      <w:r>
        <w:rPr>
          <w:rFonts w:hint="eastAsia" w:ascii="Times New Roman" w:eastAsia="仿宋_GB2312"/>
          <w:sz w:val="32"/>
          <w:szCs w:val="32"/>
          <w:lang w:val="zh-CN" w:bidi="ar"/>
        </w:rPr>
        <w:t>（</w:t>
      </w:r>
      <w:r>
        <w:rPr>
          <w:rFonts w:hint="eastAsia" w:ascii="Times New Roman" w:hAnsi="Times New Roman" w:eastAsia="仿宋_GB2312"/>
          <w:sz w:val="32"/>
          <w:szCs w:val="32"/>
          <w:lang w:val="zh-CN" w:bidi="ar"/>
        </w:rPr>
        <w:t>攀枝花市不动产登记中心</w:t>
      </w:r>
      <w:r>
        <w:rPr>
          <w:rFonts w:hint="eastAsia" w:ascii="Times New Roman" w:eastAsia="仿宋_GB2312"/>
          <w:sz w:val="32"/>
          <w:szCs w:val="32"/>
          <w:lang w:val="zh-CN" w:bidi="ar"/>
        </w:rPr>
        <w:t>）</w:t>
      </w:r>
    </w:p>
    <w:p w14:paraId="072AA072">
      <w:pPr>
        <w:pStyle w:val="8"/>
        <w:spacing w:line="560" w:lineRule="exact"/>
        <w:ind w:firstLine="640"/>
        <w:rPr>
          <w:rFonts w:hint="eastAsia" w:ascii="Times New Roman" w:hAnsi="Times New Roman" w:eastAsia="仿宋_GB2312"/>
          <w:sz w:val="32"/>
          <w:szCs w:val="32"/>
          <w:lang w:val="zh-CN" w:bidi="ar"/>
        </w:rPr>
      </w:pPr>
    </w:p>
    <w:p w14:paraId="5376E9AC">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一、部门（单位）基本情况</w:t>
      </w:r>
    </w:p>
    <w:p w14:paraId="471BFFE6">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（一）机构组成。</w:t>
      </w:r>
      <w:r>
        <w:rPr>
          <w:rFonts w:hint="eastAsia" w:ascii="Times New Roman" w:hAnsi="Times New Roman" w:eastAsia="仿宋_GB2312"/>
          <w:sz w:val="32"/>
          <w:szCs w:val="32"/>
          <w:lang w:val="zh-CN" w:bidi="ar"/>
        </w:rPr>
        <w:t>攀枝花市不动产登记中心内设6个科（综合科、登记一科、登记二科、权籍科、信息科、档案科），3个分中心（东区分中心、西区分中心、仁和区分中心），除3个分中心以外，已整体入驻市政务服务中心开展工作。</w:t>
      </w:r>
    </w:p>
    <w:p w14:paraId="1EE39EAF">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（二）机构职能。</w:t>
      </w:r>
      <w:r>
        <w:rPr>
          <w:rFonts w:hint="eastAsia" w:ascii="Times New Roman" w:hAnsi="Times New Roman" w:eastAsia="仿宋_GB2312"/>
          <w:sz w:val="32"/>
          <w:szCs w:val="32"/>
          <w:lang w:val="zh-CN" w:bidi="ar"/>
        </w:rPr>
        <w:t>攀枝花市不动产登记中心是由中共攀枝花市委机构编制委员会批准设立（攀编发〔2015〕48号），为攀枝花市自然资源和规划局所属公益一类事业单位。承担市自然资源和规划局职责范围内的土地、房屋、林地、草原等不动产登记具体经办工作</w:t>
      </w:r>
      <w:r>
        <w:rPr>
          <w:rFonts w:hint="default" w:ascii="Times New Roman" w:hAnsi="Times New Roman" w:eastAsia="仿宋_GB2312" w:cs="Times New Roman"/>
          <w:sz w:val="32"/>
          <w:szCs w:val="32"/>
        </w:rPr>
        <w:t>，负责国土资源档案管理工作，负责城乡规划档案管理工作</w:t>
      </w:r>
      <w:r>
        <w:rPr>
          <w:rFonts w:hint="eastAsia" w:ascii="Times New Roman" w:hAnsi="Times New Roman" w:eastAsia="仿宋_GB2312"/>
          <w:sz w:val="32"/>
          <w:szCs w:val="32"/>
          <w:lang w:val="zh-CN" w:bidi="ar"/>
        </w:rPr>
        <w:t>。</w:t>
      </w:r>
    </w:p>
    <w:p w14:paraId="7EF08765">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（三）人员概况。</w:t>
      </w:r>
      <w:r>
        <w:rPr>
          <w:rFonts w:hint="eastAsia" w:ascii="Times New Roman" w:hAnsi="Times New Roman" w:eastAsia="仿宋_GB2312"/>
          <w:sz w:val="32"/>
          <w:szCs w:val="32"/>
          <w:lang w:val="zh-CN" w:bidi="ar"/>
        </w:rPr>
        <w:t>截至202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年末，事业编制54人，实有在职人数</w:t>
      </w:r>
      <w:r>
        <w:rPr>
          <w:rFonts w:hint="eastAsia" w:ascii="Times New Roman" w:hAnsi="Times New Roman" w:eastAsia="仿宋_GB2312"/>
          <w:sz w:val="32"/>
          <w:szCs w:val="32"/>
          <w:lang w:val="en-US" w:eastAsia="zh-CN" w:bidi="ar"/>
        </w:rPr>
        <w:t>52</w:t>
      </w:r>
      <w:r>
        <w:rPr>
          <w:rFonts w:hint="eastAsia" w:ascii="Times New Roman" w:hAnsi="Times New Roman" w:eastAsia="仿宋_GB2312"/>
          <w:sz w:val="32"/>
          <w:szCs w:val="32"/>
          <w:lang w:val="zh-CN" w:bidi="ar"/>
        </w:rPr>
        <w:t>人</w:t>
      </w:r>
      <w:r>
        <w:rPr>
          <w:rFonts w:hint="eastAsia" w:ascii="Times New Roman" w:eastAsia="仿宋_GB2312"/>
          <w:sz w:val="32"/>
          <w:szCs w:val="32"/>
          <w:lang w:val="zh-CN" w:bidi="ar"/>
        </w:rPr>
        <w:t>，</w:t>
      </w:r>
      <w:r>
        <w:rPr>
          <w:rFonts w:hint="eastAsia" w:ascii="Times New Roman" w:hAnsi="Times New Roman" w:eastAsia="仿宋_GB2312"/>
          <w:sz w:val="32"/>
          <w:szCs w:val="32"/>
          <w:lang w:val="zh-CN" w:bidi="ar"/>
        </w:rPr>
        <w:t>退休职工1</w:t>
      </w:r>
      <w:r>
        <w:rPr>
          <w:rFonts w:hint="eastAsia" w:ascii="Times New Roman" w:hAnsi="Times New Roman" w:eastAsia="仿宋_GB2312"/>
          <w:sz w:val="32"/>
          <w:szCs w:val="32"/>
          <w:lang w:val="en-US" w:eastAsia="zh-CN" w:bidi="ar"/>
        </w:rPr>
        <w:t>8</w:t>
      </w:r>
      <w:r>
        <w:rPr>
          <w:rFonts w:hint="eastAsia" w:ascii="Times New Roman" w:hAnsi="Times New Roman" w:eastAsia="仿宋_GB2312"/>
          <w:sz w:val="32"/>
          <w:szCs w:val="32"/>
          <w:lang w:val="zh-CN" w:bidi="ar"/>
        </w:rPr>
        <w:t>人。</w:t>
      </w:r>
    </w:p>
    <w:p w14:paraId="2D566DFA">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二、部门资金收支情况</w:t>
      </w:r>
    </w:p>
    <w:p w14:paraId="059A2064">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（一）收入情况。</w:t>
      </w:r>
      <w:r>
        <w:rPr>
          <w:rFonts w:hint="eastAsia" w:ascii="Times New Roman" w:hAnsi="Times New Roman" w:eastAsia="仿宋_GB2312"/>
          <w:sz w:val="32"/>
          <w:szCs w:val="32"/>
          <w:lang w:val="zh-CN" w:bidi="ar"/>
        </w:rPr>
        <w:t>攀枝花市不动产登记中心202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w:t>
      </w:r>
      <w:r>
        <w:rPr>
          <w:rFonts w:hint="eastAsia" w:ascii="Times New Roman" w:eastAsia="仿宋_GB2312"/>
          <w:sz w:val="32"/>
          <w:szCs w:val="32"/>
          <w:lang w:bidi="ar"/>
        </w:rPr>
        <w:t>收</w:t>
      </w:r>
      <w:r>
        <w:rPr>
          <w:rFonts w:hint="eastAsia" w:ascii="Times New Roman" w:eastAsia="仿宋_GB2312"/>
          <w:sz w:val="32"/>
          <w:szCs w:val="32"/>
          <w:lang w:eastAsia="zh-CN" w:bidi="ar"/>
        </w:rPr>
        <w:t>入</w:t>
      </w:r>
      <w:r>
        <w:rPr>
          <w:rFonts w:hint="eastAsia" w:ascii="Times New Roman" w:hAnsi="Times New Roman" w:eastAsia="仿宋_GB2312"/>
          <w:sz w:val="32"/>
          <w:szCs w:val="32"/>
          <w:lang w:val="en-US" w:eastAsia="zh-CN" w:bidi="ar"/>
        </w:rPr>
        <w:t>1443.57</w:t>
      </w:r>
      <w:r>
        <w:rPr>
          <w:rFonts w:hint="eastAsia" w:ascii="Times New Roman" w:hAnsi="Times New Roman" w:eastAsia="仿宋_GB2312"/>
          <w:sz w:val="32"/>
          <w:szCs w:val="32"/>
          <w:lang w:val="zh-CN" w:bidi="ar"/>
        </w:rPr>
        <w:t>万元。</w:t>
      </w:r>
    </w:p>
    <w:p w14:paraId="3B021A8D">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（二）支出情况。</w:t>
      </w:r>
      <w:r>
        <w:rPr>
          <w:rFonts w:hint="eastAsia" w:ascii="Times New Roman" w:hAnsi="Times New Roman" w:eastAsia="仿宋_GB2312"/>
          <w:sz w:val="32"/>
          <w:szCs w:val="32"/>
          <w:lang w:val="zh-CN" w:bidi="ar"/>
        </w:rPr>
        <w:t>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年度支出1</w:t>
      </w:r>
      <w:r>
        <w:rPr>
          <w:rFonts w:hint="eastAsia" w:ascii="Times New Roman" w:hAnsi="Times New Roman" w:eastAsia="仿宋_GB2312"/>
          <w:sz w:val="32"/>
          <w:szCs w:val="32"/>
          <w:lang w:val="en-US" w:eastAsia="zh-CN" w:bidi="ar"/>
        </w:rPr>
        <w:t>443.57</w:t>
      </w:r>
      <w:r>
        <w:rPr>
          <w:rFonts w:hint="eastAsia" w:ascii="Times New Roman" w:hAnsi="Times New Roman" w:eastAsia="仿宋_GB2312"/>
          <w:sz w:val="32"/>
          <w:szCs w:val="32"/>
          <w:lang w:val="zh-CN" w:bidi="ar"/>
        </w:rPr>
        <w:t>万元，主要包括人员工资、五险一金、不动产登记成本支出等。较</w:t>
      </w:r>
      <w:r>
        <w:rPr>
          <w:rFonts w:hint="eastAsia" w:ascii="Times New Roman" w:eastAsia="仿宋_GB2312"/>
          <w:sz w:val="32"/>
          <w:szCs w:val="32"/>
          <w:lang w:val="zh-CN" w:bidi="ar"/>
        </w:rPr>
        <w:t>好地</w:t>
      </w:r>
      <w:r>
        <w:rPr>
          <w:rFonts w:hint="eastAsia" w:ascii="Times New Roman" w:hAnsi="Times New Roman" w:eastAsia="仿宋_GB2312"/>
          <w:sz w:val="32"/>
          <w:szCs w:val="32"/>
          <w:lang w:val="zh-CN" w:bidi="ar"/>
        </w:rPr>
        <w:t>完成了202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职责范围内的自然资源、不动产登记发证工作，较好地开展了与本级登记发证工作权限相应的权籍查验工作，承担市自然资源和规划档案及确权登记发证资料的归档、保管、利用工作，保障了市级自然资源、不动产登记数据整合建库和社会查询服务等的顺利开展。</w:t>
      </w:r>
    </w:p>
    <w:p w14:paraId="19982176">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（三）结余分配和结转结余情况。</w:t>
      </w:r>
      <w:r>
        <w:rPr>
          <w:rFonts w:hint="eastAsia" w:ascii="Times New Roman" w:hAnsi="Times New Roman" w:eastAsia="仿宋_GB2312"/>
          <w:sz w:val="32"/>
          <w:szCs w:val="32"/>
          <w:lang w:val="zh-CN" w:bidi="ar"/>
        </w:rPr>
        <w:t>攀枝花市不动产登记中心202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年度决算报表结转结余0元。</w:t>
      </w:r>
    </w:p>
    <w:p w14:paraId="6ACC1C95">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三、部门预算绩效分析</w:t>
      </w:r>
    </w:p>
    <w:p w14:paraId="68E58087">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（一）部门预算总体绩效分析。</w:t>
      </w:r>
      <w:r>
        <w:rPr>
          <w:rFonts w:hint="eastAsia" w:ascii="Times New Roman" w:hAnsi="Times New Roman" w:eastAsia="仿宋_GB2312"/>
          <w:sz w:val="32"/>
          <w:szCs w:val="32"/>
          <w:lang w:val="zh-CN" w:bidi="ar"/>
        </w:rPr>
        <w:t>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年度收入预算</w:t>
      </w:r>
      <w:r>
        <w:rPr>
          <w:rFonts w:hint="eastAsia" w:ascii="Times New Roman" w:hAnsi="Times New Roman" w:eastAsia="仿宋_GB2312"/>
          <w:sz w:val="32"/>
          <w:szCs w:val="32"/>
          <w:lang w:val="en-US" w:eastAsia="zh-CN" w:bidi="ar"/>
        </w:rPr>
        <w:t>1443.57</w:t>
      </w:r>
      <w:r>
        <w:rPr>
          <w:rFonts w:hint="eastAsia" w:ascii="Times New Roman" w:hAnsi="Times New Roman" w:eastAsia="仿宋_GB2312"/>
          <w:sz w:val="32"/>
          <w:szCs w:val="32"/>
          <w:lang w:val="zh-CN" w:bidi="ar"/>
        </w:rPr>
        <w:t>万元，支出</w:t>
      </w:r>
      <w:r>
        <w:rPr>
          <w:rFonts w:hint="eastAsia" w:ascii="Times New Roman" w:hAnsi="Times New Roman" w:eastAsia="仿宋_GB2312"/>
          <w:sz w:val="32"/>
          <w:szCs w:val="32"/>
          <w:lang w:val="en-US" w:eastAsia="zh-CN" w:bidi="ar"/>
        </w:rPr>
        <w:t>1443.57</w:t>
      </w:r>
      <w:r>
        <w:rPr>
          <w:rFonts w:hint="eastAsia" w:ascii="Times New Roman" w:hAnsi="Times New Roman" w:eastAsia="仿宋_GB2312"/>
          <w:sz w:val="32"/>
          <w:szCs w:val="32"/>
          <w:lang w:val="zh-CN" w:bidi="ar"/>
        </w:rPr>
        <w:t>万元，预算执行率100%。完成了202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职责范围内的自然资源、不动产登记发证工作，较好地开展了与本级登记发证工作权限相应的权籍查验工作，承担市自然资源和规划档案及确权登记发证资料的归档、保管、利用工作，保障了市级自然资源、不动产登记数据整合建库和社会查询服务等的顺利开展。</w:t>
      </w:r>
    </w:p>
    <w:p w14:paraId="32BC5CFF">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（二）部门预算项目绩效分析。</w:t>
      </w:r>
      <w:r>
        <w:rPr>
          <w:rFonts w:hint="eastAsia" w:ascii="Times New Roman" w:hAnsi="Times New Roman" w:eastAsia="仿宋_GB2312"/>
          <w:sz w:val="32"/>
          <w:szCs w:val="32"/>
          <w:lang w:val="zh-CN" w:bidi="ar"/>
        </w:rPr>
        <w:t>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年一般公共预算安排项目，入驻政务中心单位租金物业费及水电费1</w:t>
      </w:r>
      <w:r>
        <w:rPr>
          <w:rFonts w:hint="eastAsia" w:ascii="Times New Roman" w:hAnsi="Times New Roman" w:eastAsia="仿宋_GB2312"/>
          <w:sz w:val="32"/>
          <w:szCs w:val="32"/>
          <w:lang w:val="en-US" w:eastAsia="zh-CN" w:bidi="ar"/>
        </w:rPr>
        <w:t>33.82</w:t>
      </w:r>
      <w:r>
        <w:rPr>
          <w:rFonts w:hint="eastAsia" w:ascii="Times New Roman" w:hAnsi="Times New Roman" w:eastAsia="仿宋_GB2312"/>
          <w:sz w:val="32"/>
          <w:szCs w:val="32"/>
          <w:lang w:val="zh-CN" w:bidi="ar"/>
        </w:rPr>
        <w:t>万元，不动产登记成本费用5</w:t>
      </w:r>
      <w:r>
        <w:rPr>
          <w:rFonts w:hint="eastAsia" w:ascii="Times New Roman" w:hAnsi="Times New Roman" w:eastAsia="仿宋_GB2312"/>
          <w:sz w:val="32"/>
          <w:szCs w:val="32"/>
          <w:lang w:val="en-US" w:eastAsia="zh-CN" w:bidi="ar"/>
        </w:rPr>
        <w:t>4.8</w:t>
      </w:r>
      <w:r>
        <w:rPr>
          <w:rFonts w:hint="eastAsia" w:ascii="Times New Roman" w:hAnsi="Times New Roman" w:eastAsia="仿宋_GB2312"/>
          <w:sz w:val="32"/>
          <w:szCs w:val="32"/>
          <w:lang w:val="zh-CN" w:bidi="ar"/>
        </w:rPr>
        <w:t>万元，2024年度不动产权籍调查与测绘服务项目</w:t>
      </w:r>
      <w:r>
        <w:rPr>
          <w:rFonts w:hint="eastAsia" w:ascii="Times New Roman" w:hAnsi="Times New Roman" w:eastAsia="仿宋_GB2312"/>
          <w:sz w:val="32"/>
          <w:szCs w:val="32"/>
          <w:lang w:val="en-US" w:eastAsia="zh-CN" w:bidi="ar"/>
        </w:rPr>
        <w:t>26.88</w:t>
      </w:r>
      <w:r>
        <w:rPr>
          <w:rFonts w:hint="eastAsia" w:ascii="Times New Roman" w:hAnsi="Times New Roman" w:eastAsia="仿宋_GB2312"/>
          <w:sz w:val="32"/>
          <w:szCs w:val="32"/>
          <w:lang w:val="zh-CN" w:bidi="ar"/>
        </w:rPr>
        <w:t>万元。以上项目均完成了目标任务，不存在目标偏离和项目调整情况；项目执行和资金使用都达到预期目标。</w:t>
      </w:r>
    </w:p>
    <w:p w14:paraId="2E35B857">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（三）绩效结果应用情况。</w:t>
      </w:r>
      <w:r>
        <w:rPr>
          <w:rFonts w:hint="eastAsia" w:ascii="Times New Roman" w:hAnsi="Times New Roman" w:eastAsia="仿宋_GB2312"/>
          <w:sz w:val="32"/>
          <w:szCs w:val="32"/>
          <w:lang w:val="zh-CN" w:bidi="ar"/>
        </w:rPr>
        <w:t>绩效自评结果主要用于业务科室对专项工作检验，发现项目绩效评价工作中的不足和做得好的地方，用于改进工作和指导制定下一个项目绩效评价中的年度指标。绩效自评结果将在市局的公示栏中进行公示。</w:t>
      </w:r>
    </w:p>
    <w:p w14:paraId="49EF03D9">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四、评价结论及建议</w:t>
      </w:r>
    </w:p>
    <w:p w14:paraId="35C77E0D">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（一）评价结论。</w:t>
      </w:r>
      <w:r>
        <w:rPr>
          <w:rFonts w:hint="eastAsia" w:ascii="Times New Roman" w:hAnsi="Times New Roman" w:eastAsia="仿宋_GB2312"/>
          <w:sz w:val="32"/>
          <w:szCs w:val="32"/>
          <w:lang w:val="zh-CN" w:bidi="ar"/>
        </w:rPr>
        <w:t>绩效目标要素完整、进行了细化、量化。单位绩效目标实际实现程度与预期目标的偏离度小。开展绩效运行监控，及时将绩效监控结果应用到预算调整中。202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年度预算执行情况完成较好，整体支出绩效自评得分</w:t>
      </w:r>
      <w:r>
        <w:rPr>
          <w:rFonts w:hint="eastAsia" w:ascii="Times New Roman" w:hAnsi="Times New Roman" w:eastAsia="仿宋_GB2312"/>
          <w:sz w:val="32"/>
          <w:szCs w:val="32"/>
          <w:lang w:val="en-US" w:eastAsia="zh-CN" w:bidi="ar"/>
        </w:rPr>
        <w:t>95</w:t>
      </w:r>
      <w:r>
        <w:rPr>
          <w:rFonts w:hint="eastAsia" w:ascii="Times New Roman" w:hAnsi="Times New Roman" w:eastAsia="仿宋_GB2312"/>
          <w:sz w:val="32"/>
          <w:szCs w:val="32"/>
          <w:lang w:val="zh-CN" w:bidi="ar"/>
        </w:rPr>
        <w:t>分。</w:t>
      </w:r>
    </w:p>
    <w:p w14:paraId="1D6C2FB5">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（二）存在问题。</w:t>
      </w:r>
      <w:r>
        <w:rPr>
          <w:rFonts w:hint="eastAsia" w:ascii="Times New Roman" w:hAnsi="Times New Roman" w:eastAsia="仿宋_GB2312"/>
          <w:sz w:val="32"/>
          <w:szCs w:val="32"/>
          <w:lang w:val="zh-CN" w:bidi="ar"/>
        </w:rPr>
        <w:t>预算编制精细化存在差距。进一步严格按照预算编制文件规定，科学精细编制预算，切实提高单位预算管理水平。</w:t>
      </w:r>
    </w:p>
    <w:p w14:paraId="08A39632">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（三）改进建议。</w:t>
      </w:r>
      <w:r>
        <w:rPr>
          <w:rFonts w:hint="eastAsia" w:ascii="Times New Roman" w:hAnsi="Times New Roman" w:eastAsia="仿宋_GB2312"/>
          <w:sz w:val="32"/>
          <w:szCs w:val="32"/>
          <w:lang w:val="zh-CN" w:bidi="ar"/>
        </w:rPr>
        <w:t>加强单位预算编制工作，逐项作出预算计划，合理编制预算，预算财务分析常态化，定期做好预算支出财务分析，做好单位整体支出预算评价工作。</w:t>
      </w:r>
    </w:p>
    <w:p w14:paraId="5709C3B9">
      <w:pPr>
        <w:pStyle w:val="8"/>
        <w:spacing w:line="560" w:lineRule="exact"/>
        <w:ind w:firstLine="640"/>
        <w:rPr>
          <w:rFonts w:hint="eastAsia" w:ascii="Times New Roman" w:hAnsi="Times New Roman" w:eastAsia="仿宋_GB2312"/>
          <w:sz w:val="32"/>
          <w:szCs w:val="32"/>
          <w:lang w:val="zh-CN" w:bidi="ar"/>
        </w:rPr>
      </w:pPr>
    </w:p>
    <w:p w14:paraId="2A1275A8">
      <w:pPr>
        <w:rPr>
          <w:rFonts w:hint="eastAsia"/>
          <w:lang w:val="zh-CN" w:eastAsia="zh-CN"/>
        </w:rPr>
      </w:pPr>
    </w:p>
    <w:p w14:paraId="231B9ECF">
      <w:pPr>
        <w:widowControl/>
        <w:suppressAutoHyphens/>
        <w:spacing w:line="578" w:lineRule="exact"/>
        <w:contextualSpacing/>
        <w:jc w:val="center"/>
        <w:rPr>
          <w:rFonts w:ascii="Times New Roman" w:hAnsi="Times New Roman" w:eastAsia="方正小标宋简体" w:cs="Times New Roman"/>
          <w:bCs/>
          <w:sz w:val="44"/>
          <w:szCs w:val="44"/>
          <w:shd w:val="clear" w:color="auto" w:fill="FFFFFF"/>
        </w:rPr>
      </w:pPr>
      <w:r>
        <w:rPr>
          <w:rFonts w:ascii="Times New Roman" w:hAnsi="Times New Roman" w:eastAsia="方正小标宋简体" w:cs="Times New Roman"/>
          <w:bCs/>
          <w:sz w:val="44"/>
          <w:szCs w:val="44"/>
          <w:shd w:val="clear" w:color="auto" w:fill="FFFFFF"/>
        </w:rPr>
        <w:t>部门预算绩效</w:t>
      </w:r>
      <w:r>
        <w:rPr>
          <w:rFonts w:hint="eastAsia" w:ascii="Times New Roman" w:hAnsi="Times New Roman" w:eastAsia="方正小标宋简体" w:cs="Times New Roman"/>
          <w:bCs/>
          <w:sz w:val="44"/>
          <w:szCs w:val="44"/>
          <w:shd w:val="clear" w:color="auto" w:fill="FFFFFF"/>
        </w:rPr>
        <w:t>评价</w:t>
      </w:r>
      <w:r>
        <w:rPr>
          <w:rFonts w:ascii="Times New Roman" w:hAnsi="Times New Roman" w:eastAsia="方正小标宋简体" w:cs="Times New Roman"/>
          <w:bCs/>
          <w:sz w:val="44"/>
          <w:szCs w:val="44"/>
          <w:shd w:val="clear" w:color="auto" w:fill="FFFFFF"/>
        </w:rPr>
        <w:t>报告</w:t>
      </w:r>
    </w:p>
    <w:p w14:paraId="70626D78">
      <w:pPr>
        <w:pStyle w:val="8"/>
        <w:spacing w:line="560" w:lineRule="exact"/>
        <w:ind w:firstLine="1920" w:firstLineChars="600"/>
        <w:outlineLvl w:val="3"/>
        <w:rPr>
          <w:rFonts w:ascii="Times New Roman" w:eastAsia="仿宋_GB2312"/>
          <w:sz w:val="32"/>
          <w:szCs w:val="32"/>
          <w:lang w:bidi="ar"/>
        </w:rPr>
      </w:pPr>
      <w:r>
        <w:rPr>
          <w:rFonts w:hint="eastAsia" w:ascii="Times New Roman" w:eastAsia="仿宋_GB2312"/>
          <w:sz w:val="32"/>
          <w:szCs w:val="32"/>
          <w:lang w:bidi="ar"/>
        </w:rPr>
        <w:t>（</w:t>
      </w:r>
      <w:r>
        <w:rPr>
          <w:rFonts w:ascii="Times New Roman" w:eastAsia="仿宋_GB2312"/>
          <w:sz w:val="32"/>
          <w:szCs w:val="32"/>
          <w:lang w:bidi="ar"/>
        </w:rPr>
        <w:t>攀枝花市地理信息中心</w:t>
      </w:r>
      <w:r>
        <w:rPr>
          <w:rFonts w:hint="eastAsia" w:ascii="Times New Roman" w:eastAsia="仿宋_GB2312"/>
          <w:sz w:val="32"/>
          <w:szCs w:val="32"/>
          <w:lang w:bidi="ar"/>
        </w:rPr>
        <w:t>）</w:t>
      </w:r>
    </w:p>
    <w:p w14:paraId="014AE03D">
      <w:pPr>
        <w:widowControl/>
        <w:suppressAutoHyphens/>
        <w:adjustRightInd w:val="0"/>
        <w:snapToGrid w:val="0"/>
        <w:spacing w:line="578" w:lineRule="exact"/>
        <w:ind w:firstLine="480" w:firstLineChars="200"/>
        <w:contextualSpacing/>
        <w:jc w:val="left"/>
        <w:rPr>
          <w:rFonts w:ascii="Times New Roman" w:hAnsi="Times New Roman" w:eastAsia="黑体" w:cs="Times New Roman"/>
          <w:color w:val="000000"/>
          <w:kern w:val="0"/>
          <w:sz w:val="24"/>
          <w:szCs w:val="32"/>
          <w:shd w:val="clear" w:color="auto" w:fill="FFFFFF"/>
        </w:rPr>
      </w:pPr>
    </w:p>
    <w:p w14:paraId="431EEF9E">
      <w:pPr>
        <w:widowControl/>
        <w:suppressAutoHyphens/>
        <w:adjustRightInd w:val="0"/>
        <w:snapToGrid w:val="0"/>
        <w:spacing w:line="578" w:lineRule="exact"/>
        <w:ind w:firstLine="640" w:firstLineChars="200"/>
        <w:contextualSpacing/>
        <w:jc w:val="left"/>
        <w:rPr>
          <w:rFonts w:ascii="Calibri" w:hAnsi="Calibri" w:eastAsia="黑体" w:cs="Times New Roman"/>
          <w:color w:val="000000"/>
          <w:kern w:val="0"/>
          <w:sz w:val="32"/>
          <w:szCs w:val="32"/>
          <w:shd w:val="clear" w:color="auto" w:fill="FFFFFF"/>
          <w:lang w:val="zh-CN" w:eastAsia="zh-CN"/>
        </w:rPr>
      </w:pPr>
      <w:r>
        <w:rPr>
          <w:rFonts w:hint="eastAsia" w:ascii="Calibri" w:hAnsi="Calibri" w:eastAsia="黑体" w:cs="Times New Roman"/>
          <w:color w:val="000000"/>
          <w:kern w:val="0"/>
          <w:sz w:val="32"/>
          <w:szCs w:val="32"/>
          <w:shd w:val="clear" w:color="auto" w:fill="FFFFFF"/>
          <w:lang w:val="zh-CN" w:eastAsia="zh-CN"/>
        </w:rPr>
        <w:t>一、</w:t>
      </w:r>
      <w:r>
        <w:rPr>
          <w:rFonts w:ascii="Calibri" w:hAnsi="Calibri" w:eastAsia="黑体" w:cs="Times New Roman"/>
          <w:color w:val="000000"/>
          <w:kern w:val="0"/>
          <w:sz w:val="32"/>
          <w:szCs w:val="32"/>
          <w:shd w:val="clear" w:color="auto" w:fill="FFFFFF"/>
          <w:lang w:val="zh-CN" w:eastAsia="zh-CN"/>
        </w:rPr>
        <w:t>单位基本情况</w:t>
      </w:r>
    </w:p>
    <w:p w14:paraId="454A6D66">
      <w:pPr>
        <w:widowControl w:val="0"/>
        <w:suppressAutoHyphens/>
        <w:spacing w:before="0" w:after="140" w:line="600" w:lineRule="exact"/>
        <w:ind w:firstLine="643" w:firstLineChars="200"/>
        <w:jc w:val="both"/>
        <w:rPr>
          <w:rFonts w:ascii="Calibri" w:hAnsi="Calibri" w:eastAsia="宋体" w:cs="Times New Roman"/>
          <w:kern w:val="2"/>
          <w:sz w:val="21"/>
          <w:szCs w:val="24"/>
          <w:lang w:val="zh-CN" w:eastAsia="zh-CN" w:bidi="ar-SA"/>
        </w:rPr>
      </w:pPr>
      <w:r>
        <w:rPr>
          <w:rFonts w:hint="eastAsia" w:ascii="Times New Roman" w:hAnsi="Times New Roman" w:eastAsia="楷体_GB2312" w:cs="Times New Roman"/>
          <w:b/>
          <w:bCs/>
          <w:color w:val="000000"/>
          <w:kern w:val="0"/>
          <w:sz w:val="32"/>
          <w:szCs w:val="32"/>
          <w:shd w:val="clear" w:color="auto" w:fill="FFFFFF"/>
          <w:lang w:val="zh-CN" w:eastAsia="zh-CN" w:bidi="ar-SA"/>
        </w:rPr>
        <w:t>（一）</w:t>
      </w:r>
      <w:r>
        <w:rPr>
          <w:rFonts w:ascii="Times New Roman" w:hAnsi="Times New Roman" w:eastAsia="楷体_GB2312" w:cs="Times New Roman"/>
          <w:b/>
          <w:bCs/>
          <w:color w:val="000000"/>
          <w:kern w:val="0"/>
          <w:sz w:val="32"/>
          <w:szCs w:val="32"/>
          <w:shd w:val="clear" w:color="auto" w:fill="FFFFFF"/>
          <w:lang w:val="zh-CN" w:eastAsia="zh-CN" w:bidi="ar-SA"/>
        </w:rPr>
        <w:t>机构组成。</w:t>
      </w:r>
      <w:r>
        <w:rPr>
          <w:rFonts w:hint="eastAsia" w:ascii="仿宋_GB2312" w:hAnsi="宋体" w:eastAsia="仿宋_GB2312" w:cs="Times New Roman"/>
          <w:kern w:val="2"/>
          <w:sz w:val="32"/>
          <w:szCs w:val="32"/>
          <w:lang w:val="en-US" w:eastAsia="zh-CN" w:bidi="ar-SA"/>
        </w:rPr>
        <w:t>攀枝花市地理信息中心是公益二类事业单位，无内设机构。根据单位实际情况及工作需求自行设立办公室、财务室、生产经营部、技术部、主任办等部门。</w:t>
      </w:r>
    </w:p>
    <w:p w14:paraId="7F6C5037">
      <w:pPr>
        <w:widowControl/>
        <w:suppressAutoHyphens/>
        <w:adjustRightInd w:val="0"/>
        <w:snapToGrid w:val="0"/>
        <w:spacing w:line="600" w:lineRule="exact"/>
        <w:ind w:firstLine="643" w:firstLineChars="200"/>
        <w:contextualSpacing/>
        <w:jc w:val="left"/>
        <w:rPr>
          <w:rFonts w:hint="eastAsia" w:ascii="Times New Roman" w:hAnsi="Times New Roman" w:eastAsia="楷体_GB2312" w:cs="Times New Roman"/>
          <w:b/>
          <w:bCs/>
          <w:color w:val="000000"/>
          <w:kern w:val="0"/>
          <w:sz w:val="32"/>
          <w:szCs w:val="32"/>
          <w:shd w:val="clear" w:color="auto" w:fill="FFFFFF"/>
          <w:lang w:val="zh-CN" w:eastAsia="zh-CN"/>
        </w:rPr>
      </w:pPr>
      <w:r>
        <w:rPr>
          <w:rFonts w:ascii="Times New Roman" w:hAnsi="Times New Roman" w:eastAsia="楷体_GB2312" w:cs="Times New Roman"/>
          <w:b/>
          <w:bCs/>
          <w:color w:val="000000"/>
          <w:kern w:val="0"/>
          <w:sz w:val="32"/>
          <w:szCs w:val="32"/>
          <w:shd w:val="clear" w:color="auto" w:fill="FFFFFF"/>
          <w:lang w:val="zh-CN" w:eastAsia="zh-CN"/>
        </w:rPr>
        <w:t>（二）机构职能</w:t>
      </w:r>
      <w:r>
        <w:rPr>
          <w:rFonts w:hint="eastAsia" w:ascii="Times New Roman" w:hAnsi="Times New Roman" w:eastAsia="楷体_GB2312" w:cs="Times New Roman"/>
          <w:b/>
          <w:bCs/>
          <w:color w:val="000000"/>
          <w:kern w:val="0"/>
          <w:sz w:val="32"/>
          <w:szCs w:val="32"/>
          <w:shd w:val="clear" w:color="auto" w:fill="FFFFFF"/>
          <w:lang w:val="zh-CN" w:eastAsia="zh-CN"/>
        </w:rPr>
        <w:t>。</w:t>
      </w:r>
    </w:p>
    <w:p w14:paraId="125DDB0C">
      <w:pPr>
        <w:widowControl/>
        <w:suppressAutoHyphens/>
        <w:adjustRightInd w:val="0"/>
        <w:snapToGrid w:val="0"/>
        <w:spacing w:line="600" w:lineRule="exact"/>
        <w:ind w:firstLine="640" w:firstLineChars="200"/>
        <w:contextualSpacing/>
        <w:jc w:val="left"/>
        <w:rPr>
          <w:rFonts w:hint="eastAsia" w:ascii="仿宋_GB2312" w:hAnsi="宋体" w:eastAsia="仿宋_GB2312" w:cs="Times New Roman"/>
          <w:sz w:val="32"/>
          <w:szCs w:val="32"/>
        </w:rPr>
      </w:pPr>
      <w:r>
        <w:rPr>
          <w:rFonts w:hint="eastAsia" w:ascii="仿宋_GB2312" w:hAnsi="宋体" w:eastAsia="仿宋_GB2312" w:cs="Times New Roman"/>
          <w:sz w:val="32"/>
          <w:szCs w:val="32"/>
          <w:lang w:eastAsia="zh-CN"/>
        </w:rPr>
        <w:t>1.</w:t>
      </w:r>
      <w:r>
        <w:rPr>
          <w:rFonts w:hint="eastAsia" w:ascii="仿宋_GB2312" w:hAnsi="宋体" w:eastAsia="仿宋_GB2312" w:cs="Times New Roman"/>
          <w:sz w:val="32"/>
          <w:szCs w:val="32"/>
        </w:rPr>
        <w:t>为全市各级机关、企事业单位提供最新建设信息和城市空间定位信息服务，实现数据共享，确保城市规划、建设和管理的有序进行。</w:t>
      </w:r>
    </w:p>
    <w:p w14:paraId="022C0D7A">
      <w:pPr>
        <w:suppressAutoHyphens/>
        <w:spacing w:line="600" w:lineRule="exact"/>
        <w:ind w:firstLine="640" w:firstLineChars="200"/>
        <w:rPr>
          <w:rFonts w:hint="eastAsia" w:ascii="仿宋_GB2312" w:hAnsi="宋体" w:eastAsia="仿宋_GB2312" w:cs="Times New Roman"/>
          <w:sz w:val="32"/>
          <w:szCs w:val="32"/>
        </w:rPr>
      </w:pPr>
      <w:r>
        <w:rPr>
          <w:rFonts w:hint="eastAsia" w:ascii="仿宋_GB2312" w:hAnsi="宋体" w:eastAsia="仿宋_GB2312" w:cs="Times New Roman"/>
          <w:sz w:val="32"/>
          <w:szCs w:val="32"/>
          <w:lang w:eastAsia="zh-CN"/>
        </w:rPr>
        <w:t>2.</w:t>
      </w:r>
      <w:r>
        <w:rPr>
          <w:rFonts w:hint="eastAsia" w:ascii="仿宋_GB2312" w:hAnsi="宋体" w:eastAsia="仿宋_GB2312" w:cs="Times New Roman"/>
          <w:sz w:val="32"/>
          <w:szCs w:val="32"/>
        </w:rPr>
        <w:t>负责城市空间定位信息数据库系统的实时更新、调整及日常维护等工作。</w:t>
      </w:r>
    </w:p>
    <w:p w14:paraId="6F6E4BEC">
      <w:pPr>
        <w:suppressAutoHyphens/>
        <w:spacing w:line="600" w:lineRule="exact"/>
        <w:ind w:firstLine="640" w:firstLineChars="200"/>
        <w:rPr>
          <w:rFonts w:hint="eastAsia" w:ascii="仿宋_GB2312" w:hAnsi="宋体" w:eastAsia="仿宋_GB2312" w:cs="Times New Roman"/>
          <w:sz w:val="32"/>
          <w:szCs w:val="32"/>
        </w:rPr>
      </w:pPr>
      <w:r>
        <w:rPr>
          <w:rFonts w:hint="eastAsia" w:ascii="仿宋_GB2312" w:hAnsi="宋体" w:eastAsia="仿宋_GB2312" w:cs="Times New Roman"/>
          <w:sz w:val="32"/>
          <w:szCs w:val="32"/>
          <w:lang w:eastAsia="zh-CN"/>
        </w:rPr>
        <w:t>3.</w:t>
      </w:r>
      <w:r>
        <w:rPr>
          <w:rFonts w:hint="eastAsia" w:ascii="仿宋_GB2312" w:hAnsi="宋体" w:eastAsia="仿宋_GB2312" w:cs="Times New Roman"/>
          <w:sz w:val="32"/>
          <w:szCs w:val="32"/>
        </w:rPr>
        <w:t>负责全市基础地理信息的汇集、加工、处理和集成。</w:t>
      </w:r>
    </w:p>
    <w:p w14:paraId="67AB14DE">
      <w:pPr>
        <w:suppressAutoHyphens/>
        <w:spacing w:line="600" w:lineRule="exact"/>
        <w:ind w:firstLine="640" w:firstLineChars="200"/>
        <w:rPr>
          <w:rFonts w:hint="eastAsia" w:ascii="仿宋_GB2312" w:hAnsi="宋体" w:eastAsia="仿宋_GB2312" w:cs="Times New Roman"/>
          <w:sz w:val="32"/>
          <w:szCs w:val="32"/>
        </w:rPr>
      </w:pPr>
      <w:r>
        <w:rPr>
          <w:rFonts w:hint="eastAsia" w:ascii="仿宋_GB2312" w:hAnsi="宋体" w:eastAsia="仿宋_GB2312" w:cs="Times New Roman"/>
          <w:sz w:val="32"/>
          <w:szCs w:val="32"/>
          <w:lang w:eastAsia="zh-CN"/>
        </w:rPr>
        <w:t>4.</w:t>
      </w:r>
      <w:r>
        <w:rPr>
          <w:rFonts w:hint="eastAsia" w:ascii="仿宋_GB2312" w:hAnsi="宋体" w:eastAsia="仿宋_GB2312" w:cs="Times New Roman"/>
          <w:sz w:val="32"/>
          <w:szCs w:val="32"/>
        </w:rPr>
        <w:t>负责城市基础空间定位信息系统的安全保密工作。</w:t>
      </w:r>
    </w:p>
    <w:p w14:paraId="73CB9BE8">
      <w:pPr>
        <w:widowControl w:val="0"/>
        <w:suppressAutoHyphens/>
        <w:spacing w:before="0" w:after="140" w:line="600" w:lineRule="exact"/>
        <w:ind w:firstLine="640" w:firstLineChars="200"/>
        <w:jc w:val="both"/>
        <w:rPr>
          <w:rFonts w:ascii="Times New Roman" w:hAnsi="Times New Roman" w:eastAsia="楷体_GB2312" w:cs="Times New Roman"/>
          <w:b/>
          <w:bCs/>
          <w:color w:val="000000"/>
          <w:kern w:val="0"/>
          <w:szCs w:val="32"/>
          <w:shd w:val="clear" w:color="auto" w:fill="FFFFFF"/>
        </w:rPr>
      </w:pPr>
      <w:r>
        <w:rPr>
          <w:rFonts w:hint="eastAsia" w:ascii="仿宋_GB2312" w:hAnsi="宋体" w:eastAsia="仿宋_GB2312" w:cs="Times New Roman"/>
          <w:kern w:val="2"/>
          <w:sz w:val="32"/>
          <w:szCs w:val="32"/>
          <w:lang w:val="en-US" w:eastAsia="zh-CN" w:bidi="ar-SA"/>
        </w:rPr>
        <w:t>5.统筹我市对遥感影像的需求，制定年度计划；组织我市遥感影像获取与加工处理工作；负责我市遥感影像统筹服务平台的运行维护，及时更新遥感影像数据库，保持遥感影像数据与省市同步更新，为市内各遥感影像应用行业提供影像资源，建立共享机制</w:t>
      </w:r>
    </w:p>
    <w:p w14:paraId="267B4348">
      <w:pPr>
        <w:suppressAutoHyphens/>
        <w:spacing w:line="600" w:lineRule="exact"/>
        <w:ind w:firstLine="643" w:firstLineChars="200"/>
        <w:rPr>
          <w:rFonts w:hint="eastAsia" w:ascii="仿宋_GB2312" w:hAnsi="宋体" w:eastAsia="仿宋_GB2312" w:cs="Times New Roman"/>
          <w:sz w:val="32"/>
          <w:szCs w:val="32"/>
        </w:rPr>
      </w:pPr>
      <w:r>
        <w:rPr>
          <w:rFonts w:ascii="Times New Roman" w:hAnsi="Times New Roman" w:eastAsia="楷体_GB2312" w:cs="Times New Roman"/>
          <w:b/>
          <w:bCs/>
          <w:color w:val="000000"/>
          <w:kern w:val="0"/>
          <w:sz w:val="32"/>
          <w:szCs w:val="32"/>
          <w:shd w:val="clear" w:color="auto" w:fill="FFFFFF"/>
          <w:lang w:val="zh-CN" w:eastAsia="zh-CN"/>
        </w:rPr>
        <w:t>（</w:t>
      </w:r>
      <w:r>
        <w:rPr>
          <w:rFonts w:hint="eastAsia" w:ascii="Times New Roman" w:hAnsi="Times New Roman" w:eastAsia="楷体_GB2312" w:cs="Times New Roman"/>
          <w:b/>
          <w:bCs/>
          <w:color w:val="000000"/>
          <w:kern w:val="0"/>
          <w:sz w:val="32"/>
          <w:szCs w:val="32"/>
          <w:shd w:val="clear" w:color="auto" w:fill="FFFFFF"/>
          <w:lang w:val="zh-CN" w:eastAsia="zh-CN"/>
        </w:rPr>
        <w:t>三</w:t>
      </w:r>
      <w:r>
        <w:rPr>
          <w:rFonts w:ascii="Times New Roman" w:hAnsi="Times New Roman" w:eastAsia="楷体_GB2312" w:cs="Times New Roman"/>
          <w:b/>
          <w:bCs/>
          <w:color w:val="000000"/>
          <w:kern w:val="0"/>
          <w:sz w:val="32"/>
          <w:szCs w:val="32"/>
          <w:shd w:val="clear" w:color="auto" w:fill="FFFFFF"/>
          <w:lang w:val="zh-CN" w:eastAsia="zh-CN"/>
        </w:rPr>
        <w:t>）人员概况</w:t>
      </w:r>
      <w:r>
        <w:rPr>
          <w:rFonts w:hint="eastAsia" w:ascii="Times New Roman" w:hAnsi="Times New Roman" w:eastAsia="楷体_GB2312" w:cs="Times New Roman"/>
          <w:b/>
          <w:bCs/>
          <w:color w:val="000000"/>
          <w:kern w:val="0"/>
          <w:sz w:val="32"/>
          <w:szCs w:val="32"/>
          <w:shd w:val="clear" w:color="auto" w:fill="FFFFFF"/>
          <w:lang w:val="zh-CN" w:eastAsia="zh-CN"/>
        </w:rPr>
        <w:t>。</w:t>
      </w:r>
      <w:r>
        <w:rPr>
          <w:rFonts w:hint="eastAsia" w:ascii="仿宋_GB2312" w:hAnsi="宋体" w:eastAsia="仿宋_GB2312" w:cs="Times New Roman"/>
          <w:sz w:val="32"/>
          <w:szCs w:val="32"/>
        </w:rPr>
        <w:t>截至2025年末，攀枝花市地理信息中心现有编制12名，在编11人。</w:t>
      </w:r>
    </w:p>
    <w:p w14:paraId="20D829E5">
      <w:pPr>
        <w:widowControl/>
        <w:suppressAutoHyphens/>
        <w:adjustRightInd w:val="0"/>
        <w:snapToGrid w:val="0"/>
        <w:spacing w:line="578" w:lineRule="exact"/>
        <w:ind w:firstLine="640" w:firstLineChars="200"/>
        <w:contextualSpacing/>
        <w:jc w:val="left"/>
        <w:rPr>
          <w:rFonts w:ascii="Calibri" w:hAnsi="Calibri" w:eastAsia="黑体" w:cs="Times New Roman"/>
          <w:color w:val="000000"/>
          <w:kern w:val="0"/>
          <w:sz w:val="32"/>
          <w:szCs w:val="32"/>
          <w:shd w:val="clear" w:color="auto" w:fill="FFFFFF"/>
          <w:lang w:val="zh-CN" w:eastAsia="zh-CN"/>
        </w:rPr>
      </w:pPr>
      <w:r>
        <w:rPr>
          <w:rFonts w:ascii="Calibri" w:hAnsi="Calibri" w:eastAsia="黑体" w:cs="Times New Roman"/>
          <w:color w:val="000000"/>
          <w:kern w:val="0"/>
          <w:sz w:val="32"/>
          <w:szCs w:val="32"/>
          <w:shd w:val="clear" w:color="auto" w:fill="FFFFFF"/>
          <w:lang w:val="zh-CN" w:eastAsia="zh-CN"/>
        </w:rPr>
        <w:t>二、部门资金收支情况</w:t>
      </w:r>
    </w:p>
    <w:p w14:paraId="6BA689FB">
      <w:pPr>
        <w:widowControl/>
        <w:suppressAutoHyphens/>
        <w:adjustRightInd w:val="0"/>
        <w:snapToGrid w:val="0"/>
        <w:spacing w:line="600" w:lineRule="exact"/>
        <w:ind w:firstLine="643" w:firstLineChars="200"/>
        <w:contextualSpacing/>
        <w:jc w:val="left"/>
        <w:rPr>
          <w:rFonts w:hint="eastAsia" w:ascii="仿宋" w:hAnsi="仿宋" w:eastAsia="仿宋" w:cs="宋体"/>
          <w:color w:val="000000"/>
          <w:kern w:val="0"/>
          <w:sz w:val="32"/>
          <w:szCs w:val="32"/>
          <w:lang w:bidi="ar-SA"/>
        </w:rPr>
      </w:pPr>
      <w:r>
        <w:rPr>
          <w:rFonts w:ascii="Times New Roman" w:hAnsi="Times New Roman" w:eastAsia="楷体_GB2312" w:cs="Times New Roman"/>
          <w:b/>
          <w:bCs/>
          <w:color w:val="000000"/>
          <w:kern w:val="0"/>
          <w:sz w:val="32"/>
          <w:szCs w:val="32"/>
          <w:shd w:val="clear" w:color="auto" w:fill="FFFFFF"/>
          <w:lang w:val="zh-CN" w:eastAsia="zh-CN"/>
        </w:rPr>
        <w:t>（一）收入情况</w:t>
      </w:r>
      <w:r>
        <w:rPr>
          <w:rFonts w:ascii="Calibri" w:hAnsi="Calibri" w:eastAsia="楷体_GB2312" w:cs="Times New Roman"/>
          <w:b/>
          <w:bCs/>
          <w:color w:val="000000"/>
          <w:kern w:val="0"/>
          <w:szCs w:val="32"/>
          <w:shd w:val="clear" w:color="auto" w:fill="FFFFFF"/>
          <w:lang w:val="zh-CN" w:eastAsia="zh-CN"/>
        </w:rPr>
        <w:t>。</w:t>
      </w:r>
      <w:r>
        <w:rPr>
          <w:rFonts w:hint="eastAsia" w:ascii="仿宋" w:hAnsi="仿宋" w:eastAsia="仿宋" w:cs="Times New Roman"/>
          <w:sz w:val="32"/>
          <w:szCs w:val="32"/>
        </w:rPr>
        <w:t>攀枝花市地理信息</w:t>
      </w:r>
      <w:r>
        <w:rPr>
          <w:rFonts w:hint="eastAsia" w:ascii="仿宋" w:hAnsi="仿宋" w:eastAsia="仿宋" w:cs="仿宋_GB2312"/>
          <w:sz w:val="32"/>
          <w:szCs w:val="32"/>
          <w:lang w:bidi="ar-SA"/>
        </w:rPr>
        <w:t>中心</w:t>
      </w:r>
      <w:r>
        <w:rPr>
          <w:rFonts w:hint="eastAsia" w:ascii="仿宋" w:hAnsi="仿宋" w:eastAsia="仿宋" w:cs="Times New Roman"/>
          <w:sz w:val="32"/>
          <w:szCs w:val="32"/>
        </w:rPr>
        <w:t>2025年年初预算一般公共预算财政拨款收入232.88万元，年终决算一般公共预算财政拨款收入为265.33万元，主要原因是项目预算增加，预算执行率100%。</w:t>
      </w:r>
    </w:p>
    <w:p w14:paraId="3C24D162">
      <w:pPr>
        <w:widowControl/>
        <w:suppressAutoHyphens/>
        <w:adjustRightInd w:val="0"/>
        <w:snapToGrid w:val="0"/>
        <w:spacing w:line="600" w:lineRule="exact"/>
        <w:ind w:firstLine="643" w:firstLineChars="200"/>
        <w:contextualSpacing/>
        <w:jc w:val="left"/>
        <w:rPr>
          <w:rFonts w:hint="eastAsia" w:ascii="仿宋" w:hAnsi="仿宋" w:eastAsia="仿宋" w:cs="Times New Roman"/>
          <w:sz w:val="32"/>
          <w:szCs w:val="32"/>
        </w:rPr>
      </w:pPr>
      <w:r>
        <w:rPr>
          <w:rFonts w:ascii="Times New Roman" w:hAnsi="Times New Roman" w:eastAsia="楷体_GB2312" w:cs="Times New Roman"/>
          <w:b/>
          <w:bCs/>
          <w:color w:val="000000"/>
          <w:kern w:val="0"/>
          <w:sz w:val="32"/>
          <w:szCs w:val="32"/>
          <w:shd w:val="clear" w:color="auto" w:fill="FFFFFF"/>
          <w:lang w:val="zh-CN" w:eastAsia="zh-CN"/>
        </w:rPr>
        <w:t>（二）支出情况。</w:t>
      </w:r>
      <w:r>
        <w:rPr>
          <w:rFonts w:hint="eastAsia" w:ascii="仿宋" w:hAnsi="仿宋" w:eastAsia="仿宋" w:cs="Times New Roman"/>
          <w:sz w:val="32"/>
          <w:szCs w:val="32"/>
        </w:rPr>
        <w:t>攀枝花市地理信息</w:t>
      </w:r>
      <w:r>
        <w:rPr>
          <w:rFonts w:hint="eastAsia" w:ascii="仿宋" w:hAnsi="仿宋" w:eastAsia="仿宋" w:cs="仿宋_GB2312"/>
          <w:sz w:val="32"/>
          <w:szCs w:val="32"/>
          <w:lang w:bidi="ar-SA"/>
        </w:rPr>
        <w:t>中心</w:t>
      </w:r>
      <w:r>
        <w:rPr>
          <w:rFonts w:hint="eastAsia" w:ascii="仿宋" w:hAnsi="仿宋" w:eastAsia="仿宋" w:cs="Times New Roman"/>
          <w:sz w:val="32"/>
          <w:szCs w:val="32"/>
        </w:rPr>
        <w:t>2025年年初下达</w:t>
      </w:r>
      <w:r>
        <w:rPr>
          <w:rFonts w:hint="eastAsia" w:ascii="仿宋" w:hAnsi="仿宋" w:eastAsia="仿宋" w:cs="宋体"/>
          <w:color w:val="000000"/>
          <w:kern w:val="0"/>
          <w:sz w:val="32"/>
          <w:szCs w:val="32"/>
          <w:lang w:bidi="ar-SA"/>
        </w:rPr>
        <w:t>一般公共预算财政拨款支出232.88万元，其中基本支出：197.88万元，项目支出35万元。年终一般公共预算财政拨款支出</w:t>
      </w:r>
      <w:r>
        <w:rPr>
          <w:rFonts w:hint="eastAsia" w:ascii="仿宋" w:hAnsi="仿宋" w:eastAsia="仿宋" w:cs="Times New Roman"/>
          <w:sz w:val="32"/>
          <w:szCs w:val="32"/>
        </w:rPr>
        <w:t>决算数为265.33万元，其中基本支出：215.6万元，项目支出：49.73万元。预算执行率100%，</w:t>
      </w:r>
    </w:p>
    <w:p w14:paraId="1358CAC4">
      <w:pPr>
        <w:widowControl/>
        <w:suppressAutoHyphens/>
        <w:spacing w:beforeAutospacing="0" w:afterAutospacing="0" w:line="600" w:lineRule="exact"/>
        <w:ind w:firstLine="640" w:firstLineChars="200"/>
        <w:jc w:val="left"/>
        <w:rPr>
          <w:rFonts w:hint="eastAsia" w:ascii="仿宋_GB2312" w:hAnsi="宋体" w:eastAsia="仿宋_GB2312" w:cs="Times New Roman"/>
          <w:kern w:val="2"/>
          <w:sz w:val="32"/>
          <w:szCs w:val="32"/>
          <w:lang w:val="en-US" w:eastAsia="zh-CN" w:bidi="ar-SA"/>
        </w:rPr>
      </w:pPr>
      <w:r>
        <w:rPr>
          <w:rFonts w:hint="eastAsia" w:ascii="仿宋_GB2312" w:hAnsi="宋体" w:eastAsia="仿宋_GB2312" w:cs="Times New Roman"/>
          <w:kern w:val="2"/>
          <w:sz w:val="32"/>
          <w:szCs w:val="32"/>
          <w:lang w:val="en-US" w:eastAsia="zh-CN" w:bidi="ar-SA"/>
        </w:rPr>
        <w:t>年度任务完成情况：全年承接实施测绘地理信息项目共79项，其中地形图数据分发和修测44项，定点服务8项，不动产房产测绘（房产、地籍）11项，整体委托项目16项，截至目前上缴非税收入111.2万元。同步提供公益服务 22 次，有效支撑政务决策与项目建设。助推国土空间基础信息平台和规划“一张图”实施监督信息系统验收；推进“实景三维・攀枝花”建设；规范国土空间详细规划成果入库及备案审查流程，推动区域评估成果在“四川省一体化政务服务平台工程建设项目审批管理系统”中落地应用，提升审批服务效率。完成局机关、直属事业单位设备故障报修100余次；完成视频会议技术保障50余次，其他会议保障70余次；完成机房日常巡查60余次。涉密机房巡检40次、涉密台式机杀毒12次。配合全省自然资源系统网络安全督导及攻防演习，筑牢安全防线。</w:t>
      </w:r>
    </w:p>
    <w:p w14:paraId="6A2D7EDA">
      <w:pPr>
        <w:widowControl/>
        <w:suppressAutoHyphens/>
        <w:adjustRightInd w:val="0"/>
        <w:snapToGrid w:val="0"/>
        <w:spacing w:line="578" w:lineRule="exact"/>
        <w:ind w:firstLine="643" w:firstLineChars="200"/>
        <w:contextualSpacing/>
        <w:jc w:val="left"/>
        <w:rPr>
          <w:rFonts w:hint="eastAsia" w:ascii="仿宋" w:hAnsi="仿宋" w:eastAsia="仿宋" w:cs="宋体"/>
          <w:color w:val="000000"/>
          <w:kern w:val="0"/>
          <w:sz w:val="32"/>
          <w:szCs w:val="32"/>
          <w:lang w:bidi="ar-SA"/>
        </w:rPr>
      </w:pPr>
      <w:r>
        <w:rPr>
          <w:rFonts w:ascii="Times New Roman" w:hAnsi="Times New Roman" w:eastAsia="楷体_GB2312" w:cs="Times New Roman"/>
          <w:b/>
          <w:bCs/>
          <w:color w:val="000000"/>
          <w:kern w:val="0"/>
          <w:sz w:val="32"/>
          <w:szCs w:val="32"/>
          <w:shd w:val="clear" w:color="auto" w:fill="FFFFFF"/>
          <w:lang w:val="zh-CN" w:eastAsia="zh-CN"/>
        </w:rPr>
        <w:t>（三）结余分配和结转结余情况。</w:t>
      </w:r>
      <w:r>
        <w:rPr>
          <w:rFonts w:hint="eastAsia" w:ascii="仿宋" w:hAnsi="仿宋" w:eastAsia="仿宋" w:cs="宋体"/>
          <w:color w:val="000000"/>
          <w:kern w:val="0"/>
          <w:sz w:val="32"/>
          <w:szCs w:val="32"/>
          <w:lang w:bidi="ar-SA"/>
        </w:rPr>
        <w:t>攀枝花市地理信息中心2025年决算报表无结转结余情况。</w:t>
      </w:r>
    </w:p>
    <w:p w14:paraId="678D1A8C">
      <w:pPr>
        <w:widowControl/>
        <w:suppressAutoHyphens/>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三、部门预算绩效分析</w:t>
      </w:r>
    </w:p>
    <w:p w14:paraId="1D596B57">
      <w:pPr>
        <w:suppressAutoHyphens/>
        <w:adjustRightInd w:val="0"/>
        <w:snapToGrid w:val="0"/>
        <w:spacing w:line="578" w:lineRule="exact"/>
        <w:ind w:firstLine="643" w:firstLineChars="200"/>
        <w:contextualSpacing/>
        <w:jc w:val="left"/>
        <w:rPr>
          <w:rFonts w:ascii="Calibri" w:hAnsi="Calibri" w:eastAsia="宋体" w:cs="Times New Roman"/>
          <w:color w:val="000000"/>
          <w:kern w:val="0"/>
          <w:sz w:val="32"/>
          <w:szCs w:val="32"/>
          <w:shd w:val="clear" w:color="auto" w:fill="FFFFFF"/>
          <w:lang w:val="zh-CN" w:eastAsia="zh-CN"/>
        </w:rPr>
      </w:pPr>
      <w:r>
        <w:rPr>
          <w:rFonts w:ascii="Calibri" w:hAnsi="Calibri" w:eastAsia="楷体_GB2312" w:cs="Times New Roman"/>
          <w:b/>
          <w:bCs/>
          <w:color w:val="000000"/>
          <w:kern w:val="0"/>
          <w:sz w:val="32"/>
          <w:szCs w:val="32"/>
          <w:shd w:val="clear" w:color="auto" w:fill="FFFFFF"/>
          <w:lang w:val="zh-CN" w:eastAsia="zh-CN"/>
        </w:rPr>
        <w:t>（一）部门预算总体绩效分析。</w:t>
      </w:r>
    </w:p>
    <w:p w14:paraId="5D122DCA">
      <w:pPr>
        <w:suppressAutoHyphens/>
        <w:ind w:left="640"/>
        <w:rPr>
          <w:rFonts w:hint="eastAsia" w:ascii="楷体" w:hAnsi="楷体" w:eastAsia="楷体" w:cs="Times New Roman"/>
          <w:sz w:val="32"/>
          <w:szCs w:val="32"/>
        </w:rPr>
      </w:pPr>
      <w:r>
        <w:rPr>
          <w:rFonts w:hint="eastAsia" w:ascii="楷体" w:hAnsi="楷体" w:eastAsia="楷体" w:cs="Times New Roman"/>
          <w:color w:val="000000"/>
          <w:kern w:val="0"/>
          <w:sz w:val="32"/>
          <w:szCs w:val="32"/>
          <w:shd w:val="clear" w:color="auto" w:fill="FFFFFF"/>
        </w:rPr>
        <w:t>1.</w:t>
      </w:r>
      <w:r>
        <w:rPr>
          <w:rFonts w:hint="eastAsia" w:ascii="楷体" w:hAnsi="楷体" w:eastAsia="楷体" w:cs="Times New Roman"/>
          <w:color w:val="000000"/>
          <w:kern w:val="0"/>
          <w:sz w:val="32"/>
          <w:szCs w:val="32"/>
          <w:shd w:val="clear" w:color="auto" w:fill="FFFFFF"/>
          <w:lang w:val="zh-CN" w:eastAsia="zh-CN"/>
        </w:rPr>
        <w:t>履职效能。</w:t>
      </w:r>
    </w:p>
    <w:p w14:paraId="7E438004">
      <w:pPr>
        <w:suppressAutoHyphens/>
        <w:adjustRightInd w:val="0"/>
        <w:snapToGrid w:val="0"/>
        <w:spacing w:line="578" w:lineRule="exact"/>
        <w:ind w:firstLine="640" w:firstLineChars="200"/>
        <w:contextualSpacing/>
        <w:jc w:val="left"/>
        <w:rPr>
          <w:rFonts w:hint="eastAsia" w:ascii="仿宋" w:hAnsi="仿宋" w:eastAsia="仿宋" w:cs="Times New Roman"/>
          <w:color w:val="000000"/>
          <w:kern w:val="0"/>
          <w:sz w:val="32"/>
          <w:szCs w:val="32"/>
          <w:shd w:val="clear" w:color="auto" w:fill="FFFFFF"/>
          <w:lang w:val="zh-CN" w:eastAsia="zh-CN"/>
        </w:rPr>
      </w:pPr>
      <w:r>
        <w:rPr>
          <w:rFonts w:hint="eastAsia" w:ascii="仿宋_GB2312" w:hAnsi="宋体" w:eastAsia="仿宋_GB2312" w:cs="Times New Roman"/>
          <w:sz w:val="32"/>
          <w:szCs w:val="32"/>
        </w:rPr>
        <w:t>全年承接实施测绘地理信息项目共79项，其中地形图数据分发和修测44项，定点服务8项，不动产房产测绘（房产、地籍）11项，整体委托项目16项，截至目前上缴非税收入111.2万元。同步提供公益服务 22 次，有效支撑政务决策与项目建设。助推国土空间基础信息平台和规划“一张图”实施监督信息系统验收；推进“实景三维・攀枝花”建设；规范国土空间详细规划成果入库及备案审查流程，推动区域评估成果在“四川省一体化政务服务平台工程建设项目审批管理系统”中落地应用，提升审批服务效率。</w:t>
      </w:r>
      <w:r>
        <w:rPr>
          <w:rFonts w:hint="eastAsia" w:ascii="楷体" w:hAnsi="楷体" w:eastAsia="楷体" w:cs="Times New Roman"/>
          <w:color w:val="000000"/>
          <w:kern w:val="0"/>
          <w:sz w:val="32"/>
          <w:szCs w:val="32"/>
          <w:shd w:val="clear" w:color="auto" w:fill="FFFFFF"/>
        </w:rPr>
        <w:t>2.</w:t>
      </w:r>
      <w:r>
        <w:rPr>
          <w:rFonts w:hint="eastAsia" w:ascii="楷体" w:hAnsi="楷体" w:eastAsia="楷体" w:cs="Times New Roman"/>
          <w:color w:val="000000"/>
          <w:kern w:val="0"/>
          <w:sz w:val="32"/>
          <w:szCs w:val="32"/>
          <w:shd w:val="clear" w:color="auto" w:fill="FFFFFF"/>
          <w:lang w:val="zh-CN" w:eastAsia="zh-CN"/>
        </w:rPr>
        <w:t>预算管理。</w:t>
      </w:r>
      <w:r>
        <w:rPr>
          <w:rFonts w:hint="eastAsia" w:ascii="仿宋" w:hAnsi="仿宋" w:eastAsia="仿宋" w:cs="Times New Roman"/>
          <w:color w:val="000000"/>
          <w:kern w:val="0"/>
          <w:sz w:val="32"/>
          <w:szCs w:val="32"/>
          <w:shd w:val="clear" w:color="auto" w:fill="FFFFFF"/>
          <w:lang w:val="zh-CN" w:eastAsia="zh-CN"/>
        </w:rPr>
        <w:t>我单位严格遵守《中华人民共和国预算法》的相关规定，科学、合理地编制单位预算，按照单位职能职责和项目实施进度进行支付，按规定规范使用资金，年终无预算结余，预算执行率100%。遵守规定严控一般性支出。</w:t>
      </w:r>
    </w:p>
    <w:p w14:paraId="3B6152CD">
      <w:pPr>
        <w:suppressAutoHyphens/>
        <w:adjustRightInd w:val="0"/>
        <w:snapToGrid w:val="0"/>
        <w:spacing w:line="578" w:lineRule="exact"/>
        <w:ind w:firstLine="640" w:firstLineChars="200"/>
        <w:contextualSpacing/>
        <w:jc w:val="left"/>
        <w:rPr>
          <w:rFonts w:hint="eastAsia" w:ascii="仿宋" w:hAnsi="仿宋" w:eastAsia="仿宋" w:cs="Times New Roman"/>
          <w:color w:val="000000"/>
          <w:kern w:val="0"/>
          <w:sz w:val="32"/>
          <w:szCs w:val="32"/>
          <w:shd w:val="clear" w:color="auto" w:fill="FFFFFF"/>
          <w:lang w:val="zh-CN" w:eastAsia="zh-CN"/>
        </w:rPr>
      </w:pPr>
      <w:r>
        <w:rPr>
          <w:rFonts w:hint="eastAsia" w:ascii="楷体" w:hAnsi="楷体" w:eastAsia="楷体" w:cs="Times New Roman"/>
          <w:color w:val="000000"/>
          <w:kern w:val="0"/>
          <w:sz w:val="32"/>
          <w:szCs w:val="32"/>
          <w:shd w:val="clear" w:color="auto" w:fill="FFFFFF"/>
        </w:rPr>
        <w:t>3.</w:t>
      </w:r>
      <w:r>
        <w:rPr>
          <w:rFonts w:hint="eastAsia" w:ascii="楷体" w:hAnsi="楷体" w:eastAsia="楷体" w:cs="Times New Roman"/>
          <w:color w:val="000000"/>
          <w:kern w:val="0"/>
          <w:sz w:val="32"/>
          <w:szCs w:val="32"/>
          <w:shd w:val="clear" w:color="auto" w:fill="FFFFFF"/>
          <w:lang w:val="zh-CN" w:eastAsia="zh-CN"/>
        </w:rPr>
        <w:t>财务管理。</w:t>
      </w:r>
      <w:r>
        <w:rPr>
          <w:rFonts w:hint="eastAsia" w:ascii="仿宋" w:hAnsi="仿宋" w:eastAsia="仿宋" w:cs="Times New Roman"/>
          <w:color w:val="000000"/>
          <w:kern w:val="0"/>
          <w:sz w:val="32"/>
          <w:szCs w:val="32"/>
          <w:shd w:val="clear" w:color="auto" w:fill="FFFFFF"/>
          <w:lang w:val="zh-CN" w:eastAsia="zh-CN"/>
        </w:rPr>
        <w:t>我单位严格执行财务管理制度，不断完善单位内控制度，合理设置财务岗位，资金使用规范。</w:t>
      </w:r>
    </w:p>
    <w:p w14:paraId="2249F6FA">
      <w:pPr>
        <w:suppressAutoHyphens/>
        <w:spacing w:line="600" w:lineRule="exact"/>
        <w:ind w:firstLine="640" w:firstLineChars="200"/>
        <w:rPr>
          <w:rFonts w:hint="eastAsia" w:ascii="仿宋" w:hAnsi="仿宋" w:eastAsia="仿宋" w:cs="Times New Roman"/>
          <w:color w:val="000000"/>
          <w:kern w:val="0"/>
          <w:sz w:val="32"/>
          <w:szCs w:val="32"/>
          <w:shd w:val="clear" w:color="auto" w:fill="FFFFFF"/>
          <w:lang w:val="zh-CN" w:eastAsia="zh-CN"/>
        </w:rPr>
      </w:pPr>
      <w:r>
        <w:rPr>
          <w:rFonts w:hint="eastAsia" w:ascii="楷体" w:hAnsi="楷体" w:eastAsia="楷体" w:cs="Times New Roman"/>
          <w:color w:val="000000"/>
          <w:kern w:val="0"/>
          <w:sz w:val="32"/>
          <w:szCs w:val="32"/>
          <w:shd w:val="clear" w:color="auto" w:fill="FFFFFF"/>
        </w:rPr>
        <w:t>4.</w:t>
      </w:r>
      <w:r>
        <w:rPr>
          <w:rFonts w:hint="eastAsia" w:ascii="楷体" w:hAnsi="楷体" w:eastAsia="楷体" w:cs="Times New Roman"/>
          <w:color w:val="000000"/>
          <w:kern w:val="0"/>
          <w:sz w:val="32"/>
          <w:szCs w:val="32"/>
          <w:shd w:val="clear" w:color="auto" w:fill="FFFFFF"/>
          <w:lang w:val="zh-CN" w:eastAsia="zh-CN"/>
        </w:rPr>
        <w:t>资产管理。</w:t>
      </w:r>
      <w:r>
        <w:rPr>
          <w:rFonts w:hint="eastAsia" w:ascii="仿宋" w:hAnsi="仿宋" w:eastAsia="仿宋" w:cs="Times New Roman"/>
          <w:color w:val="000000"/>
          <w:kern w:val="0"/>
          <w:sz w:val="32"/>
          <w:szCs w:val="32"/>
          <w:shd w:val="clear" w:color="auto" w:fill="FFFFFF"/>
          <w:lang w:val="zh-CN" w:eastAsia="zh-CN"/>
        </w:rPr>
        <w:t>我单位严格落实《行政事业性国有资产管理条例》和《四川省行政事业性国有资产管理办法》，在资产管理中严格执行相关法律法规、规章制度。</w:t>
      </w:r>
    </w:p>
    <w:p w14:paraId="0F497861">
      <w:pPr>
        <w:suppressAutoHyphens/>
        <w:adjustRightInd w:val="0"/>
        <w:snapToGrid w:val="0"/>
        <w:spacing w:line="578" w:lineRule="exact"/>
        <w:ind w:firstLine="640" w:firstLineChars="200"/>
        <w:contextualSpacing/>
        <w:jc w:val="left"/>
        <w:rPr>
          <w:rFonts w:hint="eastAsia" w:ascii="仿宋" w:hAnsi="仿宋" w:eastAsia="仿宋" w:cs="Times New Roman"/>
          <w:color w:val="000000"/>
          <w:kern w:val="0"/>
          <w:sz w:val="32"/>
          <w:szCs w:val="32"/>
          <w:shd w:val="clear" w:color="auto" w:fill="FFFFFF"/>
          <w:lang w:val="zh-CN" w:eastAsia="zh-CN"/>
        </w:rPr>
      </w:pPr>
      <w:r>
        <w:rPr>
          <w:rFonts w:hint="eastAsia" w:ascii="仿宋" w:hAnsi="仿宋" w:eastAsia="仿宋" w:cs="Times New Roman"/>
          <w:color w:val="000000"/>
          <w:kern w:val="0"/>
          <w:sz w:val="32"/>
          <w:szCs w:val="32"/>
          <w:shd w:val="clear" w:color="auto" w:fill="FFFFFF"/>
          <w:lang w:val="zh-CN" w:eastAsia="zh-CN"/>
        </w:rPr>
        <w:t>为了加强和规范资产管理，进一步提高资产管理水平，我单位不断完善《固定资产管理制度》和《无形资产管理制度》，力求做到规范管理、科学筹备，不断提高资产使用效率。同时财务账与资产账定期核对，做到账实相符、账相符、账卡相符。</w:t>
      </w:r>
    </w:p>
    <w:p w14:paraId="0385AD38">
      <w:pPr>
        <w:suppressAutoHyphens/>
        <w:adjustRightInd w:val="0"/>
        <w:snapToGrid w:val="0"/>
        <w:spacing w:line="578" w:lineRule="exact"/>
        <w:ind w:firstLine="640" w:firstLineChars="200"/>
        <w:contextualSpacing/>
        <w:jc w:val="left"/>
        <w:rPr>
          <w:rFonts w:hint="eastAsia" w:ascii="仿宋" w:hAnsi="仿宋" w:eastAsia="仿宋" w:cs="Times New Roman"/>
          <w:color w:val="000000"/>
          <w:kern w:val="0"/>
          <w:sz w:val="32"/>
          <w:szCs w:val="32"/>
          <w:shd w:val="clear" w:color="auto" w:fill="FFFFFF"/>
          <w:lang w:val="zh-CN" w:eastAsia="zh-CN"/>
        </w:rPr>
      </w:pPr>
      <w:r>
        <w:rPr>
          <w:rFonts w:hint="eastAsia" w:ascii="楷体" w:hAnsi="楷体" w:eastAsia="楷体" w:cs="Times New Roman"/>
          <w:color w:val="000000"/>
          <w:kern w:val="0"/>
          <w:sz w:val="32"/>
          <w:szCs w:val="32"/>
          <w:shd w:val="clear" w:color="auto" w:fill="FFFFFF"/>
        </w:rPr>
        <w:t>5.</w:t>
      </w:r>
      <w:r>
        <w:rPr>
          <w:rFonts w:hint="eastAsia" w:ascii="楷体" w:hAnsi="楷体" w:eastAsia="楷体" w:cs="Times New Roman"/>
          <w:color w:val="000000"/>
          <w:kern w:val="0"/>
          <w:sz w:val="32"/>
          <w:szCs w:val="32"/>
          <w:shd w:val="clear" w:color="auto" w:fill="FFFFFF"/>
          <w:lang w:val="zh-CN" w:eastAsia="zh-CN"/>
        </w:rPr>
        <w:t>采购管理。</w:t>
      </w:r>
      <w:r>
        <w:rPr>
          <w:rFonts w:hint="eastAsia" w:ascii="仿宋" w:hAnsi="仿宋" w:eastAsia="仿宋" w:cs="Times New Roman"/>
          <w:color w:val="000000"/>
          <w:kern w:val="0"/>
          <w:sz w:val="32"/>
          <w:szCs w:val="32"/>
          <w:shd w:val="clear" w:color="auto" w:fill="FFFFFF"/>
          <w:lang w:val="zh-CN" w:eastAsia="zh-CN"/>
        </w:rPr>
        <w:t>我单位严格按照《政府采购管理制度》开展采购工作，2025年未开展采购工作。</w:t>
      </w:r>
    </w:p>
    <w:p w14:paraId="3341213B">
      <w:pPr>
        <w:widowControl/>
        <w:suppressAutoHyphens/>
        <w:adjustRightInd w:val="0"/>
        <w:snapToGrid w:val="0"/>
        <w:spacing w:line="578" w:lineRule="exact"/>
        <w:ind w:firstLine="643" w:firstLineChars="200"/>
        <w:contextualSpacing/>
        <w:jc w:val="left"/>
        <w:rPr>
          <w:rFonts w:ascii="Calibri" w:hAnsi="Calibri" w:eastAsia="宋体" w:cs="Times New Roman"/>
          <w:color w:val="000000"/>
          <w:kern w:val="0"/>
          <w:sz w:val="32"/>
          <w:szCs w:val="32"/>
          <w:shd w:val="clear" w:color="auto" w:fill="FFFFFF"/>
        </w:rPr>
      </w:pPr>
      <w:r>
        <w:rPr>
          <w:rFonts w:ascii="Calibri" w:hAnsi="Calibri" w:eastAsia="楷体_GB2312" w:cs="Times New Roman"/>
          <w:b/>
          <w:bCs/>
          <w:color w:val="000000"/>
          <w:kern w:val="0"/>
          <w:sz w:val="32"/>
          <w:szCs w:val="32"/>
          <w:shd w:val="clear" w:color="auto" w:fill="FFFFFF"/>
          <w:lang w:val="zh-CN" w:eastAsia="zh-CN"/>
        </w:rPr>
        <w:t>（二）部门预算项目绩效分析。</w:t>
      </w:r>
    </w:p>
    <w:p w14:paraId="4516A375">
      <w:pPr>
        <w:suppressAutoHyphens/>
        <w:adjustRightInd w:val="0"/>
        <w:snapToGrid w:val="0"/>
        <w:spacing w:line="578" w:lineRule="exact"/>
        <w:ind w:firstLine="640" w:firstLineChars="200"/>
        <w:contextualSpacing/>
        <w:jc w:val="left"/>
        <w:rPr>
          <w:rFonts w:hint="eastAsia" w:ascii="仿宋" w:hAnsi="仿宋" w:eastAsia="仿宋" w:cs="Times New Roman"/>
          <w:color w:val="000000"/>
          <w:kern w:val="0"/>
          <w:sz w:val="32"/>
          <w:szCs w:val="32"/>
          <w:shd w:val="clear" w:color="auto" w:fill="FFFFFF"/>
          <w:lang w:val="zh-CN" w:eastAsia="zh-CN"/>
        </w:rPr>
      </w:pPr>
      <w:r>
        <w:rPr>
          <w:rFonts w:hint="eastAsia" w:ascii="仿宋" w:hAnsi="仿宋" w:eastAsia="仿宋" w:cs="Times New Roman"/>
          <w:color w:val="000000"/>
          <w:kern w:val="0"/>
          <w:sz w:val="32"/>
          <w:szCs w:val="32"/>
          <w:shd w:val="clear" w:color="auto" w:fill="FFFFFF"/>
        </w:rPr>
        <w:t>常年项目绩效分析。</w:t>
      </w:r>
      <w:r>
        <w:rPr>
          <w:rFonts w:hint="eastAsia" w:ascii="仿宋" w:hAnsi="仿宋" w:eastAsia="仿宋" w:cs="Times New Roman"/>
          <w:color w:val="000000"/>
          <w:kern w:val="0"/>
          <w:sz w:val="32"/>
          <w:szCs w:val="32"/>
          <w:shd w:val="clear" w:color="auto" w:fill="FFFFFF"/>
          <w:lang w:val="zh-CN" w:eastAsia="zh-CN"/>
        </w:rPr>
        <w:t>该类项目总数</w:t>
      </w:r>
      <w:r>
        <w:rPr>
          <w:rFonts w:hint="eastAsia" w:ascii="仿宋" w:hAnsi="仿宋" w:eastAsia="仿宋" w:cs="Times New Roman"/>
          <w:color w:val="000000"/>
          <w:kern w:val="0"/>
          <w:sz w:val="32"/>
          <w:szCs w:val="32"/>
          <w:shd w:val="clear" w:color="auto" w:fill="FFFFFF"/>
        </w:rPr>
        <w:t xml:space="preserve"> 1</w:t>
      </w:r>
      <w:r>
        <w:rPr>
          <w:rFonts w:hint="eastAsia" w:ascii="仿宋" w:hAnsi="仿宋" w:eastAsia="仿宋" w:cs="Times New Roman"/>
          <w:color w:val="000000"/>
          <w:kern w:val="0"/>
          <w:sz w:val="32"/>
          <w:szCs w:val="32"/>
          <w:shd w:val="clear" w:color="auto" w:fill="FFFFFF"/>
          <w:lang w:val="zh-CN" w:eastAsia="zh-CN"/>
        </w:rPr>
        <w:t>个，涉及预算总金额</w:t>
      </w:r>
      <w:r>
        <w:rPr>
          <w:rFonts w:hint="eastAsia" w:ascii="仿宋" w:hAnsi="仿宋" w:eastAsia="仿宋" w:cs="Times New Roman"/>
          <w:color w:val="000000"/>
          <w:kern w:val="0"/>
          <w:sz w:val="32"/>
          <w:szCs w:val="32"/>
          <w:shd w:val="clear" w:color="auto" w:fill="FFFFFF"/>
        </w:rPr>
        <w:t xml:space="preserve"> 49.73</w:t>
      </w:r>
      <w:r>
        <w:rPr>
          <w:rFonts w:hint="eastAsia" w:ascii="仿宋" w:hAnsi="仿宋" w:eastAsia="仿宋" w:cs="Times New Roman"/>
          <w:color w:val="000000"/>
          <w:kern w:val="0"/>
          <w:sz w:val="32"/>
          <w:szCs w:val="32"/>
          <w:shd w:val="clear" w:color="auto" w:fill="FFFFFF"/>
          <w:lang w:val="zh-CN" w:eastAsia="zh-CN"/>
        </w:rPr>
        <w:t>万元，1—1</w:t>
      </w:r>
      <w:r>
        <w:rPr>
          <w:rFonts w:hint="eastAsia" w:ascii="仿宋" w:hAnsi="仿宋" w:eastAsia="仿宋" w:cs="Times New Roman"/>
          <w:color w:val="000000"/>
          <w:kern w:val="0"/>
          <w:sz w:val="32"/>
          <w:szCs w:val="32"/>
          <w:shd w:val="clear" w:color="auto" w:fill="FFFFFF"/>
        </w:rPr>
        <w:t>2</w:t>
      </w:r>
      <w:r>
        <w:rPr>
          <w:rFonts w:hint="eastAsia" w:ascii="仿宋" w:hAnsi="仿宋" w:eastAsia="仿宋" w:cs="Times New Roman"/>
          <w:color w:val="000000"/>
          <w:kern w:val="0"/>
          <w:sz w:val="32"/>
          <w:szCs w:val="32"/>
          <w:shd w:val="clear" w:color="auto" w:fill="FFFFFF"/>
          <w:lang w:val="zh-CN" w:eastAsia="zh-CN"/>
        </w:rPr>
        <w:t>月预算执行总体进度为</w:t>
      </w:r>
      <w:r>
        <w:rPr>
          <w:rFonts w:hint="eastAsia" w:ascii="仿宋" w:hAnsi="仿宋" w:eastAsia="仿宋" w:cs="Times New Roman"/>
          <w:color w:val="000000"/>
          <w:kern w:val="0"/>
          <w:sz w:val="32"/>
          <w:szCs w:val="32"/>
          <w:shd w:val="clear" w:color="auto" w:fill="FFFFFF"/>
        </w:rPr>
        <w:t>100</w:t>
      </w:r>
      <w:r>
        <w:rPr>
          <w:rFonts w:hint="eastAsia" w:ascii="仿宋" w:hAnsi="仿宋" w:eastAsia="仿宋" w:cs="Times New Roman"/>
          <w:color w:val="000000"/>
          <w:kern w:val="0"/>
          <w:sz w:val="32"/>
          <w:szCs w:val="32"/>
          <w:shd w:val="clear" w:color="auto" w:fill="FFFFFF"/>
          <w:lang w:val="zh-CN" w:eastAsia="zh-CN"/>
        </w:rPr>
        <w:t>%。</w:t>
      </w:r>
    </w:p>
    <w:p w14:paraId="11BDA6E1">
      <w:pPr>
        <w:suppressAutoHyphens/>
        <w:adjustRightInd w:val="0"/>
        <w:snapToGrid w:val="0"/>
        <w:spacing w:line="578" w:lineRule="exact"/>
        <w:ind w:firstLine="640" w:firstLineChars="200"/>
        <w:contextualSpacing/>
        <w:jc w:val="left"/>
        <w:rPr>
          <w:rFonts w:hint="eastAsia" w:ascii="仿宋" w:hAnsi="仿宋" w:eastAsia="仿宋" w:cs="Times New Roman"/>
          <w:color w:val="000000"/>
          <w:kern w:val="0"/>
          <w:sz w:val="32"/>
          <w:szCs w:val="32"/>
          <w:shd w:val="clear" w:color="auto" w:fill="FFFFFF"/>
          <w:lang w:val="zh-CN" w:eastAsia="zh-CN"/>
        </w:rPr>
      </w:pPr>
      <w:r>
        <w:rPr>
          <w:rFonts w:hint="eastAsia" w:ascii="楷体" w:hAnsi="楷体" w:eastAsia="楷体" w:cs="Times New Roman"/>
          <w:color w:val="000000"/>
          <w:kern w:val="0"/>
          <w:sz w:val="32"/>
          <w:szCs w:val="32"/>
          <w:shd w:val="clear" w:color="auto" w:fill="FFFFFF"/>
        </w:rPr>
        <w:t>1.</w:t>
      </w:r>
      <w:r>
        <w:rPr>
          <w:rFonts w:hint="eastAsia" w:ascii="楷体" w:hAnsi="楷体" w:eastAsia="楷体" w:cs="Times New Roman"/>
          <w:color w:val="000000"/>
          <w:kern w:val="0"/>
          <w:sz w:val="32"/>
          <w:szCs w:val="32"/>
          <w:shd w:val="clear" w:color="auto" w:fill="FFFFFF"/>
          <w:lang w:val="zh-CN" w:eastAsia="zh-CN"/>
        </w:rPr>
        <w:t>项目决策</w:t>
      </w:r>
      <w:r>
        <w:rPr>
          <w:rFonts w:hint="eastAsia" w:ascii="仿宋" w:hAnsi="仿宋" w:eastAsia="仿宋" w:cs="Times New Roman"/>
          <w:color w:val="000000"/>
          <w:kern w:val="0"/>
          <w:sz w:val="32"/>
          <w:szCs w:val="32"/>
          <w:shd w:val="clear" w:color="auto" w:fill="FFFFFF"/>
          <w:lang w:val="zh-CN" w:eastAsia="zh-CN"/>
        </w:rPr>
        <w:t>。根据单位职责范围，结合市场实际情况，合理设定目标任务，按照测绘资质范围，积极参与测绘地理信息市场竞争，完成年度非税收入征收。</w:t>
      </w:r>
    </w:p>
    <w:p w14:paraId="0A4291CE">
      <w:pPr>
        <w:suppressAutoHyphens/>
        <w:adjustRightInd w:val="0"/>
        <w:snapToGrid w:val="0"/>
        <w:spacing w:line="578" w:lineRule="exact"/>
        <w:ind w:firstLine="640" w:firstLineChars="200"/>
        <w:contextualSpacing/>
        <w:jc w:val="left"/>
        <w:rPr>
          <w:rFonts w:hint="eastAsia" w:ascii="仿宋" w:hAnsi="仿宋" w:eastAsia="仿宋" w:cs="Times New Roman"/>
          <w:color w:val="000000"/>
          <w:kern w:val="0"/>
          <w:sz w:val="32"/>
          <w:szCs w:val="32"/>
          <w:shd w:val="clear" w:color="auto" w:fill="FFFFFF"/>
          <w:lang w:val="zh-CN" w:eastAsia="zh-CN"/>
        </w:rPr>
      </w:pPr>
      <w:r>
        <w:rPr>
          <w:rFonts w:hint="eastAsia" w:ascii="楷体" w:hAnsi="楷体" w:eastAsia="楷体" w:cs="Times New Roman"/>
          <w:color w:val="000000"/>
          <w:kern w:val="0"/>
          <w:sz w:val="32"/>
          <w:szCs w:val="32"/>
          <w:shd w:val="clear" w:color="auto" w:fill="FFFFFF"/>
        </w:rPr>
        <w:t>2.项目执行</w:t>
      </w:r>
      <w:r>
        <w:rPr>
          <w:rFonts w:hint="eastAsia" w:ascii="楷体" w:hAnsi="楷体" w:eastAsia="楷体" w:cs="Times New Roman"/>
          <w:color w:val="000000"/>
          <w:kern w:val="0"/>
          <w:sz w:val="32"/>
          <w:szCs w:val="32"/>
          <w:shd w:val="clear" w:color="auto" w:fill="FFFFFF"/>
          <w:lang w:val="zh-CN" w:eastAsia="zh-CN"/>
        </w:rPr>
        <w:t>。</w:t>
      </w:r>
      <w:r>
        <w:rPr>
          <w:rFonts w:hint="eastAsia" w:ascii="仿宋" w:hAnsi="仿宋" w:eastAsia="仿宋" w:cs="Times New Roman"/>
          <w:color w:val="000000"/>
          <w:kern w:val="0"/>
          <w:sz w:val="32"/>
          <w:szCs w:val="32"/>
          <w:shd w:val="clear" w:color="auto" w:fill="FFFFFF"/>
          <w:lang w:val="zh-CN" w:eastAsia="zh-CN"/>
        </w:rPr>
        <w:t>积极参与测绘地理信息市场竞争；参与城市基础测绘建设，对城市基础图库开展动态运维；参与国土空间基础信息平台、国土空间规划监测评估预警管理系统建设；支撑自然资源管理，服务生态文明建设；支撑各行业需求，服务经济社会发展。根据项目实施进度按照合同约定进行资金支付，确保项目验收合格率100%。</w:t>
      </w:r>
    </w:p>
    <w:p w14:paraId="5B394126">
      <w:pPr>
        <w:suppressAutoHyphens/>
        <w:spacing w:line="600" w:lineRule="exact"/>
        <w:ind w:firstLine="640" w:firstLineChars="200"/>
        <w:rPr>
          <w:rFonts w:hint="eastAsia" w:ascii="仿宋" w:hAnsi="仿宋" w:eastAsia="仿宋" w:cs="Times New Roman"/>
          <w:sz w:val="32"/>
          <w:szCs w:val="32"/>
        </w:rPr>
      </w:pPr>
      <w:r>
        <w:rPr>
          <w:rFonts w:hint="eastAsia" w:ascii="楷体" w:hAnsi="楷体" w:eastAsia="楷体" w:cs="Times New Roman"/>
          <w:color w:val="000000"/>
          <w:kern w:val="0"/>
          <w:sz w:val="32"/>
          <w:szCs w:val="32"/>
          <w:shd w:val="clear" w:color="auto" w:fill="FFFFFF"/>
        </w:rPr>
        <w:t>3.</w:t>
      </w:r>
      <w:r>
        <w:rPr>
          <w:rFonts w:hint="eastAsia" w:ascii="楷体" w:hAnsi="楷体" w:eastAsia="楷体" w:cs="Times New Roman"/>
          <w:color w:val="000000"/>
          <w:kern w:val="0"/>
          <w:sz w:val="32"/>
          <w:szCs w:val="32"/>
          <w:shd w:val="clear" w:color="auto" w:fill="FFFFFF"/>
          <w:lang w:val="zh-CN" w:eastAsia="zh-CN"/>
        </w:rPr>
        <w:t>目标实现。</w:t>
      </w:r>
      <w:r>
        <w:rPr>
          <w:rFonts w:hint="eastAsia" w:ascii="仿宋_GB2312" w:hAnsi="宋体" w:eastAsia="仿宋_GB2312" w:cs="Times New Roman"/>
          <w:sz w:val="32"/>
          <w:szCs w:val="32"/>
        </w:rPr>
        <w:t>全年承接实施测绘地理信息项目共79项，其中地形图数据分发和修测44项，定点服务8项，不动产房产测绘（房产、地籍）11项，整体委托项目16项，截至目前上缴非税收入111.2万元。同步提供公益服务 22 次，有效支撑政务决策与项目建设。</w:t>
      </w:r>
      <w:r>
        <w:rPr>
          <w:rFonts w:hint="eastAsia" w:ascii="仿宋" w:hAnsi="仿宋" w:eastAsia="仿宋" w:cs="Times New Roman"/>
          <w:sz w:val="32"/>
          <w:szCs w:val="32"/>
        </w:rPr>
        <w:t>2025年度一般公共预算安排的常年项目绩效目标完成良好，目标设置科学、合理。</w:t>
      </w:r>
    </w:p>
    <w:p w14:paraId="3CA5283A">
      <w:pPr>
        <w:suppressAutoHyphens/>
        <w:snapToGrid w:val="0"/>
        <w:spacing w:line="600" w:lineRule="exact"/>
        <w:ind w:firstLine="643" w:firstLineChars="200"/>
        <w:rPr>
          <w:rFonts w:ascii="Calibri" w:hAnsi="Calibri" w:eastAsia="楷体_GB2312" w:cs="Times New Roman"/>
          <w:b/>
          <w:bCs/>
          <w:sz w:val="32"/>
          <w:szCs w:val="32"/>
          <w:lang w:val="zh-CN" w:eastAsia="zh-CN"/>
        </w:rPr>
      </w:pPr>
      <w:r>
        <w:rPr>
          <w:rFonts w:ascii="Calibri" w:hAnsi="Calibri" w:eastAsia="楷体_GB2312" w:cs="Times New Roman"/>
          <w:b/>
          <w:bCs/>
          <w:color w:val="000000"/>
          <w:kern w:val="0"/>
          <w:sz w:val="32"/>
          <w:szCs w:val="32"/>
          <w:shd w:val="clear" w:color="auto" w:fill="FFFFFF"/>
          <w:lang w:val="zh-CN" w:eastAsia="zh-CN"/>
        </w:rPr>
        <w:t>（三）</w:t>
      </w:r>
      <w:r>
        <w:rPr>
          <w:rFonts w:ascii="Calibri" w:hAnsi="Calibri" w:eastAsia="楷体_GB2312" w:cs="Times New Roman"/>
          <w:b/>
          <w:bCs/>
          <w:sz w:val="32"/>
          <w:szCs w:val="32"/>
          <w:lang w:val="zh-CN" w:eastAsia="zh-CN"/>
        </w:rPr>
        <w:t>绩效结果应用情况。</w:t>
      </w:r>
    </w:p>
    <w:p w14:paraId="75DE80B6">
      <w:pPr>
        <w:suppressAutoHyphens/>
        <w:snapToGrid w:val="0"/>
        <w:spacing w:line="600" w:lineRule="exact"/>
        <w:ind w:firstLine="640" w:firstLineChars="200"/>
        <w:rPr>
          <w:rFonts w:hint="eastAsia" w:ascii="仿宋" w:hAnsi="仿宋" w:eastAsia="仿宋" w:cs="Times New Roman"/>
          <w:b/>
          <w:sz w:val="32"/>
          <w:szCs w:val="32"/>
        </w:rPr>
      </w:pPr>
      <w:r>
        <w:rPr>
          <w:rFonts w:hint="eastAsia" w:ascii="仿宋" w:hAnsi="仿宋" w:eastAsia="仿宋" w:cs="Times New Roman"/>
          <w:color w:val="000000"/>
          <w:kern w:val="0"/>
          <w:sz w:val="32"/>
          <w:szCs w:val="32"/>
          <w:shd w:val="clear" w:color="auto" w:fill="FFFFFF"/>
          <w:lang w:val="zh-CN" w:eastAsia="zh-CN"/>
        </w:rPr>
        <w:t>我单位将绩效评价结果运用到下一年工作的统筹安排，按照工作任务的重要性来明确资金使用，将评价结果建议作为加强预算管理、强化资金监管及以后年度预算编制的重要参考依据。同时不断健全单位管理制度，让单位运转更加科学。</w:t>
      </w:r>
    </w:p>
    <w:p w14:paraId="6D04BC20">
      <w:pPr>
        <w:widowControl/>
        <w:suppressAutoHyphens/>
        <w:adjustRightInd w:val="0"/>
        <w:snapToGrid w:val="0"/>
        <w:spacing w:line="578" w:lineRule="exact"/>
        <w:ind w:firstLine="640" w:firstLineChars="200"/>
        <w:contextualSpacing/>
        <w:jc w:val="left"/>
        <w:rPr>
          <w:rFonts w:ascii="Calibri" w:hAnsi="Calibri" w:eastAsia="黑体" w:cs="Times New Roman"/>
          <w:color w:val="000000"/>
          <w:kern w:val="0"/>
          <w:sz w:val="32"/>
          <w:szCs w:val="32"/>
          <w:shd w:val="clear" w:color="auto" w:fill="FFFFFF"/>
        </w:rPr>
      </w:pPr>
      <w:r>
        <w:rPr>
          <w:rFonts w:ascii="Calibri" w:hAnsi="Calibri" w:eastAsia="黑体" w:cs="Times New Roman"/>
          <w:color w:val="000000"/>
          <w:kern w:val="0"/>
          <w:sz w:val="32"/>
          <w:szCs w:val="32"/>
          <w:shd w:val="clear" w:color="auto" w:fill="FFFFFF"/>
        </w:rPr>
        <w:t>四、评价结论及建议</w:t>
      </w:r>
    </w:p>
    <w:p w14:paraId="59B30186">
      <w:pPr>
        <w:widowControl/>
        <w:suppressAutoHyphens/>
        <w:adjustRightInd w:val="0"/>
        <w:snapToGrid w:val="0"/>
        <w:spacing w:line="578" w:lineRule="exact"/>
        <w:ind w:firstLine="643" w:firstLineChars="200"/>
        <w:contextualSpacing/>
        <w:jc w:val="left"/>
        <w:rPr>
          <w:rFonts w:ascii="Calibri" w:hAnsi="Calibri" w:eastAsia="楷体_GB2312" w:cs="Times New Roman"/>
          <w:b/>
          <w:bCs/>
          <w:color w:val="000000"/>
          <w:kern w:val="0"/>
          <w:sz w:val="32"/>
          <w:szCs w:val="32"/>
          <w:shd w:val="clear" w:color="auto" w:fill="FFFFFF"/>
          <w:lang w:val="zh-CN" w:eastAsia="zh-CN"/>
        </w:rPr>
      </w:pPr>
      <w:r>
        <w:rPr>
          <w:rFonts w:ascii="Calibri" w:hAnsi="Calibri" w:eastAsia="楷体_GB2312" w:cs="Times New Roman"/>
          <w:b/>
          <w:bCs/>
          <w:color w:val="000000"/>
          <w:kern w:val="0"/>
          <w:sz w:val="32"/>
          <w:szCs w:val="32"/>
          <w:shd w:val="clear" w:color="auto" w:fill="FFFFFF"/>
          <w:lang w:val="zh-CN" w:eastAsia="zh-CN"/>
        </w:rPr>
        <w:t>（一）评价结论。</w:t>
      </w:r>
    </w:p>
    <w:p w14:paraId="6876DED3">
      <w:pPr>
        <w:widowControl/>
        <w:suppressAutoHyphens/>
        <w:adjustRightInd w:val="0"/>
        <w:snapToGrid w:val="0"/>
        <w:spacing w:line="578" w:lineRule="exact"/>
        <w:ind w:firstLine="640" w:firstLineChars="200"/>
        <w:contextualSpacing/>
        <w:jc w:val="left"/>
        <w:rPr>
          <w:rFonts w:hint="eastAsia" w:ascii="仿宋" w:hAnsi="仿宋" w:eastAsia="仿宋" w:cs="Times New Roman"/>
          <w:b/>
          <w:bCs/>
          <w:color w:val="000000"/>
          <w:kern w:val="0"/>
          <w:sz w:val="32"/>
          <w:szCs w:val="32"/>
          <w:shd w:val="clear" w:color="auto" w:fill="FFFFFF"/>
        </w:rPr>
      </w:pPr>
      <w:r>
        <w:rPr>
          <w:rFonts w:hint="eastAsia" w:ascii="仿宋" w:hAnsi="仿宋" w:eastAsia="仿宋" w:cs="Times New Roman"/>
          <w:kern w:val="0"/>
          <w:sz w:val="32"/>
          <w:szCs w:val="32"/>
        </w:rPr>
        <w:t>攀枝花市地理信息中心单位</w:t>
      </w:r>
      <w:r>
        <w:rPr>
          <w:rFonts w:hint="eastAsia" w:ascii="仿宋" w:hAnsi="仿宋" w:eastAsia="仿宋" w:cs="Times New Roman"/>
          <w:w w:val="95"/>
          <w:kern w:val="0"/>
          <w:sz w:val="32"/>
          <w:szCs w:val="32"/>
        </w:rPr>
        <w:t>预算绩效自评</w:t>
      </w:r>
      <w:r>
        <w:rPr>
          <w:rFonts w:hint="eastAsia" w:ascii="仿宋" w:hAnsi="仿宋" w:eastAsia="仿宋" w:cs="Times New Roman"/>
          <w:kern w:val="0"/>
          <w:sz w:val="32"/>
          <w:szCs w:val="32"/>
        </w:rPr>
        <w:t>良好，自评得分100分，绩效目标设置科学、合理，预算执行率100%。</w:t>
      </w:r>
    </w:p>
    <w:p w14:paraId="4CF73231">
      <w:pPr>
        <w:widowControl/>
        <w:suppressAutoHyphens/>
        <w:adjustRightInd w:val="0"/>
        <w:snapToGrid w:val="0"/>
        <w:spacing w:line="578" w:lineRule="exact"/>
        <w:ind w:firstLine="643" w:firstLineChars="200"/>
        <w:contextualSpacing/>
        <w:jc w:val="left"/>
        <w:rPr>
          <w:rFonts w:ascii="Calibri" w:hAnsi="Calibri" w:eastAsia="楷体_GB2312" w:cs="Times New Roman"/>
          <w:b/>
          <w:bCs/>
          <w:color w:val="000000"/>
          <w:kern w:val="0"/>
          <w:sz w:val="32"/>
          <w:szCs w:val="32"/>
          <w:shd w:val="clear" w:color="auto" w:fill="FFFFFF"/>
          <w:lang w:val="zh-CN" w:eastAsia="zh-CN"/>
        </w:rPr>
      </w:pPr>
      <w:r>
        <w:rPr>
          <w:rFonts w:ascii="Calibri" w:hAnsi="Calibri" w:eastAsia="楷体_GB2312" w:cs="Times New Roman"/>
          <w:b/>
          <w:bCs/>
          <w:color w:val="000000"/>
          <w:kern w:val="0"/>
          <w:sz w:val="32"/>
          <w:szCs w:val="32"/>
          <w:shd w:val="clear" w:color="auto" w:fill="FFFFFF"/>
          <w:lang w:val="zh-CN" w:eastAsia="zh-CN"/>
        </w:rPr>
        <w:t>（二）存在问题。</w:t>
      </w:r>
    </w:p>
    <w:p w14:paraId="6ED194E2">
      <w:pPr>
        <w:widowControl/>
        <w:suppressAutoHyphens/>
        <w:adjustRightInd w:val="0"/>
        <w:snapToGrid w:val="0"/>
        <w:spacing w:line="578" w:lineRule="exact"/>
        <w:ind w:firstLine="608" w:firstLineChars="200"/>
        <w:contextualSpacing/>
        <w:jc w:val="left"/>
        <w:rPr>
          <w:rFonts w:ascii="Calibri" w:hAnsi="Calibri" w:eastAsia="楷体_GB2312" w:cs="Times New Roman"/>
          <w:b/>
          <w:bCs/>
          <w:color w:val="000000"/>
          <w:kern w:val="0"/>
          <w:sz w:val="32"/>
          <w:szCs w:val="32"/>
          <w:shd w:val="clear" w:color="auto" w:fill="FFFFFF"/>
        </w:rPr>
      </w:pPr>
      <w:r>
        <w:rPr>
          <w:rFonts w:hint="eastAsia" w:ascii="Calibri" w:hAnsi="Calibri" w:eastAsia="宋体" w:cs="Times New Roman"/>
          <w:w w:val="95"/>
          <w:kern w:val="0"/>
          <w:sz w:val="32"/>
          <w:szCs w:val="32"/>
        </w:rPr>
        <w:t>无。</w:t>
      </w:r>
    </w:p>
    <w:p w14:paraId="6FC564B6">
      <w:pPr>
        <w:widowControl/>
        <w:suppressAutoHyphens/>
        <w:adjustRightInd w:val="0"/>
        <w:snapToGrid w:val="0"/>
        <w:spacing w:line="578" w:lineRule="exact"/>
        <w:ind w:firstLine="643" w:firstLineChars="200"/>
        <w:contextualSpacing/>
        <w:jc w:val="left"/>
        <w:rPr>
          <w:rFonts w:ascii="Calibri" w:hAnsi="Calibri" w:eastAsia="楷体_GB2312" w:cs="Times New Roman"/>
          <w:b/>
          <w:bCs/>
          <w:color w:val="000000"/>
          <w:kern w:val="0"/>
          <w:sz w:val="32"/>
          <w:szCs w:val="32"/>
          <w:shd w:val="clear" w:color="auto" w:fill="FFFFFF"/>
          <w:lang w:val="zh-CN" w:eastAsia="zh-CN"/>
        </w:rPr>
      </w:pPr>
      <w:r>
        <w:rPr>
          <w:rFonts w:ascii="Calibri" w:hAnsi="Calibri" w:eastAsia="楷体_GB2312" w:cs="Times New Roman"/>
          <w:b/>
          <w:bCs/>
          <w:color w:val="000000"/>
          <w:kern w:val="0"/>
          <w:sz w:val="32"/>
          <w:szCs w:val="32"/>
          <w:shd w:val="clear" w:color="auto" w:fill="FFFFFF"/>
          <w:lang w:val="zh-CN" w:eastAsia="zh-CN"/>
        </w:rPr>
        <w:t>（三）改进建议。</w:t>
      </w:r>
    </w:p>
    <w:p w14:paraId="23AC36CE">
      <w:pPr>
        <w:widowControl/>
        <w:suppressAutoHyphens/>
        <w:adjustRightInd w:val="0"/>
        <w:snapToGrid w:val="0"/>
        <w:spacing w:line="578" w:lineRule="exact"/>
        <w:ind w:firstLine="608" w:firstLineChars="200"/>
        <w:contextualSpacing/>
        <w:jc w:val="left"/>
        <w:rPr>
          <w:rFonts w:hint="eastAsia" w:ascii="Calibri" w:hAnsi="Calibri" w:eastAsia="宋体" w:cs="Times New Roman"/>
          <w:w w:val="95"/>
          <w:kern w:val="0"/>
          <w:sz w:val="32"/>
          <w:szCs w:val="32"/>
        </w:rPr>
      </w:pPr>
      <w:r>
        <w:rPr>
          <w:rFonts w:hint="eastAsia" w:ascii="Calibri" w:hAnsi="Calibri" w:eastAsia="宋体" w:cs="Times New Roman"/>
          <w:w w:val="95"/>
          <w:kern w:val="0"/>
          <w:sz w:val="32"/>
          <w:szCs w:val="32"/>
        </w:rPr>
        <w:t>无。</w:t>
      </w:r>
      <w:bookmarkStart w:id="104" w:name="_Hlk110546638"/>
    </w:p>
    <w:p w14:paraId="3FC315CB">
      <w:pPr>
        <w:widowControl w:val="0"/>
        <w:suppressAutoHyphens/>
        <w:snapToGrid w:val="0"/>
        <w:jc w:val="left"/>
        <w:rPr>
          <w:rFonts w:ascii="Calibri" w:hAnsi="Calibri" w:eastAsia="宋体" w:cs="Times New Roman"/>
          <w:kern w:val="2"/>
          <w:sz w:val="18"/>
          <w:szCs w:val="18"/>
          <w:lang w:val="en-US" w:eastAsia="zh-CN" w:bidi="ar-SA"/>
        </w:rPr>
      </w:pPr>
    </w:p>
    <w:bookmarkEnd w:id="104"/>
    <w:p w14:paraId="3723DDF9">
      <w:pPr>
        <w:widowControl w:val="0"/>
        <w:suppressAutoHyphens/>
        <w:spacing w:after="120" w:line="560" w:lineRule="exact"/>
        <w:ind w:left="0" w:leftChars="0" w:firstLine="640" w:firstLineChars="200"/>
        <w:jc w:val="both"/>
        <w:rPr>
          <w:rFonts w:hint="eastAsia" w:ascii="仿宋" w:hAnsi="仿宋" w:eastAsia="仿宋" w:cs="Times New Roman"/>
          <w:kern w:val="2"/>
          <w:sz w:val="32"/>
          <w:szCs w:val="32"/>
          <w:lang w:val="zh-CN" w:eastAsia="zh-CN" w:bidi="ar-SA"/>
        </w:rPr>
      </w:pPr>
      <w:r>
        <w:rPr>
          <w:rFonts w:hint="eastAsia" w:ascii="仿宋" w:hAnsi="仿宋" w:eastAsia="仿宋" w:cs="Times New Roman"/>
          <w:kern w:val="2"/>
          <w:sz w:val="32"/>
          <w:szCs w:val="32"/>
          <w:lang w:val="zh-CN" w:eastAsia="zh-CN" w:bidi="ar-SA"/>
        </w:rPr>
        <w:t>附表：</w:t>
      </w:r>
      <w:r>
        <w:rPr>
          <w:rFonts w:hint="eastAsia" w:ascii="仿宋" w:hAnsi="仿宋" w:eastAsia="仿宋" w:cs="Times New Roman"/>
          <w:kern w:val="2"/>
          <w:sz w:val="32"/>
          <w:szCs w:val="32"/>
          <w:lang w:val="en-US" w:eastAsia="zh-CN" w:bidi="ar-SA"/>
        </w:rPr>
        <w:t>部门预算项目支出绩效自评表（2025年度）</w:t>
      </w:r>
    </w:p>
    <w:p w14:paraId="65E8B7DB">
      <w:pPr>
        <w:widowControl w:val="0"/>
        <w:suppressAutoHyphens/>
        <w:spacing w:after="120" w:line="560" w:lineRule="exact"/>
        <w:ind w:left="0" w:leftChars="0" w:firstLine="0" w:firstLineChars="0"/>
        <w:jc w:val="both"/>
        <w:rPr>
          <w:rFonts w:hint="eastAsia" w:ascii="仿宋_GB2312" w:hAnsi="Times New Roman" w:eastAsia="宋体" w:cs="Times New Roman"/>
          <w:kern w:val="2"/>
          <w:sz w:val="32"/>
          <w:szCs w:val="32"/>
          <w:highlight w:val="yellow"/>
          <w:lang w:val="zh-CN" w:eastAsia="zh-CN" w:bidi="ar-SA"/>
        </w:rPr>
      </w:pPr>
    </w:p>
    <w:p w14:paraId="06F3FC3A">
      <w:pPr>
        <w:widowControl w:val="0"/>
        <w:suppressAutoHyphens/>
        <w:spacing w:before="0" w:after="140" w:line="276" w:lineRule="auto"/>
        <w:jc w:val="both"/>
        <w:rPr>
          <w:rFonts w:hint="eastAsia" w:ascii="Calibri" w:hAnsi="宋体" w:eastAsia="宋体" w:cs="宋体"/>
          <w:color w:val="FF0000"/>
          <w:kern w:val="0"/>
          <w:sz w:val="32"/>
          <w:szCs w:val="32"/>
          <w:highlight w:val="yellow"/>
          <w:shd w:val="clear" w:color="auto" w:fill="FFFFFF"/>
          <w:lang w:val="zh-CN" w:eastAsia="zh-CN" w:bidi="ar-SA"/>
        </w:rPr>
      </w:pPr>
    </w:p>
    <w:p w14:paraId="58997785">
      <w:pPr>
        <w:suppressAutoHyphens/>
        <w:rPr>
          <w:rFonts w:hint="eastAsia" w:ascii="黑体" w:hAnsi="黑体" w:eastAsia="黑体" w:cs="黑体"/>
          <w:kern w:val="0"/>
          <w:sz w:val="32"/>
          <w:szCs w:val="32"/>
          <w:shd w:val="clear" w:color="auto" w:fill="FFFFFF"/>
          <w:lang w:val="zh-CN" w:eastAsia="zh-CN" w:bidi="ar-SA"/>
        </w:rPr>
      </w:pPr>
      <w:r>
        <w:rPr>
          <w:rFonts w:hint="eastAsia" w:ascii="黑体" w:hAnsi="黑体" w:eastAsia="黑体" w:cs="黑体"/>
          <w:kern w:val="0"/>
          <w:sz w:val="32"/>
          <w:szCs w:val="32"/>
          <w:shd w:val="clear" w:color="auto" w:fill="FFFFFF"/>
          <w:lang w:val="zh-CN" w:eastAsia="zh-CN" w:bidi="ar-SA"/>
        </w:rPr>
        <w:br w:type="page"/>
      </w:r>
    </w:p>
    <w:p w14:paraId="0ED64C81">
      <w:pPr>
        <w:widowControl w:val="0"/>
        <w:suppressAutoHyphens/>
        <w:spacing w:line="578" w:lineRule="exact"/>
        <w:jc w:val="center"/>
        <w:rPr>
          <w:rFonts w:hint="eastAsia" w:ascii="方正小标宋简体" w:hAnsi="方正小标宋简体" w:eastAsia="方正小标宋简体" w:cs="方正小标宋简体"/>
          <w:color w:val="auto"/>
          <w:kern w:val="2"/>
          <w:sz w:val="44"/>
          <w:szCs w:val="44"/>
          <w:lang w:val="en-US" w:eastAsia="en-US" w:bidi="ar-SA"/>
        </w:rPr>
      </w:pPr>
    </w:p>
    <w:p w14:paraId="7E06A2A1">
      <w:pPr>
        <w:widowControl w:val="0"/>
        <w:suppressAutoHyphens/>
        <w:spacing w:line="578" w:lineRule="exact"/>
        <w:jc w:val="center"/>
        <w:rPr>
          <w:rFonts w:hint="eastAsia" w:ascii="方正小标宋简体" w:hAnsi="方正小标宋简体" w:eastAsia="方正小标宋简体" w:cs="方正小标宋简体"/>
          <w:color w:val="auto"/>
          <w:kern w:val="2"/>
          <w:sz w:val="44"/>
          <w:szCs w:val="44"/>
          <w:lang w:val="en-US" w:eastAsia="en-US" w:bidi="ar-SA"/>
        </w:rPr>
      </w:pPr>
      <w:r>
        <w:rPr>
          <w:rFonts w:hint="eastAsia" w:ascii="方正小标宋简体" w:hAnsi="方正小标宋简体" w:eastAsia="方正小标宋简体" w:cs="方正小标宋简体"/>
          <w:color w:val="auto"/>
          <w:kern w:val="2"/>
          <w:sz w:val="44"/>
          <w:szCs w:val="44"/>
          <w:lang w:val="en-US" w:eastAsia="en-US" w:bidi="ar-SA"/>
        </w:rPr>
        <w:t>生产成本专项预算项目绩效评价报告</w:t>
      </w:r>
    </w:p>
    <w:p w14:paraId="6A2D0960">
      <w:pPr>
        <w:pStyle w:val="8"/>
        <w:spacing w:line="560" w:lineRule="exact"/>
        <w:ind w:firstLine="1920" w:firstLineChars="600"/>
        <w:outlineLvl w:val="3"/>
        <w:rPr>
          <w:rFonts w:ascii="Times New Roman" w:eastAsia="仿宋_GB2312"/>
          <w:sz w:val="32"/>
          <w:szCs w:val="32"/>
          <w:lang w:bidi="ar"/>
        </w:rPr>
      </w:pPr>
      <w:r>
        <w:rPr>
          <w:rFonts w:hint="eastAsia" w:ascii="Times New Roman" w:eastAsia="仿宋_GB2312"/>
          <w:sz w:val="32"/>
          <w:szCs w:val="32"/>
          <w:lang w:bidi="ar"/>
        </w:rPr>
        <w:t>（</w:t>
      </w:r>
      <w:r>
        <w:rPr>
          <w:rFonts w:ascii="Times New Roman" w:eastAsia="仿宋_GB2312"/>
          <w:sz w:val="32"/>
          <w:szCs w:val="32"/>
          <w:lang w:bidi="ar"/>
        </w:rPr>
        <w:t>攀枝花市地理信息中心</w:t>
      </w:r>
      <w:r>
        <w:rPr>
          <w:rFonts w:hint="eastAsia" w:ascii="Times New Roman" w:eastAsia="仿宋_GB2312"/>
          <w:sz w:val="32"/>
          <w:szCs w:val="32"/>
          <w:lang w:bidi="ar"/>
        </w:rPr>
        <w:t>）</w:t>
      </w:r>
    </w:p>
    <w:p w14:paraId="5F4D24CF">
      <w:pPr>
        <w:widowControl w:val="0"/>
        <w:suppressAutoHyphens/>
        <w:spacing w:line="578" w:lineRule="exact"/>
        <w:ind w:firstLine="640"/>
        <w:jc w:val="center"/>
        <w:rPr>
          <w:rFonts w:hint="eastAsia" w:ascii="宋体" w:hAnsi="宋体" w:eastAsia="宋体" w:cs="Times New Roman"/>
          <w:color w:val="auto"/>
          <w:kern w:val="2"/>
          <w:sz w:val="32"/>
          <w:szCs w:val="32"/>
          <w:lang w:val="zh-CN" w:eastAsia="zh-CN" w:bidi="ar-SA"/>
        </w:rPr>
      </w:pPr>
    </w:p>
    <w:p w14:paraId="5CF518E8">
      <w:pPr>
        <w:suppressAutoHyphens/>
        <w:adjustRightInd w:val="0"/>
        <w:snapToGrid w:val="0"/>
        <w:spacing w:line="578" w:lineRule="exact"/>
        <w:ind w:firstLine="640" w:firstLineChars="200"/>
        <w:rPr>
          <w:rFonts w:hint="eastAsia" w:ascii="黑体" w:hAnsi="宋体" w:eastAsia="黑体" w:cs="Times New Roman"/>
          <w:sz w:val="32"/>
          <w:szCs w:val="32"/>
          <w:lang w:val="zh-CN" w:eastAsia="zh-CN"/>
        </w:rPr>
      </w:pPr>
      <w:r>
        <w:rPr>
          <w:rFonts w:hint="eastAsia" w:ascii="黑体" w:hAnsi="宋体" w:eastAsia="黑体" w:cs="Times New Roman"/>
          <w:sz w:val="32"/>
          <w:szCs w:val="32"/>
        </w:rPr>
        <w:t>一、</w:t>
      </w:r>
      <w:r>
        <w:rPr>
          <w:rFonts w:hint="eastAsia" w:ascii="黑体" w:hAnsi="宋体" w:eastAsia="黑体" w:cs="Times New Roman"/>
          <w:sz w:val="32"/>
          <w:szCs w:val="32"/>
          <w:lang w:val="zh-CN" w:eastAsia="zh-CN"/>
        </w:rPr>
        <w:t>项目概况</w:t>
      </w:r>
    </w:p>
    <w:p w14:paraId="61AA42E6">
      <w:pPr>
        <w:widowControl/>
        <w:suppressAutoHyphens/>
        <w:adjustRightInd w:val="0"/>
        <w:snapToGrid w:val="0"/>
        <w:spacing w:line="578" w:lineRule="exact"/>
        <w:ind w:firstLine="643" w:firstLineChars="200"/>
        <w:contextualSpacing/>
        <w:jc w:val="left"/>
        <w:rPr>
          <w:rFonts w:hint="eastAsia" w:ascii="楷体_GB2312" w:hAnsi="宋体" w:eastAsia="楷体_GB2312" w:cs="Times New Roman"/>
          <w:b/>
          <w:sz w:val="32"/>
          <w:szCs w:val="32"/>
          <w:lang w:val="zh-CN" w:eastAsia="zh-CN"/>
        </w:rPr>
      </w:pPr>
      <w:r>
        <w:rPr>
          <w:rFonts w:hint="eastAsia" w:ascii="楷体_GB2312" w:hAnsi="宋体" w:eastAsia="楷体_GB2312" w:cs="Times New Roman"/>
          <w:b/>
          <w:sz w:val="32"/>
          <w:szCs w:val="32"/>
          <w:lang w:val="zh-CN" w:eastAsia="zh-CN"/>
        </w:rPr>
        <w:t>（一）设立背景及基本情况。</w:t>
      </w:r>
    </w:p>
    <w:p w14:paraId="3721BEB1">
      <w:pPr>
        <w:widowControl/>
        <w:suppressAutoHyphens/>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shd w:val="clear" w:color="auto" w:fill="FFFFFF"/>
          <w:lang w:val="zh-CN" w:eastAsia="zh-CN" w:bidi="ar-SA"/>
        </w:rPr>
      </w:pPr>
      <w:r>
        <w:rPr>
          <w:rFonts w:hint="eastAsia" w:ascii="仿宋_GB2312" w:hAnsi="仿宋_GB2312" w:eastAsia="仿宋_GB2312" w:cs="仿宋_GB2312"/>
          <w:kern w:val="0"/>
          <w:sz w:val="32"/>
          <w:szCs w:val="32"/>
          <w:lang w:val="zh-CN" w:eastAsia="zh-CN" w:bidi="ar-SA"/>
        </w:rPr>
        <w:t>根据攀枝花市委机构编制委员会关于成立市城市地理信息中心的批复（攀编发〔2000〕6号）的职能职责，根据测绘资质范围开展技术服务工作，征收非税收入。</w:t>
      </w:r>
    </w:p>
    <w:p w14:paraId="6A07DCC8">
      <w:pPr>
        <w:suppressAutoHyphens/>
        <w:adjustRightInd w:val="0"/>
        <w:snapToGrid w:val="0"/>
        <w:spacing w:line="578" w:lineRule="exact"/>
        <w:ind w:firstLine="643" w:firstLineChars="20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eastAsia="zh-CN"/>
        </w:rPr>
        <w:t>（二）</w:t>
      </w:r>
      <w:r>
        <w:rPr>
          <w:rFonts w:hint="eastAsia" w:ascii="楷体_GB2312" w:hAnsi="宋体" w:eastAsia="楷体_GB2312" w:cs="Times New Roman"/>
          <w:b/>
          <w:sz w:val="32"/>
          <w:szCs w:val="32"/>
        </w:rPr>
        <w:t>实施目的及支持方向。</w:t>
      </w:r>
    </w:p>
    <w:p w14:paraId="2F5B3CF3">
      <w:pPr>
        <w:widowControl/>
        <w:suppressAutoHyphens/>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zh-CN" w:eastAsia="zh-CN" w:bidi="ar-SA"/>
        </w:rPr>
      </w:pPr>
      <w:r>
        <w:rPr>
          <w:rFonts w:hint="eastAsia" w:ascii="仿宋_GB2312" w:hAnsi="仿宋_GB2312" w:eastAsia="仿宋_GB2312" w:cs="仿宋_GB2312"/>
          <w:kern w:val="0"/>
          <w:sz w:val="32"/>
          <w:szCs w:val="32"/>
          <w:lang w:val="zh-CN" w:eastAsia="zh-CN" w:bidi="ar-SA"/>
        </w:rPr>
        <w:t>积极参与测绘地理信息市场竞争，完成年度非税收入目标，按照合同约定支付非税直接成本。</w:t>
      </w:r>
    </w:p>
    <w:p w14:paraId="412FB8AD">
      <w:pPr>
        <w:widowControl/>
        <w:suppressAutoHyphens/>
        <w:adjustRightInd w:val="0"/>
        <w:snapToGrid w:val="0"/>
        <w:spacing w:line="578" w:lineRule="exact"/>
        <w:ind w:firstLine="643" w:firstLineChars="200"/>
        <w:contextualSpacing/>
        <w:jc w:val="left"/>
        <w:rPr>
          <w:rFonts w:hint="eastAsia" w:ascii="楷体_GB2312" w:hAnsi="宋体" w:eastAsia="楷体_GB2312" w:cs="Times New Roman"/>
          <w:b/>
          <w:sz w:val="32"/>
          <w:szCs w:val="32"/>
          <w:lang w:val="zh-CN" w:eastAsia="zh-CN"/>
        </w:rPr>
      </w:pPr>
      <w:r>
        <w:rPr>
          <w:rFonts w:hint="eastAsia" w:ascii="楷体_GB2312" w:hAnsi="宋体" w:eastAsia="楷体_GB2312" w:cs="Times New Roman"/>
          <w:b/>
          <w:sz w:val="32"/>
          <w:szCs w:val="32"/>
          <w:lang w:val="zh-CN" w:eastAsia="zh-CN"/>
        </w:rPr>
        <w:t>（三）</w:t>
      </w:r>
      <w:r>
        <w:rPr>
          <w:rFonts w:hint="eastAsia" w:ascii="楷体_GB2312" w:hAnsi="宋体" w:eastAsia="楷体_GB2312" w:cs="Times New Roman"/>
          <w:b/>
          <w:sz w:val="32"/>
          <w:szCs w:val="32"/>
        </w:rPr>
        <w:t>预算安排及分配管理</w:t>
      </w:r>
      <w:r>
        <w:rPr>
          <w:rFonts w:hint="eastAsia" w:ascii="楷体_GB2312" w:hAnsi="宋体" w:eastAsia="楷体_GB2312" w:cs="Times New Roman"/>
          <w:b/>
          <w:sz w:val="32"/>
          <w:szCs w:val="32"/>
          <w:lang w:val="zh-CN" w:eastAsia="zh-CN"/>
        </w:rPr>
        <w:t>。</w:t>
      </w:r>
    </w:p>
    <w:p w14:paraId="461ACF2C">
      <w:pPr>
        <w:widowControl/>
        <w:suppressAutoHyphens/>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lang w:val="zh-CN" w:eastAsia="zh-CN" w:bidi="ar-SA"/>
        </w:rPr>
      </w:pPr>
      <w:r>
        <w:rPr>
          <w:rFonts w:hint="eastAsia" w:ascii="仿宋_GB2312" w:hAnsi="仿宋_GB2312" w:eastAsia="仿宋_GB2312" w:cs="仿宋_GB2312"/>
          <w:kern w:val="0"/>
          <w:sz w:val="32"/>
          <w:szCs w:val="32"/>
          <w:lang w:val="zh-CN" w:eastAsia="zh-CN" w:bidi="ar-SA"/>
        </w:rPr>
        <w:t>项目预算主要是支付非税直接成本、长聘人员经费。</w:t>
      </w:r>
    </w:p>
    <w:p w14:paraId="47752E19">
      <w:pPr>
        <w:suppressAutoHyphens/>
        <w:adjustRightInd w:val="0"/>
        <w:snapToGrid w:val="0"/>
        <w:spacing w:line="578" w:lineRule="exact"/>
        <w:ind w:firstLine="643" w:firstLineChars="200"/>
        <w:rPr>
          <w:rFonts w:hint="eastAsia" w:ascii="楷体_GB2312" w:hAnsi="宋体" w:eastAsia="楷体_GB2312" w:cs="Times New Roman"/>
          <w:b/>
          <w:sz w:val="32"/>
          <w:szCs w:val="32"/>
          <w:lang w:val="zh-CN" w:eastAsia="zh-CN"/>
        </w:rPr>
      </w:pPr>
      <w:r>
        <w:rPr>
          <w:rFonts w:hint="eastAsia" w:ascii="楷体_GB2312" w:hAnsi="宋体" w:eastAsia="楷体_GB2312" w:cs="Times New Roman"/>
          <w:b/>
          <w:sz w:val="32"/>
          <w:szCs w:val="32"/>
          <w:lang w:val="zh-CN" w:eastAsia="zh-CN"/>
        </w:rPr>
        <w:t>（四）项目绩效目标设置。</w:t>
      </w:r>
    </w:p>
    <w:p w14:paraId="717358D1">
      <w:pPr>
        <w:widowControl/>
        <w:suppressAutoHyphens/>
        <w:adjustRightInd w:val="0"/>
        <w:snapToGrid w:val="0"/>
        <w:spacing w:line="578" w:lineRule="exact"/>
        <w:ind w:firstLine="640" w:firstLineChars="200"/>
        <w:contextualSpacing/>
        <w:jc w:val="left"/>
        <w:rPr>
          <w:rFonts w:hint="eastAsia" w:ascii="仿宋_GB2312" w:hAnsi="仿宋_GB2312" w:eastAsia="仿宋_GB2312" w:cs="仿宋_GB2312"/>
          <w:kern w:val="0"/>
          <w:sz w:val="32"/>
          <w:szCs w:val="32"/>
          <w:shd w:val="clear" w:color="auto" w:fill="FFFFFF"/>
          <w:lang w:val="zh-CN" w:eastAsia="zh-CN" w:bidi="ar-SA"/>
        </w:rPr>
      </w:pPr>
      <w:r>
        <w:rPr>
          <w:rFonts w:hint="eastAsia" w:ascii="仿宋_GB2312" w:hAnsi="仿宋_GB2312" w:eastAsia="仿宋_GB2312" w:cs="仿宋_GB2312"/>
          <w:kern w:val="0"/>
          <w:sz w:val="32"/>
          <w:szCs w:val="32"/>
          <w:lang w:val="zh-CN" w:eastAsia="zh-CN" w:bidi="ar-SA"/>
        </w:rPr>
        <w:t>积极参与测绘地理信息市场竞争，完成年度非税收入目标；参与城市基础测绘工作，对城市基础图库开展动态运维；参与国土空间基础信息平台、国土空间规划监测评估预警管理系统建设，为自然资源和规划工作提供基础数据保障。按规定开展自评工作，自评结论良好。</w:t>
      </w:r>
    </w:p>
    <w:p w14:paraId="23DB670A">
      <w:pPr>
        <w:suppressAutoHyphens/>
        <w:adjustRightInd w:val="0"/>
        <w:snapToGrid w:val="0"/>
        <w:spacing w:line="578" w:lineRule="exact"/>
        <w:ind w:firstLine="640" w:firstLineChars="200"/>
        <w:rPr>
          <w:rFonts w:hint="eastAsia" w:ascii="黑体" w:hAnsi="宋体" w:eastAsia="黑体" w:cs="Times New Roman"/>
          <w:sz w:val="32"/>
          <w:szCs w:val="32"/>
        </w:rPr>
      </w:pPr>
      <w:r>
        <w:rPr>
          <w:rFonts w:hint="eastAsia" w:ascii="黑体" w:hAnsi="宋体" w:eastAsia="黑体" w:cs="Times New Roman"/>
          <w:sz w:val="32"/>
          <w:szCs w:val="32"/>
        </w:rPr>
        <w:t>二、评价实施</w:t>
      </w:r>
    </w:p>
    <w:p w14:paraId="2CE86B58">
      <w:pPr>
        <w:suppressAutoHyphens/>
        <w:spacing w:line="578" w:lineRule="exact"/>
        <w:ind w:firstLine="640"/>
        <w:rPr>
          <w:rFonts w:hint="eastAsia" w:ascii="仿宋_GB2312" w:hAnsi="仿宋_GB2312" w:eastAsia="仿宋_GB2312" w:cs="仿宋_GB2312"/>
          <w:kern w:val="0"/>
          <w:sz w:val="32"/>
          <w:szCs w:val="32"/>
          <w:lang w:val="zh-CN" w:eastAsia="zh-CN" w:bidi="ar-SA"/>
        </w:rPr>
      </w:pPr>
      <w:r>
        <w:rPr>
          <w:rFonts w:hint="eastAsia" w:ascii="楷体_GB2312" w:hAnsi="宋体" w:eastAsia="楷体_GB2312" w:cs="Times New Roman"/>
          <w:b/>
          <w:sz w:val="32"/>
          <w:szCs w:val="32"/>
          <w:lang w:val="zh-CN" w:eastAsia="zh-CN"/>
        </w:rPr>
        <w:t>（一）评价目的。</w:t>
      </w:r>
      <w:r>
        <w:rPr>
          <w:rFonts w:hint="eastAsia" w:ascii="仿宋_GB2312" w:hAnsi="仿宋_GB2312" w:eastAsia="仿宋_GB2312" w:cs="仿宋_GB2312"/>
          <w:kern w:val="0"/>
          <w:sz w:val="32"/>
          <w:szCs w:val="32"/>
          <w:lang w:val="zh-CN" w:eastAsia="zh-CN" w:bidi="ar-SA"/>
        </w:rPr>
        <w:t>通过项目绩效自评要实现的单位预算编制的合理性、预算执行的效率性。</w:t>
      </w:r>
    </w:p>
    <w:p w14:paraId="0043BF9A">
      <w:pPr>
        <w:suppressAutoHyphens/>
        <w:adjustRightInd w:val="0"/>
        <w:snapToGrid w:val="0"/>
        <w:spacing w:line="578" w:lineRule="exact"/>
        <w:ind w:firstLine="643" w:firstLineChars="200"/>
        <w:rPr>
          <w:rFonts w:hint="eastAsia" w:ascii="仿宋_GB2312" w:hAnsi="仿宋_GB2312" w:eastAsia="仿宋_GB2312" w:cs="仿宋_GB2312"/>
          <w:kern w:val="0"/>
          <w:sz w:val="32"/>
          <w:szCs w:val="32"/>
          <w:lang w:val="zh-CN" w:eastAsia="zh-CN" w:bidi="ar-SA"/>
        </w:rPr>
      </w:pPr>
      <w:r>
        <w:rPr>
          <w:rFonts w:hint="eastAsia" w:ascii="楷体_GB2312" w:hAnsi="宋体" w:eastAsia="楷体_GB2312" w:cs="Times New Roman"/>
          <w:b/>
          <w:sz w:val="32"/>
          <w:szCs w:val="32"/>
          <w:lang w:val="zh-CN" w:eastAsia="zh-CN"/>
        </w:rPr>
        <w:t>（二）预设问题及评价重点。</w:t>
      </w:r>
      <w:r>
        <w:rPr>
          <w:rFonts w:hint="eastAsia" w:ascii="仿宋_GB2312" w:hAnsi="仿宋_GB2312" w:eastAsia="仿宋_GB2312" w:cs="仿宋_GB2312"/>
          <w:kern w:val="0"/>
          <w:sz w:val="32"/>
          <w:szCs w:val="32"/>
          <w:lang w:val="zh-CN" w:eastAsia="zh-CN" w:bidi="ar-SA"/>
        </w:rPr>
        <w:t>重点对资金支出使用全过程及其实施效果进行综合评价和判断。</w:t>
      </w:r>
    </w:p>
    <w:p w14:paraId="0F42F371">
      <w:pPr>
        <w:suppressAutoHyphens/>
        <w:adjustRightInd w:val="0"/>
        <w:snapToGrid w:val="0"/>
        <w:spacing w:line="578" w:lineRule="exact"/>
        <w:ind w:firstLine="643" w:firstLineChars="200"/>
        <w:rPr>
          <w:rFonts w:hint="eastAsia" w:ascii="仿宋_GB2312" w:hAnsi="仿宋_GB2312" w:eastAsia="仿宋_GB2312" w:cs="仿宋_GB2312"/>
          <w:kern w:val="0"/>
          <w:sz w:val="32"/>
          <w:szCs w:val="32"/>
          <w:lang w:val="zh-CN" w:eastAsia="zh-CN" w:bidi="ar-SA"/>
        </w:rPr>
      </w:pPr>
      <w:r>
        <w:rPr>
          <w:rFonts w:hint="eastAsia" w:ascii="楷体_GB2312" w:hAnsi="宋体" w:eastAsia="楷体_GB2312" w:cs="Times New Roman"/>
          <w:b/>
          <w:sz w:val="32"/>
          <w:szCs w:val="32"/>
          <w:lang w:val="zh-CN" w:eastAsia="zh-CN"/>
        </w:rPr>
        <w:t>（三）评价选点。</w:t>
      </w:r>
      <w:r>
        <w:rPr>
          <w:rFonts w:hint="eastAsia" w:ascii="仿宋_GB2312" w:hAnsi="仿宋_GB2312" w:eastAsia="仿宋_GB2312" w:cs="仿宋_GB2312"/>
          <w:kern w:val="0"/>
          <w:sz w:val="32"/>
          <w:szCs w:val="32"/>
          <w:lang w:val="zh-CN" w:eastAsia="zh-CN" w:bidi="ar-SA"/>
        </w:rPr>
        <w:t>项目绩效自评所抽样点位情况。</w:t>
      </w:r>
    </w:p>
    <w:p w14:paraId="2502A1BF">
      <w:pPr>
        <w:suppressAutoHyphens/>
        <w:spacing w:line="578" w:lineRule="exact"/>
        <w:ind w:firstLine="640"/>
        <w:rPr>
          <w:rFonts w:hint="eastAsia" w:ascii="仿宋_GB2312" w:hAnsi="仿宋_GB2312" w:eastAsia="仿宋_GB2312" w:cs="仿宋_GB2312"/>
          <w:kern w:val="0"/>
          <w:sz w:val="32"/>
          <w:szCs w:val="32"/>
          <w:lang w:val="zh-CN" w:eastAsia="zh-CN" w:bidi="ar-SA"/>
        </w:rPr>
      </w:pPr>
      <w:r>
        <w:rPr>
          <w:rFonts w:hint="eastAsia" w:ascii="楷体_GB2312" w:hAnsi="宋体" w:eastAsia="楷体_GB2312" w:cs="Times New Roman"/>
          <w:b/>
          <w:sz w:val="32"/>
          <w:szCs w:val="32"/>
          <w:lang w:val="zh-CN" w:eastAsia="zh-CN"/>
        </w:rPr>
        <w:t>（四）评价方法。</w:t>
      </w:r>
      <w:r>
        <w:rPr>
          <w:rFonts w:hint="eastAsia" w:ascii="仿宋_GB2312" w:hAnsi="仿宋_GB2312" w:eastAsia="仿宋_GB2312" w:cs="仿宋_GB2312"/>
          <w:kern w:val="0"/>
          <w:sz w:val="32"/>
          <w:szCs w:val="32"/>
          <w:lang w:val="zh-CN" w:eastAsia="zh-CN" w:bidi="ar-SA"/>
        </w:rPr>
        <w:t>单位自评法。</w:t>
      </w:r>
    </w:p>
    <w:p w14:paraId="3BB56AFB">
      <w:pPr>
        <w:suppressAutoHyphens/>
        <w:spacing w:line="578" w:lineRule="exact"/>
        <w:ind w:firstLine="640"/>
        <w:rPr>
          <w:rFonts w:hint="eastAsia" w:ascii="Calibri" w:hAnsi="Calibri" w:eastAsia="仿宋_GB2312" w:cs="Times New Roman"/>
          <w:bCs/>
        </w:rPr>
      </w:pPr>
      <w:r>
        <w:rPr>
          <w:rFonts w:hint="eastAsia" w:ascii="楷体_GB2312" w:hAnsi="宋体" w:eastAsia="楷体_GB2312" w:cs="Times New Roman"/>
          <w:b/>
          <w:sz w:val="32"/>
          <w:szCs w:val="32"/>
          <w:lang w:val="zh-CN" w:eastAsia="zh-CN"/>
        </w:rPr>
        <w:t>（五）评价组织。</w:t>
      </w:r>
      <w:r>
        <w:rPr>
          <w:rFonts w:hint="eastAsia" w:ascii="仿宋_GB2312" w:hAnsi="仿宋_GB2312" w:eastAsia="仿宋_GB2312" w:cs="仿宋_GB2312"/>
          <w:kern w:val="0"/>
          <w:sz w:val="32"/>
          <w:szCs w:val="32"/>
          <w:lang w:val="zh-CN" w:eastAsia="zh-CN" w:bidi="ar-SA"/>
        </w:rPr>
        <w:t>评价组人员由技术部门牵头、办公室、生产经营部、财务室工作人员参与。</w:t>
      </w:r>
    </w:p>
    <w:p w14:paraId="161D96F6">
      <w:pPr>
        <w:suppressAutoHyphens/>
        <w:adjustRightInd w:val="0"/>
        <w:snapToGrid w:val="0"/>
        <w:spacing w:line="578" w:lineRule="exact"/>
        <w:ind w:firstLine="640" w:firstLineChars="200"/>
        <w:rPr>
          <w:rFonts w:ascii="仿宋_GB2312" w:hAnsi="宋体" w:eastAsia="宋体" w:cs="Times New Roman"/>
          <w:sz w:val="32"/>
          <w:szCs w:val="32"/>
          <w:lang w:val="zh-CN" w:eastAsia="zh-CN"/>
        </w:rPr>
      </w:pPr>
      <w:r>
        <w:rPr>
          <w:rFonts w:hint="eastAsia" w:ascii="黑体" w:hAnsi="宋体" w:eastAsia="黑体" w:cs="Times New Roman"/>
          <w:sz w:val="32"/>
          <w:szCs w:val="32"/>
        </w:rPr>
        <w:t>三、绩效分析</w:t>
      </w:r>
      <w:r>
        <w:rPr>
          <w:rFonts w:hint="eastAsia" w:ascii="仿宋_GB2312" w:hAnsi="宋体" w:eastAsia="宋体" w:cs="Times New Roman"/>
          <w:sz w:val="32"/>
          <w:szCs w:val="32"/>
          <w:lang w:val="zh-CN" w:eastAsia="zh-CN"/>
        </w:rPr>
        <w:tab/>
      </w:r>
    </w:p>
    <w:p w14:paraId="203377BC">
      <w:pPr>
        <w:suppressAutoHyphens/>
        <w:spacing w:line="578" w:lineRule="exact"/>
        <w:ind w:firstLine="64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eastAsia="zh-CN"/>
        </w:rPr>
        <w:t>（一）</w:t>
      </w:r>
      <w:r>
        <w:rPr>
          <w:rFonts w:hint="eastAsia" w:ascii="楷体_GB2312" w:hAnsi="宋体" w:eastAsia="楷体_GB2312" w:cs="Times New Roman"/>
          <w:b/>
          <w:sz w:val="32"/>
          <w:szCs w:val="32"/>
        </w:rPr>
        <w:t>通用指标</w:t>
      </w:r>
      <w:r>
        <w:rPr>
          <w:rFonts w:ascii="Times New Roman" w:hAnsi="Times New Roman" w:eastAsia="楷体_GB2312" w:cs="Times New Roman"/>
          <w:b/>
          <w:bCs/>
          <w:color w:val="000000"/>
          <w:kern w:val="0"/>
          <w:sz w:val="32"/>
          <w:szCs w:val="32"/>
          <w:shd w:val="clear" w:color="auto" w:fill="FFFFFF"/>
          <w:lang w:val="zh-CN" w:eastAsia="zh-CN"/>
        </w:rPr>
        <w:t>绩效分析。</w:t>
      </w:r>
    </w:p>
    <w:p w14:paraId="7BFFE826">
      <w:pPr>
        <w:suppressAutoHyphens/>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lang w:val="zh-CN" w:eastAsia="zh-CN" w:bidi="ar-SA"/>
        </w:rPr>
      </w:pPr>
      <w:r>
        <w:rPr>
          <w:rFonts w:hint="eastAsia" w:ascii="楷体_GB2312" w:hAnsi="楷体_GB2312" w:eastAsia="楷体_GB2312" w:cs="楷体_GB2312"/>
          <w:sz w:val="32"/>
          <w:szCs w:val="32"/>
          <w:lang w:bidi="ar-SA"/>
        </w:rPr>
        <w:t>1.项目决策。</w:t>
      </w:r>
      <w:r>
        <w:rPr>
          <w:rFonts w:hint="eastAsia" w:ascii="Times New Roman" w:hAnsi="Times New Roman" w:eastAsia="仿宋_GB2312" w:cs="Times New Roman"/>
          <w:sz w:val="32"/>
          <w:szCs w:val="32"/>
          <w:lang w:val="zh-CN" w:eastAsia="zh-CN"/>
        </w:rPr>
        <w:t>根据单位的职能职责，按照测绘资质范围开展生产经营活动，征收非税收入。参与城市基础测绘工作，对城市基础图库开展动态运维；参与国土空间基础信息平台、国土空间规划监测评估预警管理系统建设，为自然资源和规划工作提供基础数据保障</w:t>
      </w:r>
      <w:r>
        <w:rPr>
          <w:rFonts w:hint="eastAsia" w:eastAsia="仿宋_GB2312" w:cs="Times New Roman"/>
          <w:sz w:val="32"/>
          <w:szCs w:val="32"/>
          <w:lang w:val="zh-CN" w:eastAsia="zh-CN"/>
        </w:rPr>
        <w:t>。</w:t>
      </w:r>
    </w:p>
    <w:p w14:paraId="5CBA7BC9">
      <w:pPr>
        <w:suppressAutoHyphens/>
        <w:spacing w:line="578" w:lineRule="exact"/>
        <w:ind w:firstLine="640"/>
        <w:rPr>
          <w:rFonts w:hint="eastAsia" w:ascii="仿宋_GB2312" w:hAnsi="仿宋_GB2312" w:eastAsia="仿宋_GB2312" w:cs="仿宋_GB2312"/>
          <w:kern w:val="0"/>
          <w:sz w:val="32"/>
          <w:szCs w:val="32"/>
          <w:lang w:val="zh-CN" w:eastAsia="zh-CN" w:bidi="ar-SA"/>
        </w:rPr>
      </w:pPr>
      <w:r>
        <w:rPr>
          <w:rFonts w:hint="eastAsia" w:ascii="楷体_GB2312" w:hAnsi="楷体_GB2312" w:eastAsia="楷体_GB2312" w:cs="楷体_GB2312"/>
          <w:sz w:val="32"/>
          <w:szCs w:val="32"/>
          <w:lang w:bidi="ar-SA"/>
        </w:rPr>
        <w:t>2.项目管理。</w:t>
      </w:r>
      <w:r>
        <w:rPr>
          <w:rFonts w:hint="eastAsia" w:ascii="仿宋_GB2312" w:hAnsi="仿宋_GB2312" w:eastAsia="仿宋_GB2312" w:cs="仿宋_GB2312"/>
          <w:kern w:val="0"/>
          <w:sz w:val="32"/>
          <w:szCs w:val="32"/>
          <w:lang w:val="zh-CN" w:eastAsia="zh-CN" w:bidi="ar-SA"/>
        </w:rPr>
        <w:t>严格按照预算管理制度，规范资金使用，确保专款专用。</w:t>
      </w:r>
    </w:p>
    <w:p w14:paraId="108BDBE0">
      <w:pPr>
        <w:suppressAutoHyphens/>
        <w:adjustRightInd w:val="0"/>
        <w:snapToGrid w:val="0"/>
        <w:spacing w:line="578" w:lineRule="exact"/>
        <w:ind w:firstLine="640" w:firstLineChars="200"/>
        <w:contextualSpacing/>
        <w:jc w:val="left"/>
        <w:rPr>
          <w:rFonts w:hint="eastAsia" w:ascii="楷体_GB2312" w:hAnsi="楷体_GB2312" w:eastAsia="楷体_GB2312" w:cs="楷体_GB2312"/>
          <w:sz w:val="32"/>
          <w:szCs w:val="32"/>
          <w:lang w:bidi="ar-SA"/>
        </w:rPr>
      </w:pPr>
      <w:r>
        <w:rPr>
          <w:rFonts w:hint="eastAsia" w:ascii="楷体_GB2312" w:hAnsi="楷体_GB2312" w:eastAsia="楷体_GB2312" w:cs="楷体_GB2312"/>
          <w:sz w:val="32"/>
          <w:szCs w:val="32"/>
          <w:lang w:bidi="ar-SA"/>
        </w:rPr>
        <w:t>3.项目实施。</w:t>
      </w:r>
    </w:p>
    <w:p w14:paraId="6FBE3504">
      <w:pPr>
        <w:suppressAutoHyphens/>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val="zh-CN" w:eastAsia="zh-CN"/>
        </w:rPr>
      </w:pPr>
      <w:r>
        <w:rPr>
          <w:rFonts w:hint="eastAsia" w:ascii="楷体_GB2312" w:hAnsi="楷体_GB2312" w:eastAsia="楷体_GB2312" w:cs="楷体_GB2312"/>
          <w:sz w:val="32"/>
          <w:szCs w:val="32"/>
          <w:lang w:bidi="ar-SA"/>
        </w:rPr>
        <w:t>数量指标：</w:t>
      </w:r>
      <w:r>
        <w:rPr>
          <w:rFonts w:hint="eastAsia" w:ascii="仿宋_GB2312" w:hAnsi="宋体" w:eastAsia="仿宋_GB2312" w:cs="Times New Roman"/>
          <w:sz w:val="32"/>
          <w:szCs w:val="32"/>
        </w:rPr>
        <w:t>全年承接实施测绘地理信息项目共79项，其中地形图数据分发和修测44项，定点服务8项，不动产房产测绘（房产、地籍）11项，整体委托项目16项。同步提供公益服务 22 次</w:t>
      </w:r>
      <w:r>
        <w:rPr>
          <w:rFonts w:hint="eastAsia" w:ascii="仿宋_GB2312" w:hAnsi="宋体" w:eastAsia="仿宋_GB2312" w:cs="Times New Roman"/>
          <w:sz w:val="32"/>
          <w:szCs w:val="32"/>
          <w:lang w:eastAsia="zh-CN"/>
        </w:rPr>
        <w:t>，</w:t>
      </w:r>
      <w:r>
        <w:rPr>
          <w:rFonts w:hint="eastAsia" w:ascii="Times New Roman" w:hAnsi="Times New Roman" w:eastAsia="仿宋_GB2312" w:cs="Times New Roman"/>
          <w:sz w:val="32"/>
          <w:szCs w:val="32"/>
          <w:lang w:val="zh-CN" w:eastAsia="zh-CN"/>
        </w:rPr>
        <w:t>项目的执行与年初设定的目标相符。</w:t>
      </w:r>
    </w:p>
    <w:p w14:paraId="6E98B8E0">
      <w:pPr>
        <w:widowControl w:val="0"/>
        <w:suppressAutoHyphens/>
        <w:snapToGrid w:val="0"/>
        <w:ind w:firstLine="640" w:firstLineChars="200"/>
        <w:jc w:val="left"/>
        <w:rPr>
          <w:rFonts w:hint="eastAsia" w:ascii="Times New Roman" w:hAnsi="Times New Roman" w:eastAsia="仿宋_GB2312" w:cs="Times New Roman"/>
          <w:kern w:val="2"/>
          <w:sz w:val="32"/>
          <w:szCs w:val="32"/>
          <w:lang w:val="zh-CN" w:eastAsia="zh-CN" w:bidi="ar-SA"/>
        </w:rPr>
      </w:pPr>
      <w:r>
        <w:rPr>
          <w:rFonts w:hint="eastAsia" w:ascii="楷体_GB2312" w:hAnsi="楷体_GB2312" w:eastAsia="楷体_GB2312" w:cs="楷体_GB2312"/>
          <w:kern w:val="2"/>
          <w:sz w:val="32"/>
          <w:szCs w:val="32"/>
          <w:lang w:val="en-US" w:eastAsia="zh-CN" w:bidi="ar-SA"/>
        </w:rPr>
        <w:t>服务对象满意度指标：</w:t>
      </w:r>
      <w:r>
        <w:rPr>
          <w:rFonts w:hint="eastAsia" w:ascii="Times New Roman" w:hAnsi="Times New Roman" w:eastAsia="仿宋_GB2312" w:cs="Times New Roman"/>
          <w:kern w:val="2"/>
          <w:sz w:val="32"/>
          <w:szCs w:val="32"/>
          <w:lang w:val="zh-CN" w:eastAsia="zh-CN" w:bidi="ar-SA"/>
        </w:rPr>
        <w:t>服务对象满意度调查≥95%。</w:t>
      </w:r>
    </w:p>
    <w:p w14:paraId="78F1272D">
      <w:pPr>
        <w:widowControl w:val="0"/>
        <w:suppressAutoHyphens/>
        <w:spacing w:after="120"/>
        <w:ind w:left="0" w:leftChars="0" w:firstLine="576" w:firstLineChars="180"/>
        <w:jc w:val="both"/>
        <w:rPr>
          <w:rFonts w:hint="eastAsia" w:ascii="Times New Roman" w:hAnsi="Times New Roman" w:eastAsia="仿宋_GB2312" w:cs="Times New Roman"/>
          <w:kern w:val="2"/>
          <w:sz w:val="32"/>
          <w:szCs w:val="32"/>
          <w:lang w:val="zh-CN" w:eastAsia="zh-CN" w:bidi="ar-SA"/>
        </w:rPr>
      </w:pPr>
      <w:r>
        <w:rPr>
          <w:rFonts w:hint="eastAsia" w:ascii="楷体_GB2312" w:hAnsi="楷体_GB2312" w:eastAsia="楷体_GB2312" w:cs="楷体_GB2312"/>
          <w:kern w:val="2"/>
          <w:sz w:val="32"/>
          <w:szCs w:val="32"/>
          <w:lang w:val="en-US" w:eastAsia="zh-CN" w:bidi="ar-SA"/>
        </w:rPr>
        <w:t>经济成本指标：</w:t>
      </w:r>
      <w:r>
        <w:rPr>
          <w:rFonts w:hint="eastAsia" w:ascii="Times New Roman" w:hAnsi="Times New Roman" w:eastAsia="仿宋_GB2312" w:cs="Times New Roman"/>
          <w:kern w:val="2"/>
          <w:sz w:val="32"/>
          <w:szCs w:val="32"/>
          <w:lang w:val="zh-CN" w:eastAsia="zh-CN" w:bidi="ar-SA"/>
        </w:rPr>
        <w:t>完成成本和长聘人员经费</w:t>
      </w:r>
      <w:r>
        <w:rPr>
          <w:rFonts w:ascii="Times New Roman" w:hAnsi="Times New Roman" w:eastAsia="仿宋_GB2312" w:cs="Times New Roman"/>
          <w:kern w:val="2"/>
          <w:sz w:val="32"/>
          <w:szCs w:val="32"/>
          <w:lang w:val="zh-CN" w:eastAsia="zh-CN" w:bidi="ar-SA"/>
        </w:rPr>
        <w:t>49.73</w:t>
      </w:r>
      <w:r>
        <w:rPr>
          <w:rFonts w:hint="eastAsia" w:ascii="Times New Roman" w:hAnsi="Times New Roman" w:eastAsia="仿宋_GB2312" w:cs="Times New Roman"/>
          <w:kern w:val="2"/>
          <w:sz w:val="32"/>
          <w:szCs w:val="32"/>
          <w:lang w:val="zh-CN" w:eastAsia="zh-CN" w:bidi="ar-SA"/>
        </w:rPr>
        <w:t>万元支付。</w:t>
      </w:r>
    </w:p>
    <w:p w14:paraId="1F81AA0C">
      <w:pPr>
        <w:widowControl w:val="0"/>
        <w:suppressAutoHyphens/>
        <w:spacing w:after="120"/>
        <w:ind w:left="0" w:leftChars="0" w:firstLine="576" w:firstLineChars="180"/>
        <w:jc w:val="both"/>
        <w:rPr>
          <w:rFonts w:hint="eastAsia" w:ascii="Times New Roman" w:hAnsi="Times New Roman" w:eastAsia="仿宋_GB2312" w:cs="Times New Roman"/>
          <w:kern w:val="2"/>
          <w:sz w:val="32"/>
          <w:szCs w:val="32"/>
          <w:lang w:val="zh-CN" w:eastAsia="zh-CN" w:bidi="ar-SA"/>
        </w:rPr>
      </w:pPr>
      <w:r>
        <w:rPr>
          <w:rFonts w:hint="eastAsia" w:ascii="楷体_GB2312" w:hAnsi="楷体_GB2312" w:eastAsia="楷体_GB2312" w:cs="楷体_GB2312"/>
          <w:kern w:val="2"/>
          <w:sz w:val="32"/>
          <w:szCs w:val="32"/>
          <w:lang w:val="en-US" w:eastAsia="zh-CN" w:bidi="ar-SA"/>
        </w:rPr>
        <w:t>可持续发展指标：</w:t>
      </w:r>
      <w:r>
        <w:rPr>
          <w:rFonts w:hint="eastAsia" w:ascii="Times New Roman" w:hAnsi="Times New Roman" w:eastAsia="仿宋_GB2312" w:cs="Times New Roman"/>
          <w:kern w:val="2"/>
          <w:sz w:val="32"/>
          <w:szCs w:val="32"/>
          <w:lang w:val="zh-CN" w:eastAsia="zh-CN" w:bidi="ar-SA"/>
        </w:rPr>
        <w:t>保持现势性，正常运转，对攀枝花市基础空间数据库实施动态更新。</w:t>
      </w:r>
    </w:p>
    <w:p w14:paraId="0E01D570">
      <w:pPr>
        <w:suppressAutoHyphens/>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lang w:val="zh-CN" w:eastAsia="zh-CN" w:bidi="ar-SA"/>
        </w:rPr>
      </w:pPr>
      <w:r>
        <w:rPr>
          <w:rFonts w:hint="eastAsia" w:ascii="楷体_GB2312" w:hAnsi="楷体_GB2312" w:eastAsia="楷体_GB2312" w:cs="楷体_GB2312"/>
          <w:sz w:val="32"/>
          <w:szCs w:val="32"/>
          <w:lang w:bidi="ar-SA"/>
        </w:rPr>
        <w:t>4.项目结果。</w:t>
      </w:r>
      <w:r>
        <w:rPr>
          <w:rFonts w:hint="eastAsia" w:ascii="Times New Roman" w:hAnsi="Times New Roman" w:eastAsia="仿宋_GB2312" w:cs="Times New Roman"/>
          <w:sz w:val="32"/>
          <w:szCs w:val="32"/>
          <w:lang w:val="zh-CN" w:eastAsia="zh-CN"/>
        </w:rPr>
        <w:t>完成年初设定的目标，上缴非税收入</w:t>
      </w:r>
      <w:r>
        <w:rPr>
          <w:rFonts w:ascii="Times New Roman" w:hAnsi="Times New Roman" w:eastAsia="仿宋_GB2312" w:cs="Times New Roman"/>
          <w:sz w:val="32"/>
          <w:szCs w:val="32"/>
          <w:lang w:val="zh-CN" w:eastAsia="zh-CN"/>
        </w:rPr>
        <w:t>111.2</w:t>
      </w:r>
      <w:r>
        <w:rPr>
          <w:rFonts w:hint="eastAsia" w:ascii="Times New Roman" w:hAnsi="Times New Roman" w:eastAsia="仿宋_GB2312" w:cs="Times New Roman"/>
          <w:sz w:val="32"/>
          <w:szCs w:val="32"/>
          <w:lang w:val="zh-CN" w:eastAsia="zh-CN"/>
        </w:rPr>
        <w:t>万元，同时完成</w:t>
      </w:r>
      <w:r>
        <w:rPr>
          <w:rFonts w:ascii="Times New Roman" w:hAnsi="Times New Roman" w:eastAsia="仿宋_GB2312" w:cs="Times New Roman"/>
          <w:sz w:val="32"/>
          <w:szCs w:val="32"/>
          <w:lang w:val="zh-CN" w:eastAsia="zh-CN"/>
        </w:rPr>
        <w:t>49.73</w:t>
      </w:r>
      <w:r>
        <w:rPr>
          <w:rFonts w:hint="eastAsia" w:ascii="Times New Roman" w:hAnsi="Times New Roman" w:eastAsia="仿宋_GB2312" w:cs="Times New Roman"/>
          <w:sz w:val="32"/>
          <w:szCs w:val="32"/>
          <w:lang w:val="zh-CN" w:eastAsia="zh-CN"/>
        </w:rPr>
        <w:t>万元的成本支付。确保了项目的稳定进行。</w:t>
      </w:r>
    </w:p>
    <w:p w14:paraId="5153CC3F">
      <w:pPr>
        <w:suppressAutoHyphens/>
        <w:spacing w:line="578" w:lineRule="exact"/>
        <w:ind w:firstLine="643" w:firstLineChars="200"/>
        <w:rPr>
          <w:rFonts w:hint="eastAsia" w:ascii="Times New Roman" w:hAnsi="Times New Roman" w:eastAsia="楷体_GB2312" w:cs="Times New Roman"/>
          <w:b/>
          <w:bCs/>
          <w:color w:val="000000"/>
          <w:kern w:val="0"/>
          <w:sz w:val="32"/>
          <w:szCs w:val="32"/>
          <w:shd w:val="clear" w:color="auto" w:fill="FFFFFF"/>
          <w:lang w:val="zh-CN" w:eastAsia="zh-CN"/>
        </w:rPr>
      </w:pPr>
      <w:r>
        <w:rPr>
          <w:rFonts w:hint="eastAsia" w:ascii="楷体_GB2312" w:hAnsi="宋体" w:eastAsia="楷体_GB2312" w:cs="Times New Roman"/>
          <w:b/>
          <w:sz w:val="32"/>
          <w:szCs w:val="32"/>
          <w:lang w:val="zh-CN" w:eastAsia="zh-CN"/>
        </w:rPr>
        <w:t>（二）</w:t>
      </w:r>
      <w:r>
        <w:rPr>
          <w:rFonts w:hint="eastAsia" w:ascii="楷体_GB2312" w:hAnsi="宋体" w:eastAsia="楷体_GB2312" w:cs="Times New Roman"/>
          <w:b/>
          <w:sz w:val="32"/>
          <w:szCs w:val="32"/>
        </w:rPr>
        <w:t>专用指标</w:t>
      </w:r>
      <w:r>
        <w:rPr>
          <w:rFonts w:ascii="Times New Roman" w:hAnsi="Times New Roman" w:eastAsia="楷体_GB2312" w:cs="Times New Roman"/>
          <w:b/>
          <w:bCs/>
          <w:color w:val="000000"/>
          <w:kern w:val="0"/>
          <w:sz w:val="32"/>
          <w:szCs w:val="32"/>
          <w:shd w:val="clear" w:color="auto" w:fill="FFFFFF"/>
          <w:lang w:val="zh-CN" w:eastAsia="zh-CN"/>
        </w:rPr>
        <w:t>绩效分析。</w:t>
      </w:r>
    </w:p>
    <w:p w14:paraId="47E0F732">
      <w:pPr>
        <w:suppressAutoHyphens/>
        <w:spacing w:line="578" w:lineRule="exact"/>
        <w:ind w:firstLine="640"/>
        <w:rPr>
          <w:rFonts w:hint="eastAsia" w:ascii="仿宋_GB2312" w:hAnsi="仿宋_GB2312" w:eastAsia="仿宋_GB2312" w:cs="仿宋_GB2312"/>
          <w:kern w:val="0"/>
          <w:sz w:val="32"/>
          <w:szCs w:val="32"/>
          <w:lang w:bidi="ar-SA"/>
        </w:rPr>
      </w:pPr>
      <w:r>
        <w:rPr>
          <w:rFonts w:hint="eastAsia" w:ascii="仿宋_GB2312" w:hAnsi="仿宋_GB2312" w:eastAsia="仿宋_GB2312" w:cs="仿宋_GB2312"/>
          <w:kern w:val="0"/>
          <w:sz w:val="32"/>
          <w:szCs w:val="32"/>
          <w:lang w:val="zh-CN" w:eastAsia="zh-CN" w:bidi="ar-SA"/>
        </w:rPr>
        <w:t>无</w:t>
      </w:r>
    </w:p>
    <w:p w14:paraId="3855DED5">
      <w:pPr>
        <w:widowControl w:val="0"/>
        <w:suppressAutoHyphens/>
        <w:snapToGrid w:val="0"/>
        <w:jc w:val="left"/>
        <w:rPr>
          <w:rFonts w:hint="eastAsia" w:ascii="Calibri" w:hAnsi="Calibri" w:eastAsia="宋体" w:cs="Times New Roman"/>
          <w:kern w:val="2"/>
          <w:sz w:val="18"/>
          <w:szCs w:val="18"/>
          <w:lang w:val="zh-CN" w:eastAsia="zh-CN" w:bidi="ar-SA"/>
        </w:rPr>
      </w:pPr>
    </w:p>
    <w:p w14:paraId="5EDFE0E5">
      <w:pPr>
        <w:suppressAutoHyphens/>
        <w:spacing w:line="578" w:lineRule="exact"/>
        <w:ind w:firstLine="640"/>
        <w:rPr>
          <w:rFonts w:hint="eastAsia" w:ascii="Times New Roman" w:hAnsi="Times New Roman" w:eastAsia="楷体_GB2312" w:cs="Times New Roman"/>
          <w:b/>
          <w:bCs/>
          <w:color w:val="000000"/>
          <w:kern w:val="0"/>
          <w:sz w:val="32"/>
          <w:szCs w:val="32"/>
          <w:shd w:val="clear" w:color="auto" w:fill="FFFFFF"/>
          <w:lang w:val="zh-CN" w:eastAsia="zh-CN"/>
        </w:rPr>
      </w:pPr>
      <w:r>
        <w:rPr>
          <w:rFonts w:hint="eastAsia" w:ascii="楷体_GB2312" w:hAnsi="宋体" w:eastAsia="楷体_GB2312" w:cs="Times New Roman"/>
          <w:b/>
          <w:sz w:val="32"/>
          <w:szCs w:val="32"/>
          <w:lang w:val="zh-CN" w:eastAsia="zh-CN"/>
        </w:rPr>
        <w:t>（三）</w:t>
      </w:r>
      <w:r>
        <w:rPr>
          <w:rFonts w:hint="eastAsia" w:ascii="楷体_GB2312" w:hAnsi="宋体" w:eastAsia="楷体_GB2312" w:cs="Times New Roman"/>
          <w:b/>
          <w:sz w:val="32"/>
          <w:szCs w:val="32"/>
        </w:rPr>
        <w:t>个性指标</w:t>
      </w:r>
      <w:r>
        <w:rPr>
          <w:rFonts w:ascii="Times New Roman" w:hAnsi="Times New Roman" w:eastAsia="楷体_GB2312" w:cs="Times New Roman"/>
          <w:b/>
          <w:bCs/>
          <w:color w:val="000000"/>
          <w:kern w:val="0"/>
          <w:sz w:val="32"/>
          <w:szCs w:val="32"/>
          <w:shd w:val="clear" w:color="auto" w:fill="FFFFFF"/>
          <w:lang w:val="zh-CN" w:eastAsia="zh-CN"/>
        </w:rPr>
        <w:t>绩效分析。</w:t>
      </w:r>
    </w:p>
    <w:p w14:paraId="1C8AAEF5">
      <w:pPr>
        <w:suppressAutoHyphens/>
        <w:spacing w:line="578" w:lineRule="exact"/>
        <w:ind w:firstLine="640"/>
        <w:rPr>
          <w:rFonts w:hint="eastAsia" w:ascii="仿宋_GB2312" w:hAnsi="仿宋_GB2312" w:eastAsia="仿宋_GB2312" w:cs="仿宋_GB2312"/>
          <w:kern w:val="0"/>
          <w:sz w:val="32"/>
          <w:szCs w:val="32"/>
          <w:lang w:bidi="ar-SA"/>
        </w:rPr>
      </w:pPr>
      <w:r>
        <w:rPr>
          <w:rFonts w:hint="eastAsia" w:ascii="仿宋_GB2312" w:hAnsi="仿宋_GB2312" w:eastAsia="仿宋_GB2312" w:cs="仿宋_GB2312"/>
          <w:kern w:val="0"/>
          <w:sz w:val="32"/>
          <w:szCs w:val="32"/>
          <w:lang w:val="zh-CN" w:eastAsia="zh-CN" w:bidi="ar-SA"/>
        </w:rPr>
        <w:t>无</w:t>
      </w:r>
    </w:p>
    <w:p w14:paraId="64CE0ABB">
      <w:pPr>
        <w:widowControl w:val="0"/>
        <w:tabs>
          <w:tab w:val="left" w:pos="2160"/>
        </w:tabs>
        <w:suppressAutoHyphens/>
        <w:spacing w:before="0" w:after="140" w:line="600" w:lineRule="exact"/>
        <w:ind w:firstLine="640" w:firstLineChars="200"/>
        <w:jc w:val="both"/>
        <w:rPr>
          <w:rFonts w:hint="eastAsia" w:ascii="黑体" w:hAnsi="宋体" w:eastAsia="黑体" w:cs="Times New Roman"/>
          <w:kern w:val="2"/>
          <w:sz w:val="32"/>
          <w:szCs w:val="32"/>
          <w:lang w:val="en-US" w:eastAsia="zh-CN" w:bidi="ar-SA"/>
        </w:rPr>
      </w:pPr>
      <w:r>
        <w:rPr>
          <w:rFonts w:hint="eastAsia" w:ascii="黑体" w:hAnsi="宋体" w:eastAsia="黑体" w:cs="Times New Roman"/>
          <w:kern w:val="2"/>
          <w:sz w:val="32"/>
          <w:szCs w:val="32"/>
          <w:lang w:val="en-US" w:eastAsia="zh-CN" w:bidi="ar-SA"/>
        </w:rPr>
        <w:t>四、评价结论</w:t>
      </w:r>
    </w:p>
    <w:p w14:paraId="6E585A9C">
      <w:pPr>
        <w:widowControl w:val="0"/>
        <w:tabs>
          <w:tab w:val="left" w:pos="2160"/>
        </w:tabs>
        <w:suppressAutoHyphens/>
        <w:spacing w:before="0" w:after="140" w:line="600" w:lineRule="exact"/>
        <w:ind w:firstLine="640" w:firstLineChars="200"/>
        <w:jc w:val="both"/>
        <w:rPr>
          <w:rFonts w:hint="eastAsia" w:ascii="仿宋_GB2312" w:hAnsi="仿宋_GB2312" w:eastAsia="仿宋_GB2312" w:cs="仿宋_GB2312"/>
          <w:kern w:val="0"/>
          <w:sz w:val="32"/>
          <w:szCs w:val="32"/>
          <w:lang w:val="en-US" w:eastAsia="zh-CN" w:bidi="ar-SA"/>
        </w:rPr>
      </w:pPr>
      <w:r>
        <w:rPr>
          <w:rFonts w:hint="eastAsia" w:ascii="仿宋_GB2312" w:hAnsi="仿宋_GB2312" w:eastAsia="仿宋_GB2312" w:cs="仿宋_GB2312"/>
          <w:kern w:val="0"/>
          <w:sz w:val="32"/>
          <w:szCs w:val="32"/>
          <w:lang w:val="en-US" w:eastAsia="zh-CN" w:bidi="ar-SA"/>
        </w:rPr>
        <w:t>专项预算项目绩效自评总体结论良好，评价总分96分</w:t>
      </w:r>
      <w:r>
        <w:rPr>
          <w:rFonts w:hint="eastAsia" w:ascii="仿宋_GB2312" w:hAnsi="仿宋_GB2312" w:eastAsia="仿宋_GB2312" w:cs="仿宋_GB2312"/>
          <w:kern w:val="0"/>
          <w:sz w:val="32"/>
          <w:szCs w:val="32"/>
          <w:lang w:val="zh-CN" w:eastAsia="zh-CN" w:bidi="ar-SA"/>
        </w:rPr>
        <w:t>项目实现年初设定的目标。</w:t>
      </w:r>
    </w:p>
    <w:p w14:paraId="60552409">
      <w:pPr>
        <w:widowControl w:val="0"/>
        <w:tabs>
          <w:tab w:val="left" w:pos="2160"/>
        </w:tabs>
        <w:suppressAutoHyphens/>
        <w:spacing w:before="0" w:after="140" w:line="600" w:lineRule="exact"/>
        <w:ind w:firstLine="640" w:firstLineChars="200"/>
        <w:jc w:val="both"/>
        <w:rPr>
          <w:rFonts w:hint="eastAsia" w:ascii="黑体" w:hAnsi="宋体" w:eastAsia="黑体" w:cs="Times New Roman"/>
          <w:kern w:val="2"/>
          <w:sz w:val="32"/>
          <w:szCs w:val="32"/>
          <w:lang w:val="en-US" w:eastAsia="zh-CN" w:bidi="ar-SA"/>
        </w:rPr>
      </w:pPr>
      <w:r>
        <w:rPr>
          <w:rFonts w:hint="eastAsia" w:ascii="黑体" w:hAnsi="宋体" w:eastAsia="黑体" w:cs="Times New Roman"/>
          <w:kern w:val="2"/>
          <w:sz w:val="32"/>
          <w:szCs w:val="32"/>
          <w:lang w:val="en-US" w:eastAsia="zh-CN" w:bidi="ar-SA"/>
        </w:rPr>
        <w:t>五、存在主要问题</w:t>
      </w:r>
    </w:p>
    <w:p w14:paraId="4985D54D">
      <w:pPr>
        <w:widowControl w:val="0"/>
        <w:tabs>
          <w:tab w:val="left" w:pos="2160"/>
        </w:tabs>
        <w:suppressAutoHyphens/>
        <w:spacing w:before="0" w:after="140" w:line="600" w:lineRule="exact"/>
        <w:ind w:firstLine="640" w:firstLineChars="200"/>
        <w:jc w:val="both"/>
        <w:rPr>
          <w:rFonts w:hint="eastAsia" w:ascii="黑体" w:hAnsi="黑体" w:eastAsia="宋体" w:cs="黑体"/>
          <w:kern w:val="2"/>
          <w:sz w:val="32"/>
          <w:szCs w:val="32"/>
          <w:lang w:val="en-US" w:eastAsia="zh-CN" w:bidi="ar-SA"/>
        </w:rPr>
      </w:pPr>
      <w:r>
        <w:rPr>
          <w:rFonts w:hint="eastAsia" w:ascii="仿宋_GB2312" w:hAnsi="仿宋_GB2312" w:eastAsia="仿宋_GB2312" w:cs="仿宋_GB2312"/>
          <w:kern w:val="0"/>
          <w:sz w:val="32"/>
          <w:szCs w:val="32"/>
          <w:lang w:val="en-US" w:eastAsia="zh-CN" w:bidi="ar-SA"/>
        </w:rPr>
        <w:t>无。</w:t>
      </w:r>
    </w:p>
    <w:p w14:paraId="5544A521">
      <w:pPr>
        <w:widowControl w:val="0"/>
        <w:tabs>
          <w:tab w:val="left" w:pos="2160"/>
        </w:tabs>
        <w:suppressAutoHyphens/>
        <w:spacing w:before="0" w:after="140" w:line="600" w:lineRule="exact"/>
        <w:ind w:firstLine="640" w:firstLineChars="200"/>
        <w:jc w:val="both"/>
        <w:rPr>
          <w:rFonts w:hint="eastAsia" w:ascii="黑体" w:hAnsi="宋体" w:eastAsia="黑体" w:cs="Times New Roman"/>
          <w:kern w:val="0"/>
          <w:position w:val="3"/>
          <w:sz w:val="32"/>
          <w:szCs w:val="32"/>
          <w:lang w:val="zh-CN" w:eastAsia="zh-CN" w:bidi="ar-SA"/>
        </w:rPr>
      </w:pPr>
      <w:r>
        <w:rPr>
          <w:rFonts w:hint="eastAsia" w:ascii="黑体" w:hAnsi="宋体" w:eastAsia="黑体" w:cs="Times New Roman"/>
          <w:kern w:val="0"/>
          <w:position w:val="3"/>
          <w:sz w:val="32"/>
          <w:szCs w:val="32"/>
          <w:lang w:val="zh-CN" w:eastAsia="zh-CN" w:bidi="ar-SA"/>
        </w:rPr>
        <w:t>六、改进建议</w:t>
      </w:r>
    </w:p>
    <w:p w14:paraId="34E55B6D">
      <w:pPr>
        <w:tabs>
          <w:tab w:val="left" w:pos="1911"/>
        </w:tabs>
        <w:suppressAutoHyphens/>
        <w:jc w:val="left"/>
        <w:rPr>
          <w:rFonts w:hint="eastAsia" w:ascii="仿宋_GB2312" w:hAnsi="仿宋_GB2312" w:eastAsia="仿宋_GB2312" w:cs="仿宋_GB2312"/>
          <w:kern w:val="0"/>
          <w:sz w:val="32"/>
          <w:szCs w:val="32"/>
          <w:lang w:val="en" w:eastAsia="en" w:bidi="ar-SA"/>
        </w:rPr>
      </w:pPr>
      <w:r>
        <w:rPr>
          <w:rFonts w:hint="eastAsia" w:ascii="仿宋_GB2312" w:hAnsi="仿宋_GB2312" w:eastAsia="仿宋_GB2312" w:cs="仿宋_GB2312"/>
          <w:kern w:val="0"/>
          <w:sz w:val="32"/>
          <w:szCs w:val="32"/>
          <w:lang w:val="zh-CN" w:eastAsia="zh-CN" w:bidi="ar-SA"/>
        </w:rPr>
        <w:t xml:space="preserve"> </w:t>
      </w:r>
      <w:r>
        <w:rPr>
          <w:rFonts w:hint="eastAsia" w:ascii="仿宋_GB2312" w:hAnsi="仿宋_GB2312" w:eastAsia="仿宋_GB2312" w:cs="仿宋_GB2312"/>
          <w:kern w:val="0"/>
          <w:sz w:val="32"/>
          <w:szCs w:val="32"/>
          <w:lang w:bidi="ar-SA"/>
        </w:rPr>
        <w:t xml:space="preserve">   无。</w:t>
      </w:r>
    </w:p>
    <w:p w14:paraId="7ADE9834">
      <w:pPr>
        <w:suppressAutoHyphens/>
        <w:autoSpaceDE w:val="0"/>
        <w:autoSpaceDN w:val="0"/>
        <w:adjustRightInd w:val="0"/>
        <w:spacing w:line="600" w:lineRule="exact"/>
        <w:ind w:firstLine="643" w:firstLineChars="200"/>
        <w:rPr>
          <w:rFonts w:hint="eastAsia" w:ascii="仿宋" w:hAnsi="仿宋" w:eastAsia="仿宋" w:cs="Times New Roman"/>
          <w:b/>
          <w:sz w:val="32"/>
          <w:szCs w:val="32"/>
        </w:rPr>
      </w:pPr>
    </w:p>
    <w:p w14:paraId="2E75E32E">
      <w:pPr>
        <w:suppressAutoHyphens/>
        <w:spacing w:line="580" w:lineRule="exact"/>
        <w:rPr>
          <w:rFonts w:hint="eastAsia" w:ascii="黑体" w:hAnsi="黑体" w:eastAsia="黑体" w:cs="Times New Roman"/>
          <w:b w:val="0"/>
        </w:rPr>
      </w:pPr>
    </w:p>
    <w:p w14:paraId="6230367A">
      <w:pPr>
        <w:suppressAutoHyphens/>
        <w:rPr>
          <w:rFonts w:ascii="Calibri" w:hAnsi="Calibri" w:eastAsia="宋体" w:cs="Times New Roman"/>
        </w:rPr>
      </w:pPr>
    </w:p>
    <w:p w14:paraId="557DE35B">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outlineLvl w:val="9"/>
        <w:rPr>
          <w:rFonts w:hint="eastAsia" w:ascii="Times New Roman" w:hAnsi="Times New Roman" w:eastAsia="仿宋_GB2312" w:cs="Times New Roman"/>
          <w:kern w:val="2"/>
          <w:sz w:val="32"/>
          <w:szCs w:val="32"/>
          <w:u w:val="none"/>
          <w:lang w:val="zh-CN" w:eastAsia="zh-CN" w:bidi="ar"/>
        </w:rPr>
      </w:pPr>
    </w:p>
    <w:p w14:paraId="4F0C9BBB">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outlineLvl w:val="9"/>
        <w:rPr>
          <w:rFonts w:hint="eastAsia" w:ascii="Times New Roman" w:hAnsi="Times New Roman" w:eastAsia="仿宋_GB2312" w:cs="Times New Roman"/>
          <w:kern w:val="2"/>
          <w:sz w:val="32"/>
          <w:szCs w:val="32"/>
          <w:u w:val="none"/>
          <w:lang w:val="zh-CN" w:eastAsia="zh-CN" w:bidi="ar"/>
        </w:rPr>
      </w:pPr>
    </w:p>
    <w:p w14:paraId="2F18EB3F">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outlineLvl w:val="9"/>
        <w:rPr>
          <w:rFonts w:hint="eastAsia" w:ascii="Times New Roman" w:hAnsi="Times New Roman" w:eastAsia="仿宋_GB2312" w:cs="Times New Roman"/>
          <w:kern w:val="2"/>
          <w:sz w:val="32"/>
          <w:szCs w:val="32"/>
          <w:u w:val="none"/>
          <w:lang w:val="zh-CN" w:eastAsia="zh-CN" w:bidi="ar"/>
        </w:rPr>
      </w:pPr>
    </w:p>
    <w:p w14:paraId="5F38E6FE">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r>
        <w:rPr>
          <w:rFonts w:ascii="Times New Roman" w:hAnsi="Times New Roman" w:eastAsia="方正小标宋简体" w:cs="Times New Roman"/>
          <w:bCs/>
          <w:sz w:val="44"/>
          <w:szCs w:val="44"/>
          <w:shd w:val="clear" w:color="auto" w:fill="FFFFFF"/>
        </w:rPr>
        <w:t>部门预算绩效</w:t>
      </w:r>
      <w:r>
        <w:rPr>
          <w:rFonts w:hint="eastAsia" w:ascii="Times New Roman" w:hAnsi="Times New Roman" w:eastAsia="方正小标宋简体" w:cs="Times New Roman"/>
          <w:bCs/>
          <w:sz w:val="44"/>
          <w:szCs w:val="44"/>
          <w:shd w:val="clear" w:color="auto" w:fill="FFFFFF"/>
        </w:rPr>
        <w:t>自评</w:t>
      </w:r>
      <w:r>
        <w:rPr>
          <w:rFonts w:ascii="Times New Roman" w:hAnsi="Times New Roman" w:eastAsia="方正小标宋简体" w:cs="Times New Roman"/>
          <w:bCs/>
          <w:sz w:val="44"/>
          <w:szCs w:val="44"/>
          <w:shd w:val="clear" w:color="auto" w:fill="FFFFFF"/>
        </w:rPr>
        <w:t>报告</w:t>
      </w:r>
    </w:p>
    <w:p w14:paraId="5DEFBBF3">
      <w:pPr>
        <w:widowControl/>
        <w:spacing w:line="578" w:lineRule="exact"/>
        <w:contextualSpacing/>
        <w:jc w:val="center"/>
        <w:outlineLvl w:val="3"/>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w:t>
      </w:r>
      <w:r>
        <w:rPr>
          <w:rFonts w:hint="eastAsia" w:ascii="Times New Roman" w:hAnsi="Times New Roman" w:eastAsia="仿宋_GB2312" w:cs="Times New Roman"/>
          <w:sz w:val="32"/>
          <w:szCs w:val="32"/>
          <w:shd w:val="clear" w:color="auto" w:fill="FFFFFF"/>
          <w:lang w:val="en-US" w:eastAsia="zh-CN"/>
        </w:rPr>
        <w:t>攀枝花市自然资源和规划局东区分局</w:t>
      </w:r>
      <w:r>
        <w:rPr>
          <w:rFonts w:ascii="Times New Roman" w:hAnsi="Times New Roman" w:eastAsia="仿宋_GB2312" w:cs="Times New Roman"/>
          <w:sz w:val="32"/>
          <w:szCs w:val="32"/>
          <w:shd w:val="clear" w:color="auto" w:fill="FFFFFF"/>
        </w:rPr>
        <w:t>）</w:t>
      </w:r>
    </w:p>
    <w:p w14:paraId="36BD8E4D">
      <w:pPr>
        <w:widowControl/>
        <w:adjustRightInd w:val="0"/>
        <w:snapToGrid w:val="0"/>
        <w:spacing w:line="578" w:lineRule="exact"/>
        <w:ind w:firstLine="480" w:firstLineChars="200"/>
        <w:contextualSpacing/>
        <w:jc w:val="left"/>
        <w:rPr>
          <w:rFonts w:ascii="Times New Roman" w:hAnsi="Times New Roman" w:eastAsia="黑体" w:cs="Times New Roman"/>
          <w:color w:val="000000"/>
          <w:kern w:val="0"/>
          <w:sz w:val="24"/>
          <w:szCs w:val="32"/>
          <w:shd w:val="clear" w:color="auto" w:fill="FFFFFF"/>
        </w:rPr>
      </w:pPr>
    </w:p>
    <w:p w14:paraId="3FEE9F65">
      <w:pPr>
        <w:widowControl/>
        <w:adjustRightInd w:val="0"/>
        <w:snapToGrid w:val="0"/>
        <w:spacing w:line="578" w:lineRule="exact"/>
        <w:ind w:firstLine="640" w:firstLineChars="200"/>
        <w:contextualSpacing/>
        <w:jc w:val="left"/>
        <w:rPr>
          <w:rFonts w:ascii="Times New Roman" w:hAnsi="Times New Roman" w:eastAsia="仿宋_GB2312" w:cs="Times New Roman"/>
          <w:sz w:val="32"/>
          <w:szCs w:val="32"/>
        </w:rPr>
      </w:pPr>
      <w:r>
        <w:rPr>
          <w:rFonts w:ascii="Times New Roman" w:hAnsi="Times New Roman" w:eastAsia="黑体" w:cs="Times New Roman"/>
          <w:color w:val="000000"/>
          <w:kern w:val="0"/>
          <w:sz w:val="32"/>
          <w:szCs w:val="32"/>
          <w:shd w:val="clear" w:color="auto" w:fill="FFFFFF"/>
          <w:lang w:val="zh-CN"/>
        </w:rPr>
        <w:t>一、部门（单位）基本情况</w:t>
      </w:r>
    </w:p>
    <w:p w14:paraId="5DF9375B">
      <w:pPr>
        <w:widowControl/>
        <w:adjustRightInd w:val="0"/>
        <w:snapToGrid w:val="0"/>
        <w:spacing w:line="578" w:lineRule="exact"/>
        <w:ind w:firstLine="643" w:firstLineChars="200"/>
        <w:contextualSpacing/>
        <w:jc w:val="left"/>
        <w:rPr>
          <w:rFonts w:hint="default" w:ascii="Times New Roman" w:hAnsi="Times New Roman" w:eastAsia="仿宋_GB2312" w:cs="Times New Roman"/>
          <w:sz w:val="32"/>
          <w:szCs w:val="32"/>
        </w:rPr>
      </w:pPr>
      <w:r>
        <w:rPr>
          <w:rFonts w:ascii="Times New Roman" w:hAnsi="Times New Roman" w:eastAsia="楷体_GB2312" w:cs="Times New Roman"/>
          <w:b/>
          <w:bCs/>
          <w:color w:val="000000"/>
          <w:kern w:val="0"/>
          <w:sz w:val="32"/>
          <w:szCs w:val="32"/>
          <w:shd w:val="clear" w:color="auto" w:fill="FFFFFF"/>
          <w:lang w:val="zh-CN"/>
        </w:rPr>
        <w:t>（一）机构组成。</w:t>
      </w:r>
      <w:r>
        <w:rPr>
          <w:rFonts w:hint="default" w:ascii="Times New Roman" w:hAnsi="Times New Roman" w:eastAsia="仿宋_GB2312" w:cs="Times New Roman"/>
          <w:sz w:val="32"/>
          <w:szCs w:val="32"/>
        </w:rPr>
        <w:t>市自然资源和规划局东区分局为攀枝花市自然资源和规划局的派出机构，东区分局内设办公室、土地资源管理股、矿产资源管理股、国土空间规划股4个股室，代市局管理银江自然资源所、东区执法大队、东区不动产分中心。</w:t>
      </w:r>
    </w:p>
    <w:p w14:paraId="3753D7B1">
      <w:pPr>
        <w:widowControl w:val="0"/>
        <w:numPr>
          <w:ilvl w:val="0"/>
          <w:numId w:val="0"/>
        </w:numPr>
        <w:spacing w:line="600" w:lineRule="exact"/>
        <w:ind w:firstLine="643" w:firstLineChars="200"/>
        <w:jc w:val="both"/>
        <w:rPr>
          <w:rFonts w:hint="default" w:ascii="Times New Roman" w:hAnsi="Times New Roman" w:eastAsia="仿宋_GB2312" w:cs="Times New Roman"/>
          <w:kern w:val="2"/>
          <w:sz w:val="32"/>
          <w:szCs w:val="32"/>
          <w:lang w:val="en-US" w:eastAsia="zh-CN" w:bidi="ar-SA"/>
        </w:rPr>
      </w:pPr>
      <w:r>
        <w:rPr>
          <w:rFonts w:ascii="宋体" w:hAnsi="Courier New" w:eastAsia="楷体_GB2312" w:cs="Times New Roman"/>
          <w:b/>
          <w:bCs/>
          <w:color w:val="000000"/>
          <w:kern w:val="0"/>
          <w:sz w:val="32"/>
          <w:szCs w:val="32"/>
          <w:shd w:val="clear" w:color="auto" w:fill="FFFFFF"/>
          <w:lang w:val="zh-CN" w:eastAsia="zh-CN" w:bidi="ar-SA"/>
        </w:rPr>
        <w:t>（二）机构职能。</w:t>
      </w:r>
      <w:r>
        <w:rPr>
          <w:rFonts w:hint="default" w:ascii="Times New Roman" w:hAnsi="Times New Roman" w:eastAsia="仿宋_GB2312" w:cs="Times New Roman"/>
          <w:kern w:val="2"/>
          <w:sz w:val="32"/>
          <w:szCs w:val="32"/>
          <w:lang w:val="en-US" w:eastAsia="zh-CN" w:bidi="ar-SA"/>
        </w:rPr>
        <w:t>攀枝花市自然资源和规划局东区分局是攀枝花市自然资源和规划局派驻东区的机构，主要职责有：</w:t>
      </w:r>
    </w:p>
    <w:p w14:paraId="6260E97E">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1.贯彻执行国家、省、市有关自然资源管理的</w:t>
      </w:r>
      <w:r>
        <w:rPr>
          <w:rFonts w:hint="eastAsia" w:eastAsia="仿宋_GB2312" w:cs="Times New Roman"/>
          <w:sz w:val="32"/>
          <w:szCs w:val="32"/>
          <w:lang w:eastAsia="zh-CN"/>
        </w:rPr>
        <w:t>法律法规</w:t>
      </w:r>
      <w:r>
        <w:rPr>
          <w:rFonts w:hint="default" w:ascii="Times New Roman" w:hAnsi="Times New Roman" w:eastAsia="仿宋_GB2312" w:cs="Times New Roman"/>
          <w:sz w:val="32"/>
          <w:szCs w:val="32"/>
        </w:rPr>
        <w:t>、政策和规章，组织开展国土资源</w:t>
      </w:r>
      <w:r>
        <w:rPr>
          <w:rFonts w:hint="eastAsia" w:eastAsia="仿宋_GB2312" w:cs="Times New Roman"/>
          <w:sz w:val="32"/>
          <w:szCs w:val="32"/>
          <w:lang w:eastAsia="zh-CN"/>
        </w:rPr>
        <w:t>法治宣传教育</w:t>
      </w:r>
      <w:r>
        <w:rPr>
          <w:rFonts w:hint="default" w:ascii="Times New Roman" w:hAnsi="Times New Roman" w:eastAsia="仿宋_GB2312" w:cs="Times New Roman"/>
          <w:sz w:val="32"/>
          <w:szCs w:val="32"/>
        </w:rPr>
        <w:t>；</w:t>
      </w:r>
    </w:p>
    <w:p w14:paraId="72F89507">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2.负责辖区内矿产资源管理、地质环境保护、地质灾害防治与监管工作。负责权限内采矿权审批登记、发证工作；</w:t>
      </w:r>
    </w:p>
    <w:p w14:paraId="4202D165">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3.承担辖区内耕地保护的责任，</w:t>
      </w:r>
      <w:r>
        <w:rPr>
          <w:rFonts w:hint="eastAsia" w:eastAsia="仿宋_GB2312" w:cs="Times New Roman"/>
          <w:sz w:val="32"/>
          <w:szCs w:val="32"/>
          <w:lang w:eastAsia="zh-CN"/>
        </w:rPr>
        <w:t>拟订</w:t>
      </w:r>
      <w:r>
        <w:rPr>
          <w:rFonts w:hint="default" w:ascii="Times New Roman" w:hAnsi="Times New Roman" w:eastAsia="仿宋_GB2312" w:cs="Times New Roman"/>
          <w:sz w:val="32"/>
          <w:szCs w:val="32"/>
        </w:rPr>
        <w:t>并组织实施耕地保护、基本农田保护政策，监督占用耕地补偿制度执行情况；</w:t>
      </w:r>
    </w:p>
    <w:p w14:paraId="2821D60C">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4.编制并组织实施辖区内自然资源各项专项规划，并依法监督实施；</w:t>
      </w:r>
    </w:p>
    <w:p w14:paraId="55B3BCDA">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5.受市局委托负责辖区内村民宅基地审批、临时用地审核和农村集体土地所有权、集体建设用地使用权的登记发证。指导辖区内土地征收、土地储备工作；</w:t>
      </w:r>
    </w:p>
    <w:p w14:paraId="3F745260">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6.协助市局做好辖区内的土地、矿产资源的勘测、规划、调查、登记、发证等工作，依法调解土地、矿产权属纠纷；</w:t>
      </w:r>
    </w:p>
    <w:p w14:paraId="3C267A8B">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7.协助市局管理辖区内的土地、矿产市场。协助市局做好辖区内自然资源执法监察、违法案件查处和信访工作；</w:t>
      </w:r>
    </w:p>
    <w:p w14:paraId="6852E1CA">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8.负责推进辖区内自然资源科技进步和国土资源信息化</w:t>
      </w:r>
    </w:p>
    <w:p w14:paraId="3BAE3DC9">
      <w:pPr>
        <w:snapToGrid w:val="0"/>
        <w:spacing w:line="520" w:lineRule="exact"/>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建设；</w:t>
      </w:r>
    </w:p>
    <w:p w14:paraId="5C7B8362">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9.负责辖区内基层国土资源管理所的日常管理工作；</w:t>
      </w:r>
    </w:p>
    <w:p w14:paraId="503D3762">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10.负责分局和辖区内自然资源管理所的党风廉政建设和行业作风建设；</w:t>
      </w:r>
    </w:p>
    <w:p w14:paraId="511A55AC">
      <w:pPr>
        <w:snapToGrid w:val="0"/>
        <w:spacing w:line="52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11.负责辖区内权限内国土空间用途管制与规划行政审批事项。 </w:t>
      </w:r>
    </w:p>
    <w:p w14:paraId="59B83754">
      <w:pPr>
        <w:snapToGrid w:val="0"/>
        <w:spacing w:line="520" w:lineRule="exact"/>
        <w:ind w:firstLine="640" w:firstLineChars="200"/>
        <w:jc w:val="both"/>
        <w:rPr>
          <w:rFonts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仿宋_GB2312" w:cs="Times New Roman"/>
          <w:sz w:val="32"/>
          <w:szCs w:val="32"/>
        </w:rPr>
        <w:t>12.承办市自然资源和规划局及区委、区政府交办的其他事项。</w:t>
      </w:r>
    </w:p>
    <w:p w14:paraId="6D988590">
      <w:pPr>
        <w:spacing w:line="600" w:lineRule="exact"/>
        <w:ind w:firstLine="643" w:firstLineChars="200"/>
        <w:rPr>
          <w:rFonts w:ascii="Times New Roman" w:hAnsi="Times New Roman" w:eastAsia="仿宋_GB2312" w:cs="Times New Roman"/>
          <w:sz w:val="32"/>
          <w:szCs w:val="32"/>
        </w:rPr>
      </w:pPr>
      <w:r>
        <w:rPr>
          <w:rFonts w:ascii="Times New Roman" w:hAnsi="Times New Roman" w:eastAsia="楷体_GB2312" w:cs="Times New Roman"/>
          <w:b/>
          <w:bCs/>
          <w:color w:val="000000"/>
          <w:kern w:val="0"/>
          <w:sz w:val="32"/>
          <w:szCs w:val="32"/>
          <w:shd w:val="clear" w:color="auto" w:fill="FFFFFF"/>
          <w:lang w:val="zh-CN"/>
        </w:rPr>
        <w:t>（三）人员概况。</w:t>
      </w:r>
      <w:r>
        <w:rPr>
          <w:rFonts w:hint="default" w:ascii="Times New Roman" w:hAnsi="Times New Roman" w:eastAsia="仿宋_GB2312" w:cs="Times New Roman"/>
          <w:sz w:val="32"/>
          <w:szCs w:val="32"/>
        </w:rPr>
        <w:t>截至202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年末，攀枝花市自然资源和规划局东区分局只</w:t>
      </w:r>
      <w:r>
        <w:rPr>
          <w:rFonts w:hint="default" w:ascii="Times New Roman" w:hAnsi="Times New Roman" w:eastAsia="仿宋_GB2312" w:cs="Times New Roman"/>
          <w:sz w:val="32"/>
          <w:szCs w:val="32"/>
          <w:lang w:val="en-US" w:eastAsia="zh-CN"/>
        </w:rPr>
        <w:t>有</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名公务员，为满足机构正常运转，聘用了临时工作人员</w:t>
      </w:r>
      <w:r>
        <w:rPr>
          <w:rFonts w:hint="eastAsia" w:ascii="Times New Roman" w:hAnsi="Times New Roman" w:eastAsia="仿宋_GB2312" w:cs="Times New Roman"/>
          <w:sz w:val="32"/>
          <w:szCs w:val="32"/>
          <w:lang w:val="en-US" w:eastAsia="zh-CN"/>
        </w:rPr>
        <w:t>18</w:t>
      </w:r>
      <w:r>
        <w:rPr>
          <w:rFonts w:hint="default" w:ascii="Times New Roman" w:hAnsi="Times New Roman" w:eastAsia="仿宋_GB2312" w:cs="Times New Roman"/>
          <w:sz w:val="32"/>
          <w:szCs w:val="32"/>
        </w:rPr>
        <w:t>名。</w:t>
      </w:r>
      <w:r>
        <w:rPr>
          <w:rFonts w:hint="default" w:ascii="Times New Roman" w:hAnsi="Times New Roman" w:eastAsia="仿宋_GB2312" w:cs="Times New Roman"/>
          <w:sz w:val="32"/>
          <w:szCs w:val="32"/>
          <w:lang w:val="en-US" w:eastAsia="zh-CN"/>
        </w:rPr>
        <w:t>银江自然</w:t>
      </w:r>
      <w:r>
        <w:rPr>
          <w:rFonts w:hint="default" w:ascii="Times New Roman" w:hAnsi="Times New Roman" w:eastAsia="仿宋_GB2312" w:cs="Times New Roman"/>
          <w:sz w:val="32"/>
          <w:szCs w:val="32"/>
        </w:rPr>
        <w:t>资源所事业编制2人。</w:t>
      </w:r>
    </w:p>
    <w:p w14:paraId="03EBB875">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二、部门资金收支情况</w:t>
      </w:r>
    </w:p>
    <w:p w14:paraId="15D881FA">
      <w:pPr>
        <w:widowControl/>
        <w:adjustRightInd w:val="0"/>
        <w:snapToGrid w:val="0"/>
        <w:spacing w:line="578" w:lineRule="exact"/>
        <w:ind w:firstLine="643" w:firstLineChars="200"/>
        <w:contextualSpacing/>
        <w:jc w:val="left"/>
        <w:rPr>
          <w:rFonts w:hint="default" w:ascii="Times New Roman" w:hAnsi="Times New Roman" w:eastAsia="仿宋_GB2312" w:cs="Times New Roman"/>
          <w:sz w:val="32"/>
          <w:szCs w:val="32"/>
          <w:lang w:val="en-US" w:eastAsia="zh-CN"/>
        </w:rPr>
      </w:pPr>
      <w:r>
        <w:rPr>
          <w:rFonts w:ascii="Times New Roman" w:hAnsi="Times New Roman" w:eastAsia="楷体_GB2312" w:cs="Times New Roman"/>
          <w:b/>
          <w:bCs/>
          <w:color w:val="000000"/>
          <w:kern w:val="0"/>
          <w:sz w:val="32"/>
          <w:szCs w:val="32"/>
          <w:shd w:val="clear" w:color="auto" w:fill="FFFFFF"/>
          <w:lang w:val="zh-CN"/>
        </w:rPr>
        <w:t>（一）收入情况。</w:t>
      </w:r>
      <w:r>
        <w:rPr>
          <w:rFonts w:hint="default" w:ascii="Times New Roman" w:hAnsi="Times New Roman" w:eastAsia="仿宋_GB2312" w:cs="Times New Roman"/>
          <w:sz w:val="32"/>
          <w:szCs w:val="32"/>
        </w:rPr>
        <w:t>攀枝花市自然资源和规划局东区分局202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年年初预算安排</w:t>
      </w:r>
      <w:r>
        <w:rPr>
          <w:rFonts w:hint="eastAsia" w:ascii="Times New Roman" w:hAnsi="Times New Roman" w:eastAsia="仿宋_GB2312" w:cs="Times New Roman"/>
          <w:sz w:val="32"/>
          <w:szCs w:val="32"/>
          <w:lang w:val="en-US" w:eastAsia="zh-CN"/>
        </w:rPr>
        <w:t>138.60</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val="en-US" w:eastAsia="zh-CN"/>
        </w:rPr>
        <w:t>基本支出</w:t>
      </w:r>
      <w:r>
        <w:rPr>
          <w:rFonts w:hint="eastAsia" w:ascii="Times New Roman" w:hAnsi="Times New Roman" w:eastAsia="仿宋_GB2312" w:cs="Times New Roman"/>
          <w:sz w:val="32"/>
          <w:szCs w:val="32"/>
          <w:lang w:val="en-US" w:eastAsia="zh-CN"/>
        </w:rPr>
        <w:t>95.09</w:t>
      </w:r>
      <w:r>
        <w:rPr>
          <w:rFonts w:hint="default" w:ascii="Times New Roman" w:hAnsi="Times New Roman" w:eastAsia="仿宋_GB2312" w:cs="Times New Roman"/>
          <w:sz w:val="32"/>
          <w:szCs w:val="32"/>
          <w:lang w:val="en-US" w:eastAsia="zh-CN"/>
        </w:rPr>
        <w:t>万元</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攀枝花市东区东林巷东侧崩塌治理工程</w:t>
      </w:r>
      <w:r>
        <w:rPr>
          <w:rFonts w:hint="default" w:ascii="Times New Roman" w:hAnsi="Times New Roman" w:eastAsia="仿宋_GB2312" w:cs="Times New Roman"/>
          <w:sz w:val="32"/>
          <w:szCs w:val="32"/>
          <w:lang w:val="en-US" w:eastAsia="zh-CN"/>
        </w:rPr>
        <w:t>支出3</w:t>
      </w:r>
      <w:r>
        <w:rPr>
          <w:rFonts w:hint="eastAsia" w:ascii="Times New Roman" w:hAnsi="Times New Roman" w:eastAsia="仿宋_GB2312" w:cs="Times New Roman"/>
          <w:sz w:val="32"/>
          <w:szCs w:val="32"/>
          <w:lang w:val="en-US" w:eastAsia="zh-CN"/>
        </w:rPr>
        <w:t>2.43</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地灾隐患点监测人员经费</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08</w:t>
      </w:r>
      <w:r>
        <w:rPr>
          <w:rFonts w:hint="default" w:ascii="Times New Roman" w:hAnsi="Times New Roman" w:eastAsia="仿宋_GB2312" w:cs="Times New Roman"/>
          <w:sz w:val="32"/>
          <w:szCs w:val="32"/>
          <w:lang w:val="en-US" w:eastAsia="zh-CN"/>
        </w:rPr>
        <w:t>万元，2025年清理拖欠企业欠款（市级50</w:t>
      </w:r>
      <w:r>
        <w:rPr>
          <w:rFonts w:hint="eastAsia" w:eastAsia="仿宋_GB2312" w:cs="Times New Roman"/>
          <w:sz w:val="32"/>
          <w:szCs w:val="32"/>
          <w:lang w:val="en-US" w:eastAsia="zh-CN"/>
        </w:rPr>
        <w:t>万元</w:t>
      </w:r>
      <w:r>
        <w:rPr>
          <w:rFonts w:hint="default" w:ascii="Times New Roman" w:hAnsi="Times New Roman" w:eastAsia="仿宋_GB2312" w:cs="Times New Roman"/>
          <w:sz w:val="32"/>
          <w:szCs w:val="32"/>
          <w:lang w:val="en-US" w:eastAsia="zh-CN"/>
        </w:rPr>
        <w:t>以内）</w:t>
      </w:r>
      <w:r>
        <w:rPr>
          <w:rFonts w:hint="eastAsia" w:ascii="Times New Roman" w:hAnsi="Times New Roman" w:eastAsia="仿宋_GB2312" w:cs="Times New Roman"/>
          <w:sz w:val="32"/>
          <w:szCs w:val="32"/>
          <w:lang w:val="en-US" w:eastAsia="zh-CN"/>
        </w:rPr>
        <w:t>支出10.00万元，</w:t>
      </w:r>
      <w:r>
        <w:rPr>
          <w:rFonts w:hint="default" w:ascii="Times New Roman" w:hAnsi="Times New Roman" w:eastAsia="仿宋_GB2312" w:cs="Times New Roman"/>
          <w:sz w:val="32"/>
          <w:szCs w:val="32"/>
          <w:lang w:val="en-US" w:eastAsia="zh-CN"/>
        </w:rPr>
        <w:t>专项地质灾害隐患排查支出</w:t>
      </w:r>
      <w:r>
        <w:rPr>
          <w:rFonts w:hint="eastAsia" w:ascii="Times New Roman" w:hAnsi="Times New Roman" w:eastAsia="仿宋_GB2312" w:cs="Times New Roman"/>
          <w:sz w:val="32"/>
          <w:szCs w:val="32"/>
          <w:lang w:val="en-US" w:eastAsia="zh-CN"/>
        </w:rPr>
        <w:t>0.00</w:t>
      </w:r>
      <w:r>
        <w:rPr>
          <w:rFonts w:hint="default" w:ascii="Times New Roman" w:hAnsi="Times New Roman" w:eastAsia="仿宋_GB2312" w:cs="Times New Roman"/>
          <w:sz w:val="32"/>
          <w:szCs w:val="32"/>
          <w:lang w:val="en-US" w:eastAsia="zh-CN"/>
        </w:rPr>
        <w:t>万元。</w:t>
      </w:r>
    </w:p>
    <w:p w14:paraId="58397D01">
      <w:pPr>
        <w:widowControl/>
        <w:adjustRightInd w:val="0"/>
        <w:snapToGrid w:val="0"/>
        <w:spacing w:line="578" w:lineRule="exact"/>
        <w:ind w:firstLine="643" w:firstLineChars="200"/>
        <w:contextualSpacing/>
        <w:jc w:val="left"/>
        <w:rPr>
          <w:rFonts w:ascii="Times New Roman" w:hAnsi="Times New Roman" w:eastAsia="楷体_GB2312" w:cs="Times New Roman"/>
          <w:b/>
          <w:bCs/>
          <w:color w:val="000000"/>
          <w:kern w:val="0"/>
          <w:sz w:val="32"/>
          <w:szCs w:val="32"/>
          <w:shd w:val="clear" w:color="auto" w:fill="FFFFFF"/>
        </w:rPr>
      </w:pPr>
    </w:p>
    <w:p w14:paraId="3D7C2AD6">
      <w:pPr>
        <w:widowControl/>
        <w:adjustRightInd w:val="0"/>
        <w:snapToGrid w:val="0"/>
        <w:spacing w:line="578" w:lineRule="exact"/>
        <w:ind w:firstLine="643" w:firstLineChars="200"/>
        <w:contextualSpacing/>
        <w:jc w:val="left"/>
        <w:rPr>
          <w:rFonts w:ascii="Times New Roman" w:hAnsi="Times New Roman" w:eastAsia="仿宋_GB2312" w:cs="Times New Roman"/>
          <w:sz w:val="32"/>
          <w:szCs w:val="32"/>
          <w:lang w:val="zh-CN"/>
        </w:rPr>
      </w:pPr>
      <w:r>
        <w:rPr>
          <w:rFonts w:ascii="Times New Roman" w:hAnsi="Times New Roman" w:eastAsia="楷体_GB2312" w:cs="Times New Roman"/>
          <w:b/>
          <w:bCs/>
          <w:color w:val="000000"/>
          <w:kern w:val="0"/>
          <w:sz w:val="32"/>
          <w:szCs w:val="32"/>
          <w:shd w:val="clear" w:color="auto" w:fill="FFFFFF"/>
          <w:lang w:val="zh-CN"/>
        </w:rPr>
        <w:t>（二）支出情况。</w:t>
      </w:r>
      <w:r>
        <w:rPr>
          <w:rFonts w:hint="default" w:ascii="Times New Roman" w:hAnsi="Times New Roman" w:eastAsia="仿宋_GB2312" w:cs="Times New Roman"/>
          <w:sz w:val="32"/>
          <w:szCs w:val="32"/>
        </w:rPr>
        <w:t>攀枝花市自然资源和规划局东区分局202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年年初预算支出</w:t>
      </w:r>
      <w:r>
        <w:rPr>
          <w:rFonts w:hint="eastAsia" w:ascii="Times New Roman" w:hAnsi="Times New Roman" w:eastAsia="仿宋_GB2312" w:cs="Times New Roman"/>
          <w:sz w:val="32"/>
          <w:szCs w:val="32"/>
          <w:lang w:val="en-US" w:eastAsia="zh-CN"/>
        </w:rPr>
        <w:t>138.60</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val="en-US" w:eastAsia="zh-CN"/>
        </w:rPr>
        <w:t>基本支出</w:t>
      </w:r>
      <w:r>
        <w:rPr>
          <w:rFonts w:hint="eastAsia" w:ascii="Times New Roman" w:hAnsi="Times New Roman" w:eastAsia="仿宋_GB2312" w:cs="Times New Roman"/>
          <w:sz w:val="32"/>
          <w:szCs w:val="32"/>
          <w:lang w:val="en-US" w:eastAsia="zh-CN"/>
        </w:rPr>
        <w:t>95.09</w:t>
      </w:r>
      <w:r>
        <w:rPr>
          <w:rFonts w:hint="default" w:ascii="Times New Roman" w:hAnsi="Times New Roman" w:eastAsia="仿宋_GB2312" w:cs="Times New Roman"/>
          <w:sz w:val="32"/>
          <w:szCs w:val="32"/>
          <w:lang w:val="en-US" w:eastAsia="zh-CN"/>
        </w:rPr>
        <w:t>万元</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攀枝花市东区东林巷东侧崩塌治理工程</w:t>
      </w:r>
      <w:r>
        <w:rPr>
          <w:rFonts w:hint="default" w:ascii="Times New Roman" w:hAnsi="Times New Roman" w:eastAsia="仿宋_GB2312" w:cs="Times New Roman"/>
          <w:sz w:val="32"/>
          <w:szCs w:val="32"/>
          <w:lang w:val="en-US" w:eastAsia="zh-CN"/>
        </w:rPr>
        <w:t>支出3</w:t>
      </w:r>
      <w:r>
        <w:rPr>
          <w:rFonts w:hint="eastAsia" w:ascii="Times New Roman" w:hAnsi="Times New Roman" w:eastAsia="仿宋_GB2312" w:cs="Times New Roman"/>
          <w:sz w:val="32"/>
          <w:szCs w:val="32"/>
          <w:lang w:val="en-US" w:eastAsia="zh-CN"/>
        </w:rPr>
        <w:t>2.43</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地灾隐患点监测人员经费</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08</w:t>
      </w:r>
      <w:r>
        <w:rPr>
          <w:rFonts w:hint="default" w:ascii="Times New Roman" w:hAnsi="Times New Roman" w:eastAsia="仿宋_GB2312" w:cs="Times New Roman"/>
          <w:sz w:val="32"/>
          <w:szCs w:val="32"/>
          <w:lang w:val="en-US" w:eastAsia="zh-CN"/>
        </w:rPr>
        <w:t>万元，2025年清理拖欠企业欠款（市级50</w:t>
      </w:r>
      <w:r>
        <w:rPr>
          <w:rFonts w:hint="eastAsia" w:eastAsia="仿宋_GB2312" w:cs="Times New Roman"/>
          <w:sz w:val="32"/>
          <w:szCs w:val="32"/>
          <w:lang w:val="en-US" w:eastAsia="zh-CN"/>
        </w:rPr>
        <w:t>万元</w:t>
      </w:r>
      <w:r>
        <w:rPr>
          <w:rFonts w:hint="default" w:ascii="Times New Roman" w:hAnsi="Times New Roman" w:eastAsia="仿宋_GB2312" w:cs="Times New Roman"/>
          <w:sz w:val="32"/>
          <w:szCs w:val="32"/>
          <w:lang w:val="en-US" w:eastAsia="zh-CN"/>
        </w:rPr>
        <w:t>以内）</w:t>
      </w:r>
      <w:r>
        <w:rPr>
          <w:rFonts w:hint="eastAsia" w:ascii="Times New Roman" w:hAnsi="Times New Roman" w:eastAsia="仿宋_GB2312" w:cs="Times New Roman"/>
          <w:sz w:val="32"/>
          <w:szCs w:val="32"/>
          <w:lang w:val="en-US" w:eastAsia="zh-CN"/>
        </w:rPr>
        <w:t>支出10.00万元，</w:t>
      </w:r>
      <w:r>
        <w:rPr>
          <w:rFonts w:hint="default" w:ascii="Times New Roman" w:hAnsi="Times New Roman" w:eastAsia="仿宋_GB2312" w:cs="Times New Roman"/>
          <w:sz w:val="32"/>
          <w:szCs w:val="32"/>
          <w:lang w:val="en-US" w:eastAsia="zh-CN"/>
        </w:rPr>
        <w:t>专项地质灾害隐患排查支出</w:t>
      </w:r>
      <w:r>
        <w:rPr>
          <w:rFonts w:hint="eastAsia" w:ascii="Times New Roman" w:hAnsi="Times New Roman" w:eastAsia="仿宋_GB2312" w:cs="Times New Roman"/>
          <w:sz w:val="32"/>
          <w:szCs w:val="32"/>
          <w:lang w:val="en-US" w:eastAsia="zh-CN"/>
        </w:rPr>
        <w:t>0.00</w:t>
      </w:r>
      <w:r>
        <w:rPr>
          <w:rFonts w:hint="default" w:ascii="Times New Roman" w:hAnsi="Times New Roman" w:eastAsia="仿宋_GB2312" w:cs="Times New Roman"/>
          <w:sz w:val="32"/>
          <w:szCs w:val="32"/>
          <w:lang w:val="en-US" w:eastAsia="zh-CN"/>
        </w:rPr>
        <w:t>万元。</w:t>
      </w:r>
    </w:p>
    <w:p w14:paraId="4E6F7367">
      <w:pPr>
        <w:widowControl/>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（三）</w:t>
      </w:r>
      <w:r>
        <w:rPr>
          <w:rFonts w:ascii="Times New Roman" w:hAnsi="Times New Roman" w:eastAsia="楷体_GB2312" w:cs="Times New Roman"/>
          <w:b/>
          <w:sz w:val="32"/>
          <w:szCs w:val="32"/>
        </w:rPr>
        <w:t>结余分配和结转结余情况。</w:t>
      </w:r>
      <w:r>
        <w:rPr>
          <w:rFonts w:hint="default" w:ascii="Times New Roman" w:hAnsi="Times New Roman" w:eastAsia="仿宋_GB2312" w:cs="Times New Roman"/>
          <w:sz w:val="32"/>
          <w:szCs w:val="32"/>
        </w:rPr>
        <w:t>攀枝花市自然资源和规划局东区分局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w:t>
      </w:r>
      <w:r>
        <w:rPr>
          <w:rFonts w:hint="default" w:ascii="Times New Roman" w:hAnsi="Times New Roman" w:eastAsia="仿宋_GB2312" w:cs="Times New Roman"/>
          <w:sz w:val="32"/>
          <w:szCs w:val="32"/>
        </w:rPr>
        <w:t>无结转和结余资金</w:t>
      </w:r>
      <w:r>
        <w:rPr>
          <w:rFonts w:ascii="Times New Roman" w:hAnsi="Times New Roman" w:eastAsia="仿宋_GB2312" w:cs="Times New Roman"/>
          <w:color w:val="000000"/>
          <w:kern w:val="0"/>
          <w:sz w:val="32"/>
          <w:szCs w:val="32"/>
          <w:shd w:val="clear" w:color="auto" w:fill="FFFFFF"/>
        </w:rPr>
        <w:t>。</w:t>
      </w:r>
    </w:p>
    <w:p w14:paraId="75B16AF3">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三、部门预算绩效分析</w:t>
      </w:r>
    </w:p>
    <w:p w14:paraId="14772FB5">
      <w:pPr>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（一）部门预算总体绩效分析。</w:t>
      </w:r>
      <w:r>
        <w:rPr>
          <w:rFonts w:ascii="Times New Roman" w:hAnsi="Times New Roman" w:eastAsia="仿宋_GB2312" w:cs="Times New Roman"/>
          <w:color w:val="000000"/>
          <w:kern w:val="0"/>
          <w:sz w:val="32"/>
          <w:szCs w:val="32"/>
          <w:shd w:val="clear" w:color="auto" w:fill="FFFFFF"/>
          <w:lang w:val="zh-CN"/>
        </w:rPr>
        <w:t>根据部门预算绩效评价指标体系“总体绩效”涉及二、三级指标进行逐项绩效分析并评分，依次包括履职效能、预算管理、财务管理、资产管理、采购管理等情况。</w:t>
      </w:r>
    </w:p>
    <w:p w14:paraId="39028502">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1.</w:t>
      </w:r>
      <w:r>
        <w:rPr>
          <w:rFonts w:ascii="Times New Roman" w:hAnsi="Times New Roman" w:eastAsia="楷体_GB2312" w:cs="Times New Roman"/>
          <w:color w:val="000000"/>
          <w:kern w:val="0"/>
          <w:sz w:val="32"/>
          <w:szCs w:val="32"/>
          <w:shd w:val="clear" w:color="auto" w:fill="FFFFFF"/>
          <w:lang w:val="zh-CN"/>
        </w:rPr>
        <w:t>履职效能。</w:t>
      </w:r>
      <w:r>
        <w:rPr>
          <w:rFonts w:ascii="Times New Roman" w:hAnsi="Times New Roman" w:eastAsia="仿宋_GB2312" w:cs="Times New Roman"/>
          <w:color w:val="000000"/>
          <w:kern w:val="0"/>
          <w:sz w:val="32"/>
          <w:szCs w:val="32"/>
          <w:shd w:val="clear" w:color="auto" w:fill="FFFFFF"/>
          <w:lang w:val="zh-CN"/>
        </w:rPr>
        <w:t>部门整体绩效目标中选定3</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5个核心职能目标，对职能目标完成效果情况绩效分析。</w:t>
      </w:r>
    </w:p>
    <w:p w14:paraId="530C04FE">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（1）项目年度目标任务严格执行相关政策，保障工资及时发放、足额发放，保障单位日常运转。</w:t>
      </w:r>
    </w:p>
    <w:p w14:paraId="587E6E49">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（2）加快隐患点治理。完成攀枝花市东区东林巷东侧崩塌治理，成功实现“地质灾害治理+”，有效保护人民群众生命财产安全</w:t>
      </w:r>
      <w:r>
        <w:rPr>
          <w:rFonts w:hint="eastAsia" w:ascii="Times New Roman" w:hAnsi="Times New Roman" w:eastAsia="仿宋_GB2312" w:cs="Times New Roman"/>
          <w:kern w:val="2"/>
          <w:sz w:val="32"/>
          <w:szCs w:val="32"/>
          <w:lang w:val="en-US" w:eastAsia="zh-CN" w:bidi="ar-SA"/>
        </w:rPr>
        <w:t>。</w:t>
      </w:r>
    </w:p>
    <w:p w14:paraId="7E8E5392">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（3）通过监测点人员每天对隐患点实行简易监测，监测隐患点发展情况，及时采取</w:t>
      </w:r>
      <w:r>
        <w:rPr>
          <w:rFonts w:hint="eastAsia" w:eastAsia="仿宋_GB2312" w:cs="Times New Roman"/>
          <w:kern w:val="2"/>
          <w:sz w:val="32"/>
          <w:szCs w:val="32"/>
          <w:lang w:val="en-US" w:eastAsia="zh-CN" w:bidi="ar-SA"/>
        </w:rPr>
        <w:t>防治</w:t>
      </w:r>
      <w:r>
        <w:rPr>
          <w:rFonts w:hint="default" w:ascii="Times New Roman" w:hAnsi="Times New Roman" w:eastAsia="仿宋_GB2312" w:cs="Times New Roman"/>
          <w:kern w:val="2"/>
          <w:sz w:val="32"/>
          <w:szCs w:val="32"/>
          <w:lang w:val="en-US" w:eastAsia="zh-CN" w:bidi="ar-SA"/>
        </w:rPr>
        <w:t>措施，保障受威胁人群安全。</w:t>
      </w:r>
    </w:p>
    <w:p w14:paraId="539D5355">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（4）专项地质灾害隐患排查，该项目用于</w:t>
      </w:r>
      <w:r>
        <w:rPr>
          <w:rFonts w:hint="eastAsia" w:eastAsia="仿宋_GB2312" w:cs="Times New Roman"/>
          <w:kern w:val="2"/>
          <w:sz w:val="32"/>
          <w:szCs w:val="32"/>
          <w:lang w:val="en-US" w:eastAsia="zh-CN" w:bidi="ar-SA"/>
        </w:rPr>
        <w:t>开展2025年度</w:t>
      </w:r>
      <w:r>
        <w:rPr>
          <w:rFonts w:hint="eastAsia" w:ascii="Times New Roman" w:hAnsi="Times New Roman" w:eastAsia="仿宋_GB2312" w:cs="Times New Roman"/>
          <w:kern w:val="2"/>
          <w:sz w:val="32"/>
          <w:szCs w:val="32"/>
          <w:lang w:val="en-US" w:eastAsia="zh-CN" w:bidi="ar-SA"/>
        </w:rPr>
        <w:t>地质灾害隐患点排查，提高地质灾害防治能力等，按合同约定督导排查3个隐患点，完工率为100%，项目实施后保护资产5000万元，群众满意度提升达到90%。</w:t>
      </w:r>
    </w:p>
    <w:p w14:paraId="71B33FCC">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（5）2025年清理拖欠企业欠款（市级50万以内），该项目用于清理拖欠服务类项目2个，有效</w:t>
      </w:r>
      <w:r>
        <w:rPr>
          <w:rFonts w:hint="default" w:ascii="Times New Roman" w:hAnsi="Times New Roman" w:eastAsia="仿宋_GB2312" w:cs="Times New Roman"/>
          <w:kern w:val="2"/>
          <w:sz w:val="32"/>
          <w:szCs w:val="32"/>
          <w:lang w:val="en-US" w:eastAsia="zh-CN" w:bidi="ar-SA"/>
        </w:rPr>
        <w:t>维护企业合法权益，确保社会稳定</w:t>
      </w:r>
      <w:r>
        <w:rPr>
          <w:rFonts w:hint="eastAsia" w:ascii="Times New Roman" w:hAnsi="Times New Roman" w:eastAsia="仿宋_GB2312" w:cs="Times New Roman"/>
          <w:kern w:val="2"/>
          <w:sz w:val="32"/>
          <w:szCs w:val="32"/>
          <w:lang w:val="en-US" w:eastAsia="zh-CN" w:bidi="ar-SA"/>
        </w:rPr>
        <w:t>，企业满意度提升达到90%。</w:t>
      </w:r>
    </w:p>
    <w:p w14:paraId="2C2191FB">
      <w:pPr>
        <w:widowControl w:val="0"/>
        <w:numPr>
          <w:ilvl w:val="0"/>
          <w:numId w:val="0"/>
        </w:numPr>
        <w:spacing w:line="600" w:lineRule="exact"/>
        <w:ind w:firstLine="640" w:firstLineChars="200"/>
        <w:jc w:val="both"/>
        <w:rPr>
          <w:rFonts w:ascii="宋体" w:hAnsi="Courier New" w:eastAsia="楷体_GB2312" w:cs="Times New Roman"/>
          <w:color w:val="000000"/>
          <w:kern w:val="0"/>
          <w:sz w:val="32"/>
          <w:szCs w:val="32"/>
          <w:shd w:val="clear" w:color="auto" w:fill="FFFFFF"/>
          <w:lang w:val="zh-CN" w:eastAsia="zh-CN" w:bidi="ar-SA"/>
        </w:rPr>
      </w:pPr>
      <w:r>
        <w:rPr>
          <w:rFonts w:hint="eastAsia" w:ascii="宋体" w:hAnsi="Courier New" w:eastAsia="楷体_GB2312" w:cs="Times New Roman"/>
          <w:color w:val="000000"/>
          <w:kern w:val="0"/>
          <w:sz w:val="32"/>
          <w:szCs w:val="32"/>
          <w:shd w:val="clear" w:color="auto" w:fill="FFFFFF"/>
          <w:lang w:val="en-US" w:eastAsia="zh-CN" w:bidi="ar-SA"/>
        </w:rPr>
        <w:t>2.</w:t>
      </w:r>
      <w:r>
        <w:rPr>
          <w:rFonts w:ascii="宋体" w:hAnsi="Courier New" w:eastAsia="楷体_GB2312" w:cs="Times New Roman"/>
          <w:color w:val="000000"/>
          <w:kern w:val="0"/>
          <w:sz w:val="32"/>
          <w:szCs w:val="32"/>
          <w:shd w:val="clear" w:color="auto" w:fill="FFFFFF"/>
          <w:lang w:val="zh-CN" w:eastAsia="zh-CN" w:bidi="ar-SA"/>
        </w:rPr>
        <w:t>预算管理。</w:t>
      </w:r>
    </w:p>
    <w:p w14:paraId="6CAED345">
      <w:pPr>
        <w:widowControl w:val="0"/>
        <w:numPr>
          <w:ilvl w:val="0"/>
          <w:numId w:val="0"/>
        </w:numPr>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（1）预算编制：各部门之间沟通协调充分，预算与工作任务相适应。做到程序规范、方法科学、内容完整，项目落实，数据准确。</w:t>
      </w:r>
    </w:p>
    <w:p w14:paraId="2BA3F23B">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（2）预算执行：根据批复预算严格安排各项支出、指标细化分解，审批下达，保障基本需求；项目支出与项目进度相协调、严格控制追加调整，充分发挥预算对单位事业发展及经济活动的管控作用。</w:t>
      </w:r>
    </w:p>
    <w:p w14:paraId="4A22275E">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（3）预算年终结余：单位当年无预算年终结余。</w:t>
      </w:r>
    </w:p>
    <w:p w14:paraId="0B2F2623">
      <w:pPr>
        <w:widowControl w:val="0"/>
        <w:spacing w:line="600" w:lineRule="exact"/>
        <w:ind w:firstLine="640" w:firstLineChars="200"/>
        <w:jc w:val="both"/>
        <w:rPr>
          <w:rFonts w:ascii="宋体" w:hAnsi="Courier New" w:eastAsia="楷体_GB2312" w:cs="Times New Roman"/>
          <w:color w:val="000000"/>
          <w:kern w:val="0"/>
          <w:sz w:val="32"/>
          <w:szCs w:val="32"/>
          <w:shd w:val="clear" w:color="auto" w:fill="FFFFFF"/>
          <w:lang w:val="zh-CN" w:eastAsia="zh-CN" w:bidi="ar-SA"/>
        </w:rPr>
      </w:pPr>
      <w:r>
        <w:rPr>
          <w:rFonts w:hint="default" w:ascii="Times New Roman" w:hAnsi="Times New Roman" w:eastAsia="仿宋_GB2312" w:cs="Times New Roman"/>
          <w:kern w:val="2"/>
          <w:sz w:val="32"/>
          <w:szCs w:val="32"/>
          <w:lang w:val="en-US" w:eastAsia="zh-CN" w:bidi="ar-SA"/>
        </w:rPr>
        <w:t>（4）单位严格按照文件要求严控一般性支出。</w:t>
      </w:r>
    </w:p>
    <w:p w14:paraId="73DE432B">
      <w:p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3.</w:t>
      </w:r>
      <w:r>
        <w:rPr>
          <w:rFonts w:ascii="Times New Roman" w:hAnsi="Times New Roman" w:eastAsia="楷体_GB2312" w:cs="Times New Roman"/>
          <w:color w:val="000000"/>
          <w:kern w:val="0"/>
          <w:sz w:val="32"/>
          <w:szCs w:val="32"/>
          <w:shd w:val="clear" w:color="auto" w:fill="FFFFFF"/>
          <w:lang w:val="zh-CN"/>
        </w:rPr>
        <w:t>财务管理。</w:t>
      </w:r>
    </w:p>
    <w:p w14:paraId="0F39C038">
      <w:p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default" w:ascii="Times New Roman" w:hAnsi="Times New Roman" w:eastAsia="仿宋_GB2312" w:cs="Times New Roman"/>
          <w:sz w:val="32"/>
          <w:szCs w:val="32"/>
        </w:rPr>
        <w:t>单位财务管理制度健全，严格执行财务管理制度，账务处理及时，会计核算规范</w:t>
      </w:r>
      <w:r>
        <w:rPr>
          <w:rFonts w:ascii="Times New Roman" w:hAnsi="Times New Roman" w:eastAsia="仿宋_GB2312" w:cs="Times New Roman"/>
          <w:color w:val="000000"/>
          <w:kern w:val="0"/>
          <w:sz w:val="32"/>
          <w:szCs w:val="32"/>
          <w:shd w:val="clear" w:color="auto" w:fill="FFFFFF"/>
          <w:lang w:val="zh-CN"/>
        </w:rPr>
        <w:t>。</w:t>
      </w:r>
    </w:p>
    <w:p w14:paraId="79F5C112">
      <w:p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4.</w:t>
      </w:r>
      <w:r>
        <w:rPr>
          <w:rFonts w:ascii="Times New Roman" w:hAnsi="Times New Roman" w:eastAsia="楷体_GB2312" w:cs="Times New Roman"/>
          <w:color w:val="000000"/>
          <w:kern w:val="0"/>
          <w:sz w:val="32"/>
          <w:szCs w:val="32"/>
          <w:shd w:val="clear" w:color="auto" w:fill="FFFFFF"/>
          <w:lang w:val="zh-CN"/>
        </w:rPr>
        <w:t>资产管理。</w:t>
      </w:r>
    </w:p>
    <w:p w14:paraId="55B23266">
      <w:pPr>
        <w:widowControl w:val="0"/>
        <w:numPr>
          <w:ilvl w:val="0"/>
          <w:numId w:val="0"/>
        </w:numPr>
        <w:spacing w:line="600" w:lineRule="exact"/>
        <w:ind w:firstLine="640" w:firstLineChars="200"/>
        <w:jc w:val="both"/>
        <w:rPr>
          <w:rFonts w:ascii="宋体" w:hAnsi="Courier New" w:eastAsia="楷体_GB2312" w:cs="Times New Roman"/>
          <w:color w:val="000000"/>
          <w:kern w:val="0"/>
          <w:sz w:val="32"/>
          <w:szCs w:val="32"/>
          <w:shd w:val="clear" w:color="auto" w:fill="FFFFFF"/>
          <w:lang w:val="zh-CN" w:eastAsia="zh-CN" w:bidi="ar-SA"/>
        </w:rPr>
      </w:pPr>
      <w:r>
        <w:rPr>
          <w:rFonts w:hint="default" w:ascii="Times New Roman" w:hAnsi="Times New Roman" w:eastAsia="仿宋_GB2312" w:cs="Times New Roman"/>
          <w:kern w:val="2"/>
          <w:sz w:val="32"/>
          <w:szCs w:val="32"/>
          <w:lang w:val="en-US" w:eastAsia="zh-CN" w:bidi="ar-SA"/>
        </w:rPr>
        <w:t>确保资产配置标准、决策和审批程序符合规定，规范国有资产使用行为，落实使用责任，防止国有资产流失，保证资产安全完整，提高资产使用效能。</w:t>
      </w:r>
    </w:p>
    <w:p w14:paraId="6F7AEFA0">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楷体_GB2312" w:cs="Times New Roman"/>
          <w:color w:val="000000"/>
          <w:kern w:val="0"/>
          <w:sz w:val="32"/>
          <w:szCs w:val="32"/>
          <w:shd w:val="clear" w:color="auto" w:fill="FFFFFF"/>
          <w:lang w:val="en-US" w:eastAsia="zh-CN"/>
        </w:rPr>
        <w:t>5.</w:t>
      </w:r>
      <w:r>
        <w:rPr>
          <w:rFonts w:ascii="Times New Roman" w:hAnsi="Times New Roman" w:eastAsia="楷体_GB2312" w:cs="Times New Roman"/>
          <w:color w:val="000000"/>
          <w:kern w:val="0"/>
          <w:sz w:val="32"/>
          <w:szCs w:val="32"/>
          <w:shd w:val="clear" w:color="auto" w:fill="FFFFFF"/>
          <w:lang w:val="zh-CN"/>
        </w:rPr>
        <w:t>采购管理。</w:t>
      </w:r>
    </w:p>
    <w:p w14:paraId="6AD80DA4">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楷体_GB2312" w:cs="Times New Roman"/>
          <w:color w:val="000000"/>
          <w:kern w:val="0"/>
          <w:sz w:val="32"/>
          <w:szCs w:val="32"/>
          <w:shd w:val="clear" w:color="auto" w:fill="FFFFFF"/>
          <w:lang w:val="en-US" w:eastAsia="zh-CN"/>
        </w:rPr>
        <w:t>2025年</w:t>
      </w:r>
      <w:r>
        <w:rPr>
          <w:rFonts w:hint="default" w:ascii="Times New Roman" w:hAnsi="Times New Roman" w:eastAsia="仿宋_GB2312" w:cs="Times New Roman"/>
          <w:kern w:val="2"/>
          <w:sz w:val="32"/>
          <w:szCs w:val="32"/>
          <w:lang w:val="zh-CN" w:eastAsia="zh-CN" w:bidi="ar-SA"/>
        </w:rPr>
        <w:t>政府采购车辆</w:t>
      </w:r>
      <w:r>
        <w:rPr>
          <w:rFonts w:hint="eastAsia" w:ascii="Times New Roman" w:hAnsi="Times New Roman" w:eastAsia="仿宋_GB2312" w:cs="Times New Roman"/>
          <w:kern w:val="2"/>
          <w:sz w:val="32"/>
          <w:szCs w:val="32"/>
          <w:lang w:val="zh-CN" w:eastAsia="zh-CN" w:bidi="ar-SA"/>
        </w:rPr>
        <w:t>保险</w:t>
      </w:r>
      <w:r>
        <w:rPr>
          <w:rFonts w:hint="default" w:ascii="Times New Roman" w:hAnsi="Times New Roman" w:eastAsia="仿宋_GB2312" w:cs="Times New Roman"/>
          <w:kern w:val="2"/>
          <w:sz w:val="32"/>
          <w:szCs w:val="32"/>
          <w:lang w:val="zh-CN" w:eastAsia="zh-CN" w:bidi="ar-SA"/>
        </w:rPr>
        <w:t>服务是为了确保公务车辆的正常运行，通过框架协议合同授予的方式，本次采购</w:t>
      </w:r>
      <w:r>
        <w:rPr>
          <w:rFonts w:hint="eastAsia" w:ascii="Times New Roman" w:hAnsi="Times New Roman" w:eastAsia="仿宋_GB2312" w:cs="Times New Roman"/>
          <w:kern w:val="2"/>
          <w:sz w:val="32"/>
          <w:szCs w:val="32"/>
          <w:lang w:val="en-US" w:eastAsia="zh-CN" w:bidi="ar-SA"/>
        </w:rPr>
        <w:t>0.21万</w:t>
      </w:r>
      <w:r>
        <w:rPr>
          <w:rFonts w:hint="eastAsia" w:ascii="Times New Roman" w:hAnsi="Times New Roman" w:eastAsia="仿宋_GB2312" w:cs="Times New Roman"/>
          <w:kern w:val="2"/>
          <w:sz w:val="32"/>
          <w:szCs w:val="32"/>
          <w:lang w:val="zh-CN" w:eastAsia="zh-CN" w:bidi="ar-SA"/>
        </w:rPr>
        <w:t>元保险费，采购执行率达到100%。</w:t>
      </w:r>
    </w:p>
    <w:p w14:paraId="38627906">
      <w:pPr>
        <w:widowControl/>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（二）部门预算项目绩效分析。</w:t>
      </w:r>
      <w:r>
        <w:rPr>
          <w:rFonts w:ascii="Times New Roman" w:hAnsi="Times New Roman" w:eastAsia="仿宋_GB2312" w:cs="Times New Roman"/>
          <w:color w:val="000000"/>
          <w:kern w:val="0"/>
          <w:sz w:val="32"/>
          <w:szCs w:val="32"/>
          <w:shd w:val="clear" w:color="auto" w:fill="FFFFFF"/>
          <w:lang w:val="zh-CN"/>
        </w:rPr>
        <w:t>填报以下数据，并根据部门预算绩效评价指标体系“项目绩效”涉及二、三级指标进行逐项绩效分析并评分，依次包括项目</w:t>
      </w:r>
      <w:r>
        <w:rPr>
          <w:rFonts w:ascii="Times New Roman" w:hAnsi="Times New Roman" w:eastAsia="仿宋_GB2312" w:cs="Times New Roman"/>
          <w:color w:val="000000"/>
          <w:kern w:val="0"/>
          <w:sz w:val="32"/>
          <w:szCs w:val="32"/>
          <w:shd w:val="clear" w:color="auto" w:fill="FFFFFF"/>
        </w:rPr>
        <w:t>决策、项目执行、目标实现等情况。</w:t>
      </w:r>
    </w:p>
    <w:p w14:paraId="1CC8BDA5">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color w:val="000000"/>
          <w:kern w:val="0"/>
          <w:sz w:val="32"/>
          <w:szCs w:val="32"/>
          <w:shd w:val="clear" w:color="auto" w:fill="FFFFFF"/>
        </w:rPr>
        <w:t>常年项目绩效分析。</w:t>
      </w:r>
      <w:r>
        <w:rPr>
          <w:rFonts w:ascii="Times New Roman" w:hAnsi="Times New Roman" w:eastAsia="仿宋_GB2312" w:cs="Times New Roman"/>
          <w:color w:val="000000"/>
          <w:kern w:val="0"/>
          <w:sz w:val="32"/>
          <w:szCs w:val="32"/>
          <w:shd w:val="clear" w:color="auto" w:fill="FFFFFF"/>
          <w:lang w:val="zh-CN"/>
        </w:rPr>
        <w:t>该类项目总数</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个，涉及预算总金额</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万元，1</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1</w:t>
      </w:r>
      <w:r>
        <w:rPr>
          <w:rFonts w:ascii="Times New Roman" w:hAnsi="Times New Roman" w:eastAsia="仿宋_GB2312" w:cs="Times New Roman"/>
          <w:color w:val="000000"/>
          <w:kern w:val="0"/>
          <w:sz w:val="32"/>
          <w:szCs w:val="32"/>
          <w:shd w:val="clear" w:color="auto" w:fill="FFFFFF"/>
        </w:rPr>
        <w:t>2</w:t>
      </w:r>
      <w:r>
        <w:rPr>
          <w:rFonts w:ascii="Times New Roman" w:hAnsi="Times New Roman" w:eastAsia="仿宋_GB2312" w:cs="Times New Roman"/>
          <w:color w:val="000000"/>
          <w:kern w:val="0"/>
          <w:sz w:val="32"/>
          <w:szCs w:val="32"/>
          <w:shd w:val="clear" w:color="auto" w:fill="FFFFFF"/>
          <w:lang w:val="zh-CN"/>
        </w:rPr>
        <w:t>月预算执行总体进度为</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%，其中：预算结余率大于</w:t>
      </w:r>
      <w:r>
        <w:rPr>
          <w:rFonts w:ascii="Times New Roman" w:hAnsi="Times New Roman" w:eastAsia="仿宋_GB2312" w:cs="Times New Roman"/>
          <w:color w:val="000000"/>
          <w:kern w:val="0"/>
          <w:sz w:val="32"/>
          <w:szCs w:val="32"/>
          <w:shd w:val="clear" w:color="auto" w:fill="FFFFFF"/>
        </w:rPr>
        <w:t>10%</w:t>
      </w:r>
      <w:r>
        <w:rPr>
          <w:rFonts w:ascii="Times New Roman" w:hAnsi="Times New Roman" w:eastAsia="仿宋_GB2312" w:cs="Times New Roman"/>
          <w:color w:val="000000"/>
          <w:kern w:val="0"/>
          <w:sz w:val="32"/>
          <w:szCs w:val="32"/>
          <w:shd w:val="clear" w:color="auto" w:fill="FFFFFF"/>
          <w:lang w:val="zh-CN"/>
        </w:rPr>
        <w:t>的项目共计</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个。</w:t>
      </w:r>
    </w:p>
    <w:p w14:paraId="4A8EE459">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color w:val="000000"/>
          <w:kern w:val="0"/>
          <w:sz w:val="32"/>
          <w:szCs w:val="32"/>
          <w:shd w:val="clear" w:color="auto" w:fill="FFFFFF"/>
        </w:rPr>
        <w:t>阶段（</w:t>
      </w:r>
      <w:r>
        <w:rPr>
          <w:rFonts w:hint="eastAsia" w:ascii="Times New Roman" w:hAnsi="Times New Roman" w:eastAsia="仿宋_GB2312" w:cs="Times New Roman"/>
          <w:color w:val="000000"/>
          <w:kern w:val="0"/>
          <w:sz w:val="32"/>
          <w:szCs w:val="32"/>
          <w:shd w:val="clear" w:color="auto" w:fill="FFFFFF"/>
        </w:rPr>
        <w:t>含</w:t>
      </w:r>
      <w:r>
        <w:rPr>
          <w:rFonts w:ascii="Times New Roman" w:hAnsi="Times New Roman" w:eastAsia="仿宋_GB2312" w:cs="Times New Roman"/>
          <w:color w:val="000000"/>
          <w:kern w:val="0"/>
          <w:sz w:val="32"/>
          <w:szCs w:val="32"/>
          <w:shd w:val="clear" w:color="auto" w:fill="FFFFFF"/>
        </w:rPr>
        <w:t>一次性）项目绩效分析。</w:t>
      </w:r>
      <w:r>
        <w:rPr>
          <w:rFonts w:ascii="Times New Roman" w:hAnsi="Times New Roman" w:eastAsia="仿宋_GB2312" w:cs="Times New Roman"/>
          <w:color w:val="000000"/>
          <w:kern w:val="0"/>
          <w:sz w:val="32"/>
          <w:szCs w:val="32"/>
          <w:shd w:val="clear" w:color="auto" w:fill="FFFFFF"/>
          <w:lang w:val="zh-CN"/>
        </w:rPr>
        <w:t>该类项目总数</w:t>
      </w:r>
      <w:r>
        <w:rPr>
          <w:rFonts w:hint="eastAsia" w:ascii="Times New Roman" w:hAnsi="Times New Roman" w:eastAsia="仿宋_GB2312" w:cs="Times New Roman"/>
          <w:color w:val="000000"/>
          <w:kern w:val="0"/>
          <w:sz w:val="32"/>
          <w:szCs w:val="32"/>
          <w:shd w:val="clear" w:color="auto" w:fill="FFFFFF"/>
          <w:lang w:val="en-US" w:eastAsia="zh-CN"/>
        </w:rPr>
        <w:t>4</w:t>
      </w:r>
      <w:r>
        <w:rPr>
          <w:rFonts w:ascii="Times New Roman" w:hAnsi="Times New Roman" w:eastAsia="仿宋_GB2312" w:cs="Times New Roman"/>
          <w:color w:val="000000"/>
          <w:kern w:val="0"/>
          <w:sz w:val="32"/>
          <w:szCs w:val="32"/>
          <w:shd w:val="clear" w:color="auto" w:fill="FFFFFF"/>
          <w:lang w:val="zh-CN"/>
        </w:rPr>
        <w:t>个，涉及预算总金额</w:t>
      </w:r>
      <w:r>
        <w:rPr>
          <w:rFonts w:hint="eastAsia" w:ascii="Times New Roman" w:hAnsi="Times New Roman" w:eastAsia="仿宋_GB2312" w:cs="Times New Roman"/>
          <w:color w:val="000000"/>
          <w:kern w:val="0"/>
          <w:sz w:val="32"/>
          <w:szCs w:val="32"/>
          <w:shd w:val="clear" w:color="auto" w:fill="FFFFFF"/>
          <w:lang w:val="en-US" w:eastAsia="zh-CN"/>
        </w:rPr>
        <w:t>43.51</w:t>
      </w:r>
      <w:r>
        <w:rPr>
          <w:rFonts w:ascii="Times New Roman" w:hAnsi="Times New Roman" w:eastAsia="仿宋_GB2312" w:cs="Times New Roman"/>
          <w:color w:val="000000"/>
          <w:kern w:val="0"/>
          <w:sz w:val="32"/>
          <w:szCs w:val="32"/>
          <w:shd w:val="clear" w:color="auto" w:fill="FFFFFF"/>
          <w:lang w:val="zh-CN"/>
        </w:rPr>
        <w:t>万元，1</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1</w:t>
      </w:r>
      <w:r>
        <w:rPr>
          <w:rFonts w:ascii="Times New Roman" w:hAnsi="Times New Roman" w:eastAsia="仿宋_GB2312" w:cs="Times New Roman"/>
          <w:color w:val="000000"/>
          <w:kern w:val="0"/>
          <w:sz w:val="32"/>
          <w:szCs w:val="32"/>
          <w:shd w:val="clear" w:color="auto" w:fill="FFFFFF"/>
        </w:rPr>
        <w:t>2</w:t>
      </w:r>
      <w:r>
        <w:rPr>
          <w:rFonts w:ascii="Times New Roman" w:hAnsi="Times New Roman" w:eastAsia="仿宋_GB2312" w:cs="Times New Roman"/>
          <w:color w:val="000000"/>
          <w:kern w:val="0"/>
          <w:sz w:val="32"/>
          <w:szCs w:val="32"/>
          <w:shd w:val="clear" w:color="auto" w:fill="FFFFFF"/>
          <w:lang w:val="zh-CN"/>
        </w:rPr>
        <w:t>月预算执行总体进度为</w:t>
      </w:r>
      <w:r>
        <w:rPr>
          <w:rFonts w:hint="eastAsia" w:ascii="Times New Roman" w:hAnsi="Times New Roman" w:eastAsia="仿宋_GB2312" w:cs="Times New Roman"/>
          <w:color w:val="000000"/>
          <w:kern w:val="0"/>
          <w:sz w:val="32"/>
          <w:szCs w:val="32"/>
          <w:shd w:val="clear" w:color="auto" w:fill="FFFFFF"/>
          <w:lang w:val="en-US" w:eastAsia="zh-CN"/>
        </w:rPr>
        <w:t>100</w:t>
      </w:r>
      <w:r>
        <w:rPr>
          <w:rFonts w:ascii="Times New Roman" w:hAnsi="Times New Roman" w:eastAsia="仿宋_GB2312" w:cs="Times New Roman"/>
          <w:color w:val="000000"/>
          <w:kern w:val="0"/>
          <w:sz w:val="32"/>
          <w:szCs w:val="32"/>
          <w:shd w:val="clear" w:color="auto" w:fill="FFFFFF"/>
          <w:lang w:val="zh-CN"/>
        </w:rPr>
        <w:t>%，其中：预算结余率大于</w:t>
      </w:r>
      <w:r>
        <w:rPr>
          <w:rFonts w:ascii="Times New Roman" w:hAnsi="Times New Roman" w:eastAsia="仿宋_GB2312" w:cs="Times New Roman"/>
          <w:color w:val="000000"/>
          <w:kern w:val="0"/>
          <w:sz w:val="32"/>
          <w:szCs w:val="32"/>
          <w:shd w:val="clear" w:color="auto" w:fill="FFFFFF"/>
        </w:rPr>
        <w:t>10%</w:t>
      </w:r>
      <w:r>
        <w:rPr>
          <w:rFonts w:ascii="Times New Roman" w:hAnsi="Times New Roman" w:eastAsia="仿宋_GB2312" w:cs="Times New Roman"/>
          <w:color w:val="000000"/>
          <w:kern w:val="0"/>
          <w:sz w:val="32"/>
          <w:szCs w:val="32"/>
          <w:shd w:val="clear" w:color="auto" w:fill="FFFFFF"/>
          <w:lang w:val="zh-CN"/>
        </w:rPr>
        <w:t>的项目共计</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个。</w:t>
      </w:r>
    </w:p>
    <w:p w14:paraId="5745332D">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楷体_GB2312" w:cs="Times New Roman"/>
          <w:color w:val="000000"/>
          <w:kern w:val="0"/>
          <w:sz w:val="32"/>
          <w:szCs w:val="32"/>
          <w:shd w:val="clear" w:color="auto" w:fill="FFFFFF"/>
          <w:lang w:val="en-US" w:eastAsia="zh-CN"/>
        </w:rPr>
        <w:t>1.</w:t>
      </w:r>
      <w:r>
        <w:rPr>
          <w:rFonts w:ascii="Times New Roman" w:hAnsi="Times New Roman" w:eastAsia="楷体_GB2312" w:cs="Times New Roman"/>
          <w:color w:val="000000"/>
          <w:kern w:val="0"/>
          <w:sz w:val="32"/>
          <w:szCs w:val="32"/>
          <w:shd w:val="clear" w:color="auto" w:fill="FFFFFF"/>
          <w:lang w:val="zh-CN"/>
        </w:rPr>
        <w:t>项目决策。</w:t>
      </w:r>
    </w:p>
    <w:p w14:paraId="40850A59">
      <w:pPr>
        <w:numPr>
          <w:ilvl w:val="0"/>
          <w:numId w:val="0"/>
        </w:numPr>
        <w:adjustRightInd w:val="0"/>
        <w:snapToGrid w:val="0"/>
        <w:spacing w:line="578" w:lineRule="exact"/>
        <w:ind w:firstLine="640" w:firstLineChars="200"/>
        <w:contextualSpacing/>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年部门预算批复的规定，</w:t>
      </w:r>
      <w:r>
        <w:rPr>
          <w:rFonts w:hint="eastAsia" w:ascii="Times New Roman" w:hAnsi="Times New Roman" w:eastAsia="仿宋_GB2312" w:cs="Times New Roman"/>
          <w:sz w:val="32"/>
          <w:szCs w:val="32"/>
          <w:lang w:eastAsia="zh-CN"/>
        </w:rPr>
        <w:t>攀枝花市自然资源和规划局东区分局</w:t>
      </w:r>
      <w:r>
        <w:rPr>
          <w:rFonts w:hint="default" w:ascii="Times New Roman" w:hAnsi="Times New Roman" w:eastAsia="仿宋_GB2312" w:cs="Times New Roman"/>
          <w:sz w:val="32"/>
          <w:szCs w:val="32"/>
        </w:rPr>
        <w:t>对项目的目标进行设置，各项指标设置完整细化，合理合规进行项目入库。</w:t>
      </w:r>
    </w:p>
    <w:p w14:paraId="259083F2">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楷体_GB2312" w:cs="Times New Roman"/>
          <w:color w:val="000000"/>
          <w:kern w:val="0"/>
          <w:sz w:val="32"/>
          <w:szCs w:val="32"/>
          <w:shd w:val="clear" w:color="auto" w:fill="FFFFFF"/>
          <w:lang w:val="en-US" w:eastAsia="zh-CN"/>
        </w:rPr>
        <w:t>2.</w:t>
      </w:r>
      <w:r>
        <w:rPr>
          <w:rFonts w:ascii="Times New Roman" w:hAnsi="Times New Roman" w:eastAsia="楷体_GB2312" w:cs="Times New Roman"/>
          <w:color w:val="000000"/>
          <w:kern w:val="0"/>
          <w:sz w:val="32"/>
          <w:szCs w:val="32"/>
          <w:shd w:val="clear" w:color="auto" w:fill="FFFFFF"/>
        </w:rPr>
        <w:t>项目执行</w:t>
      </w:r>
      <w:r>
        <w:rPr>
          <w:rFonts w:ascii="Times New Roman" w:hAnsi="Times New Roman" w:eastAsia="楷体_GB2312" w:cs="Times New Roman"/>
          <w:color w:val="000000"/>
          <w:kern w:val="0"/>
          <w:sz w:val="32"/>
          <w:szCs w:val="32"/>
          <w:shd w:val="clear" w:color="auto" w:fill="FFFFFF"/>
          <w:lang w:val="zh-CN"/>
        </w:rPr>
        <w:t>。</w:t>
      </w:r>
    </w:p>
    <w:p w14:paraId="02EDDF3C">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仿宋_GB2312" w:cs="Times New Roman"/>
          <w:sz w:val="32"/>
          <w:szCs w:val="32"/>
          <w:lang w:eastAsia="zh-CN"/>
        </w:rPr>
        <w:t>攀枝花市自然资源和规划局东区分局</w:t>
      </w:r>
      <w:r>
        <w:rPr>
          <w:rFonts w:hint="default" w:ascii="Times New Roman" w:hAnsi="Times New Roman" w:eastAsia="仿宋_GB2312" w:cs="Times New Roman"/>
          <w:sz w:val="32"/>
          <w:szCs w:val="32"/>
        </w:rPr>
        <w:t>遵循“先有预算、后有支出”的原则，结合单位年度工作任务，严格按照批复的预算项目、科目和金额，科学合理规范使用项目经费，年度无预算项目调整情况，项目预算执行进度进展良好，无违规记录，各项经费的开支范围均以预算批复数为基准</w:t>
      </w:r>
      <w:r>
        <w:rPr>
          <w:rFonts w:hint="eastAsia" w:ascii="Times New Roman" w:hAnsi="Times New Roman" w:eastAsia="仿宋_GB2312" w:cs="Times New Roman"/>
          <w:sz w:val="32"/>
          <w:szCs w:val="32"/>
          <w:lang w:eastAsia="zh-CN"/>
        </w:rPr>
        <w:t>。</w:t>
      </w:r>
    </w:p>
    <w:p w14:paraId="6985A750">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楷体_GB2312" w:cs="Times New Roman"/>
          <w:color w:val="000000"/>
          <w:kern w:val="0"/>
          <w:sz w:val="32"/>
          <w:szCs w:val="32"/>
          <w:shd w:val="clear" w:color="auto" w:fill="FFFFFF"/>
          <w:lang w:val="en-US" w:eastAsia="zh-CN"/>
        </w:rPr>
        <w:t>3.</w:t>
      </w:r>
      <w:r>
        <w:rPr>
          <w:rFonts w:ascii="Times New Roman" w:hAnsi="Times New Roman" w:eastAsia="楷体_GB2312" w:cs="Times New Roman"/>
          <w:color w:val="000000"/>
          <w:kern w:val="0"/>
          <w:sz w:val="32"/>
          <w:szCs w:val="32"/>
          <w:shd w:val="clear" w:color="auto" w:fill="FFFFFF"/>
          <w:lang w:val="zh-CN"/>
        </w:rPr>
        <w:t>目标实现。</w:t>
      </w:r>
    </w:p>
    <w:p w14:paraId="62543DAE">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eastAsia" w:ascii="宋体" w:hAnsi="Courier New" w:eastAsia="宋体" w:cs="Times New Roman"/>
          <w:color w:val="000000"/>
          <w:kern w:val="0"/>
          <w:sz w:val="32"/>
          <w:szCs w:val="32"/>
          <w:shd w:val="clear" w:color="auto" w:fill="FFFFFF"/>
          <w:lang w:val="zh-CN" w:eastAsia="zh-CN" w:bidi="ar-SA"/>
        </w:rPr>
        <w:t>（</w:t>
      </w:r>
      <w:r>
        <w:rPr>
          <w:rFonts w:hint="eastAsia" w:ascii="宋体" w:hAnsi="Courier New" w:eastAsia="宋体" w:cs="Times New Roman"/>
          <w:color w:val="000000"/>
          <w:kern w:val="0"/>
          <w:sz w:val="32"/>
          <w:szCs w:val="32"/>
          <w:shd w:val="clear" w:color="auto" w:fill="FFFFFF"/>
          <w:lang w:val="en-US" w:eastAsia="zh-CN" w:bidi="ar-SA"/>
        </w:rPr>
        <w:t>1）</w:t>
      </w:r>
      <w:r>
        <w:rPr>
          <w:rFonts w:hint="default" w:ascii="Times New Roman" w:hAnsi="Times New Roman" w:eastAsia="仿宋_GB2312" w:cs="Times New Roman"/>
          <w:kern w:val="2"/>
          <w:sz w:val="32"/>
          <w:szCs w:val="32"/>
          <w:lang w:val="en-US" w:eastAsia="zh-CN" w:bidi="ar-SA"/>
        </w:rPr>
        <w:t>完成攀枝花市东区东林巷东侧崩塌治理，成功实现“地质灾害治理+”，有效保护人民群众生命财产安全</w:t>
      </w:r>
      <w:r>
        <w:rPr>
          <w:rFonts w:hint="eastAsia" w:ascii="Times New Roman" w:hAnsi="Times New Roman" w:eastAsia="仿宋_GB2312" w:cs="Times New Roman"/>
          <w:kern w:val="2"/>
          <w:sz w:val="32"/>
          <w:szCs w:val="32"/>
          <w:lang w:val="en-US" w:eastAsia="zh-CN" w:bidi="ar-SA"/>
        </w:rPr>
        <w:t>，实施区域受益人群满意度达到95%。</w:t>
      </w:r>
    </w:p>
    <w:p w14:paraId="4D81E5BF">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（2）监测点人员通过对隐患点每月不低于30次的巡查</w:t>
      </w:r>
      <w:r>
        <w:rPr>
          <w:rFonts w:hint="eastAsia"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确保安全防范措施得到有效实施。这种高频次的巡查有助于及时发现和处理安全隐患，防止事故的发生，保障人民群众的生命财产安全，群众满意度超过75%。</w:t>
      </w:r>
    </w:p>
    <w:p w14:paraId="2DF4C04D">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（3）2025年清理拖欠企业欠款（市级50万以内），偿还拖欠服务类项目2个，有效</w:t>
      </w:r>
      <w:r>
        <w:rPr>
          <w:rFonts w:hint="default" w:ascii="Times New Roman" w:hAnsi="Times New Roman" w:eastAsia="仿宋_GB2312" w:cs="Times New Roman"/>
          <w:kern w:val="2"/>
          <w:sz w:val="32"/>
          <w:szCs w:val="32"/>
          <w:lang w:val="en-US" w:eastAsia="zh-CN" w:bidi="ar-SA"/>
        </w:rPr>
        <w:t>维护企业合法权益，确保社会稳定</w:t>
      </w:r>
      <w:r>
        <w:rPr>
          <w:rFonts w:hint="eastAsia" w:ascii="Times New Roman" w:hAnsi="Times New Roman" w:eastAsia="仿宋_GB2312" w:cs="Times New Roman"/>
          <w:kern w:val="2"/>
          <w:sz w:val="32"/>
          <w:szCs w:val="32"/>
          <w:lang w:val="en-US" w:eastAsia="zh-CN" w:bidi="ar-SA"/>
        </w:rPr>
        <w:t>，企业满意度提升达到90%。</w:t>
      </w:r>
    </w:p>
    <w:p w14:paraId="5808FC84">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（4）通过</w:t>
      </w:r>
      <w:r>
        <w:rPr>
          <w:rFonts w:hint="default" w:ascii="Times New Roman" w:hAnsi="Times New Roman" w:eastAsia="仿宋_GB2312" w:cs="Times New Roman"/>
          <w:kern w:val="2"/>
          <w:sz w:val="32"/>
          <w:szCs w:val="32"/>
          <w:lang w:val="en-US" w:eastAsia="zh-CN" w:bidi="ar-SA"/>
        </w:rPr>
        <w:t>专项地质灾害隐患排查，</w:t>
      </w:r>
      <w:r>
        <w:rPr>
          <w:rFonts w:hint="eastAsia" w:ascii="Times New Roman" w:hAnsi="Times New Roman" w:eastAsia="仿宋_GB2312" w:cs="Times New Roman"/>
          <w:kern w:val="2"/>
          <w:sz w:val="32"/>
          <w:szCs w:val="32"/>
          <w:lang w:val="en-US" w:eastAsia="zh-CN" w:bidi="ar-SA"/>
        </w:rPr>
        <w:t>2025年排查3个隐患点，排查隐患点完工率为100%，项目实施后保护资产5000.00万元，保护人民群众220人，群众满意度提升达到90%。</w:t>
      </w:r>
    </w:p>
    <w:p w14:paraId="7A6D69BD">
      <w:pPr>
        <w:spacing w:line="578"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4.</w:t>
      </w:r>
      <w:r>
        <w:rPr>
          <w:rFonts w:hint="eastAsia" w:ascii="Times New Roman" w:hAnsi="Times New Roman" w:eastAsia="仿宋_GB2312" w:cs="Times New Roman"/>
          <w:sz w:val="32"/>
          <w:szCs w:val="32"/>
        </w:rPr>
        <w:t>市级</w:t>
      </w:r>
      <w:r>
        <w:rPr>
          <w:rFonts w:ascii="Times New Roman" w:hAnsi="Times New Roman" w:eastAsia="仿宋_GB2312" w:cs="Times New Roman"/>
          <w:sz w:val="32"/>
          <w:szCs w:val="32"/>
        </w:rPr>
        <w:t>部门</w:t>
      </w:r>
      <w:r>
        <w:rPr>
          <w:rFonts w:hint="eastAsia" w:ascii="Times New Roman" w:hAnsi="Times New Roman" w:eastAsia="仿宋_GB2312" w:cs="Times New Roman"/>
          <w:sz w:val="32"/>
          <w:szCs w:val="32"/>
        </w:rPr>
        <w:t>对</w:t>
      </w:r>
      <w:r>
        <w:rPr>
          <w:rFonts w:ascii="Times New Roman" w:hAnsi="Times New Roman" w:eastAsia="仿宋_GB2312" w:cs="Times New Roman"/>
          <w:sz w:val="32"/>
          <w:szCs w:val="32"/>
        </w:rPr>
        <w:t>2025年度一般公共预算、政府性基金预算、国有资本经营预算安排的常年项目、阶段项目绩效目标完成情况</w:t>
      </w:r>
      <w:r>
        <w:rPr>
          <w:rFonts w:hint="eastAsia" w:ascii="Times New Roman" w:hAnsi="Times New Roman" w:eastAsia="仿宋_GB2312" w:cs="Times New Roman"/>
          <w:sz w:val="32"/>
          <w:szCs w:val="32"/>
        </w:rPr>
        <w:t>，以及</w:t>
      </w:r>
      <w:r>
        <w:rPr>
          <w:rFonts w:ascii="Times New Roman" w:hAnsi="Times New Roman" w:eastAsia="仿宋_GB2312" w:cs="Times New Roman"/>
          <w:sz w:val="32"/>
          <w:szCs w:val="32"/>
        </w:rPr>
        <w:t>债券资金、政府购买服务</w:t>
      </w:r>
      <w:r>
        <w:rPr>
          <w:rFonts w:hint="eastAsia" w:ascii="Times New Roman" w:hAnsi="Times New Roman" w:eastAsia="仿宋_GB2312" w:cs="Times New Roman"/>
          <w:sz w:val="32"/>
          <w:szCs w:val="32"/>
        </w:rPr>
        <w:t>有关情况</w:t>
      </w:r>
      <w:r>
        <w:rPr>
          <w:rFonts w:ascii="Times New Roman" w:hAnsi="Times New Roman" w:eastAsia="仿宋_GB2312" w:cs="Times New Roman"/>
          <w:sz w:val="32"/>
          <w:szCs w:val="32"/>
        </w:rPr>
        <w:t>进行梳理阐述。</w:t>
      </w:r>
    </w:p>
    <w:p w14:paraId="502D3684">
      <w:pPr>
        <w:widowControl w:val="0"/>
        <w:snapToGrid w:val="0"/>
        <w:ind w:firstLine="640" w:firstLineChars="200"/>
        <w:jc w:val="left"/>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无。</w:t>
      </w:r>
    </w:p>
    <w:p w14:paraId="6DB0E6A8">
      <w:pPr>
        <w:snapToGrid w:val="0"/>
        <w:spacing w:line="600" w:lineRule="exact"/>
        <w:ind w:firstLine="643" w:firstLineChars="200"/>
        <w:rPr>
          <w:rFonts w:ascii="Times New Roman" w:hAnsi="Times New Roman" w:eastAsia="仿宋_GB2312" w:cs="Times New Roman"/>
          <w:b/>
          <w:sz w:val="32"/>
          <w:szCs w:val="32"/>
        </w:rPr>
      </w:pPr>
      <w:r>
        <w:rPr>
          <w:rFonts w:ascii="Times New Roman" w:hAnsi="Times New Roman" w:eastAsia="楷体_GB2312" w:cs="Times New Roman"/>
          <w:b/>
          <w:bCs/>
          <w:color w:val="000000"/>
          <w:kern w:val="0"/>
          <w:sz w:val="32"/>
          <w:szCs w:val="32"/>
          <w:shd w:val="clear" w:color="auto" w:fill="FFFFFF"/>
          <w:lang w:val="zh-CN"/>
        </w:rPr>
        <w:t>（三）</w:t>
      </w:r>
      <w:r>
        <w:rPr>
          <w:rFonts w:ascii="Times New Roman" w:hAnsi="Times New Roman" w:eastAsia="楷体_GB2312" w:cs="Times New Roman"/>
          <w:b/>
          <w:bCs/>
          <w:sz w:val="32"/>
          <w:szCs w:val="32"/>
          <w:lang w:val="zh-CN"/>
        </w:rPr>
        <w:t>绩效结果应用情况。</w:t>
      </w:r>
      <w:r>
        <w:rPr>
          <w:rFonts w:hint="eastAsia" w:ascii="Times New Roman" w:hAnsi="Times New Roman" w:eastAsia="仿宋_GB2312" w:cs="Times New Roman"/>
          <w:sz w:val="32"/>
          <w:szCs w:val="32"/>
          <w:lang w:eastAsia="zh-CN"/>
        </w:rPr>
        <w:t>攀枝花市自然资源和规划局东区分局</w:t>
      </w:r>
      <w:r>
        <w:rPr>
          <w:rFonts w:hint="default" w:ascii="Times New Roman" w:hAnsi="Times New Roman" w:eastAsia="仿宋_GB2312" w:cs="Times New Roman"/>
          <w:sz w:val="32"/>
          <w:szCs w:val="32"/>
        </w:rPr>
        <w:t>预算报送及时合规、财务核算较为规范、内控制度建设较完善，及时进行了绩效目标公开和自评公开，评价结果整改到位，应用结果反馈及时，较好地完成了各项目标任务。</w:t>
      </w:r>
    </w:p>
    <w:p w14:paraId="0E233706">
      <w:pPr>
        <w:widowControl w:val="0"/>
        <w:spacing w:line="600" w:lineRule="exact"/>
        <w:ind w:firstLine="640" w:firstLineChars="200"/>
        <w:jc w:val="both"/>
        <w:rPr>
          <w:rFonts w:ascii="宋体" w:hAnsi="Courier New" w:eastAsia="黑体" w:cs="Times New Roman"/>
          <w:color w:val="000000"/>
          <w:kern w:val="0"/>
          <w:sz w:val="32"/>
          <w:szCs w:val="32"/>
          <w:shd w:val="clear" w:color="auto" w:fill="FFFFFF"/>
          <w:lang w:val="en-US" w:eastAsia="zh-CN" w:bidi="ar-SA"/>
        </w:rPr>
      </w:pPr>
      <w:r>
        <w:rPr>
          <w:rFonts w:hint="eastAsia" w:ascii="Times New Roman" w:hAnsi="Times New Roman" w:eastAsia="仿宋_GB2312" w:cs="Times New Roman"/>
          <w:kern w:val="2"/>
          <w:sz w:val="32"/>
          <w:szCs w:val="32"/>
          <w:lang w:val="en-US" w:eastAsia="zh-CN" w:bidi="ar-SA"/>
        </w:rPr>
        <w:t>攀枝花市自然资源和规划局东区分局</w:t>
      </w:r>
      <w:r>
        <w:rPr>
          <w:rFonts w:hint="default" w:ascii="Times New Roman" w:hAnsi="Times New Roman" w:eastAsia="仿宋_GB2312" w:cs="Times New Roman"/>
          <w:kern w:val="2"/>
          <w:sz w:val="32"/>
          <w:szCs w:val="32"/>
          <w:lang w:val="en-US" w:eastAsia="zh-CN" w:bidi="ar-SA"/>
        </w:rPr>
        <w:t>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年整体支出自评效果良好，整体自评得分良好。</w:t>
      </w:r>
    </w:p>
    <w:p w14:paraId="5AC5B668">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四、评价结论及建议</w:t>
      </w:r>
    </w:p>
    <w:p w14:paraId="7C4DBFF0">
      <w:pPr>
        <w:widowControl w:val="0"/>
        <w:spacing w:line="600" w:lineRule="exact"/>
        <w:ind w:firstLine="643" w:firstLineChars="200"/>
        <w:jc w:val="both"/>
        <w:rPr>
          <w:rFonts w:ascii="宋体" w:hAnsi="Courier New" w:eastAsia="楷体_GB2312" w:cs="Times New Roman"/>
          <w:b/>
          <w:bCs/>
          <w:color w:val="000000"/>
          <w:kern w:val="0"/>
          <w:sz w:val="32"/>
          <w:szCs w:val="32"/>
          <w:shd w:val="clear" w:color="auto" w:fill="FFFFFF"/>
          <w:lang w:val="zh-CN" w:eastAsia="zh-CN" w:bidi="ar-SA"/>
        </w:rPr>
      </w:pPr>
      <w:r>
        <w:rPr>
          <w:rFonts w:ascii="宋体" w:hAnsi="Courier New" w:eastAsia="楷体_GB2312" w:cs="Times New Roman"/>
          <w:b/>
          <w:bCs/>
          <w:color w:val="000000"/>
          <w:kern w:val="0"/>
          <w:sz w:val="32"/>
          <w:szCs w:val="32"/>
          <w:shd w:val="clear" w:color="auto" w:fill="FFFFFF"/>
          <w:lang w:val="zh-CN" w:eastAsia="zh-CN" w:bidi="ar-SA"/>
        </w:rPr>
        <w:t>（一）评价结论。</w:t>
      </w:r>
    </w:p>
    <w:p w14:paraId="78FE7907">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攀枝花市自然资源和规划局东区分局</w:t>
      </w:r>
      <w:r>
        <w:rPr>
          <w:rFonts w:hint="default" w:ascii="Times New Roman" w:hAnsi="Times New Roman" w:eastAsia="仿宋_GB2312" w:cs="Times New Roman"/>
          <w:kern w:val="2"/>
          <w:sz w:val="32"/>
          <w:szCs w:val="32"/>
          <w:lang w:val="en-US" w:eastAsia="zh-CN" w:bidi="ar-SA"/>
        </w:rPr>
        <w:t>能充分管理好、使用好财政资金，充分发挥资金的效益，保障分局正常运转，能依法履行自然资源和规划职责，保障重点项目用地，维护社会稳定，促</w:t>
      </w:r>
      <w:r>
        <w:rPr>
          <w:rFonts w:hint="eastAsia" w:ascii="Times New Roman" w:hAnsi="Times New Roman" w:eastAsia="仿宋_GB2312" w:cs="Times New Roman"/>
          <w:kern w:val="2"/>
          <w:sz w:val="32"/>
          <w:szCs w:val="32"/>
          <w:lang w:val="en-US" w:eastAsia="zh-CN" w:bidi="ar-SA"/>
        </w:rPr>
        <w:t>进</w:t>
      </w:r>
      <w:r>
        <w:rPr>
          <w:rFonts w:hint="default" w:ascii="Times New Roman" w:hAnsi="Times New Roman" w:eastAsia="仿宋_GB2312" w:cs="Times New Roman"/>
          <w:kern w:val="2"/>
          <w:sz w:val="32"/>
          <w:szCs w:val="32"/>
          <w:lang w:val="en-US" w:eastAsia="zh-CN" w:bidi="ar-SA"/>
        </w:rPr>
        <w:t>地方经济发展，保障群众生命财产安全，保护长江沿岸生态环境，改善人居环境</w:t>
      </w:r>
      <w:r>
        <w:rPr>
          <w:rFonts w:hint="eastAsia" w:ascii="Times New Roman" w:hAnsi="Times New Roman" w:eastAsia="仿宋_GB2312" w:cs="Times New Roman"/>
          <w:kern w:val="2"/>
          <w:sz w:val="32"/>
          <w:szCs w:val="32"/>
          <w:lang w:val="en-US" w:eastAsia="zh-CN" w:bidi="ar-SA"/>
        </w:rPr>
        <w:t>。</w:t>
      </w:r>
    </w:p>
    <w:p w14:paraId="2F486487">
      <w:pPr>
        <w:widowControl/>
        <w:numPr>
          <w:ilvl w:val="0"/>
          <w:numId w:val="9"/>
        </w:numPr>
        <w:adjustRightInd w:val="0"/>
        <w:snapToGrid w:val="0"/>
        <w:spacing w:line="578" w:lineRule="exact"/>
        <w:ind w:firstLine="643" w:firstLineChars="200"/>
        <w:contextualSpacing/>
        <w:jc w:val="left"/>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存在问题。</w:t>
      </w:r>
    </w:p>
    <w:p w14:paraId="0FC6A29E">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1.绩效管理的整体性上还有差距，管理体系需进一步健全。</w:t>
      </w:r>
    </w:p>
    <w:p w14:paraId="7C3D661D">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2.绩效目标设定的科学性、时效性有待加强。</w:t>
      </w:r>
    </w:p>
    <w:p w14:paraId="5BD91B10">
      <w:pPr>
        <w:widowControl w:val="0"/>
        <w:spacing w:line="600" w:lineRule="exact"/>
        <w:ind w:firstLine="640" w:firstLineChars="200"/>
        <w:jc w:val="both"/>
        <w:rPr>
          <w:rFonts w:ascii="宋体" w:hAnsi="Courier New" w:eastAsia="楷体_GB2312" w:cs="Times New Roman"/>
          <w:b/>
          <w:bCs/>
          <w:color w:val="000000"/>
          <w:kern w:val="0"/>
          <w:sz w:val="32"/>
          <w:szCs w:val="32"/>
          <w:shd w:val="clear" w:color="auto" w:fill="FFFFFF"/>
          <w:lang w:val="en-US" w:eastAsia="zh-CN" w:bidi="ar-SA"/>
        </w:rPr>
      </w:pPr>
      <w:r>
        <w:rPr>
          <w:rFonts w:hint="eastAsia" w:ascii="Times New Roman" w:hAnsi="Times New Roman" w:eastAsia="仿宋_GB2312" w:cs="Times New Roman"/>
          <w:kern w:val="2"/>
          <w:sz w:val="32"/>
          <w:szCs w:val="32"/>
          <w:lang w:val="en-US" w:eastAsia="zh-CN" w:bidi="ar-SA"/>
        </w:rPr>
        <w:t>3.因资金拨付情况及工作开展情况，导致个别项目在一定程度上存在支出进度慢的现象。</w:t>
      </w:r>
    </w:p>
    <w:p w14:paraId="1A98665D">
      <w:pPr>
        <w:widowControl/>
        <w:adjustRightInd w:val="0"/>
        <w:snapToGrid w:val="0"/>
        <w:spacing w:line="578" w:lineRule="exact"/>
        <w:ind w:firstLine="643" w:firstLineChars="200"/>
        <w:contextualSpacing/>
        <w:jc w:val="left"/>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（三）改进建议。</w:t>
      </w:r>
    </w:p>
    <w:p w14:paraId="71159332">
      <w:pPr>
        <w:widowControl/>
        <w:adjustRightInd w:val="0"/>
        <w:snapToGrid w:val="0"/>
        <w:spacing w:line="578" w:lineRule="exact"/>
        <w:ind w:firstLine="643" w:firstLineChars="200"/>
        <w:contextualSpacing/>
        <w:jc w:val="left"/>
        <w:rPr>
          <w:rFonts w:ascii="Times New Roman" w:hAnsi="Times New Roman" w:eastAsia="仿宋_GB2312" w:cs="Times New Roman"/>
          <w:kern w:val="0"/>
          <w:sz w:val="32"/>
          <w:szCs w:val="32"/>
          <w:lang w:val="en"/>
        </w:rPr>
      </w:pPr>
      <w:r>
        <w:rPr>
          <w:rFonts w:hint="default" w:ascii="Times New Roman" w:hAnsi="Times New Roman" w:eastAsia="仿宋_GB2312" w:cs="Times New Roman"/>
          <w:b/>
          <w:sz w:val="32"/>
          <w:szCs w:val="32"/>
        </w:rPr>
        <w:t>一是</w:t>
      </w:r>
      <w:r>
        <w:rPr>
          <w:rFonts w:hint="default" w:ascii="Times New Roman" w:hAnsi="Times New Roman" w:eastAsia="仿宋_GB2312" w:cs="Times New Roman"/>
          <w:sz w:val="32"/>
          <w:szCs w:val="32"/>
        </w:rPr>
        <w:t>强化年初绩效目标论证，合理科学</w:t>
      </w:r>
      <w:r>
        <w:rPr>
          <w:rFonts w:hint="eastAsia" w:eastAsia="仿宋_GB2312" w:cs="Times New Roman"/>
          <w:sz w:val="32"/>
          <w:szCs w:val="32"/>
          <w:lang w:eastAsia="zh-CN"/>
        </w:rPr>
        <w:t>地</w:t>
      </w:r>
      <w:r>
        <w:rPr>
          <w:rFonts w:hint="default" w:ascii="Times New Roman" w:hAnsi="Times New Roman" w:eastAsia="仿宋_GB2312" w:cs="Times New Roman"/>
          <w:sz w:val="32"/>
          <w:szCs w:val="32"/>
        </w:rPr>
        <w:t>制订绩效目标；</w:t>
      </w:r>
      <w:r>
        <w:rPr>
          <w:rFonts w:hint="default" w:ascii="Times New Roman" w:hAnsi="Times New Roman" w:eastAsia="仿宋_GB2312" w:cs="Times New Roman"/>
          <w:b/>
          <w:sz w:val="32"/>
          <w:szCs w:val="32"/>
        </w:rPr>
        <w:t>二是</w:t>
      </w:r>
      <w:r>
        <w:rPr>
          <w:rFonts w:hint="default" w:ascii="Times New Roman" w:hAnsi="Times New Roman" w:eastAsia="仿宋_GB2312" w:cs="Times New Roman"/>
          <w:sz w:val="32"/>
          <w:szCs w:val="32"/>
        </w:rPr>
        <w:t>加强预算目标的执行，保障年初目标的实现；</w:t>
      </w:r>
      <w:r>
        <w:rPr>
          <w:rFonts w:hint="default" w:ascii="Times New Roman" w:hAnsi="Times New Roman" w:eastAsia="仿宋_GB2312" w:cs="Times New Roman"/>
          <w:b/>
          <w:sz w:val="32"/>
          <w:szCs w:val="32"/>
        </w:rPr>
        <w:t>三是</w:t>
      </w:r>
      <w:r>
        <w:rPr>
          <w:rFonts w:hint="default" w:ascii="Times New Roman" w:hAnsi="Times New Roman" w:eastAsia="仿宋_GB2312" w:cs="Times New Roman"/>
          <w:sz w:val="32"/>
          <w:szCs w:val="32"/>
        </w:rPr>
        <w:t>在目标执行中将年初目标与现实执行情况有机结合，分析研判偏差的原因，修正执行偏差，达到执行结果与年初目标一致。</w:t>
      </w:r>
    </w:p>
    <w:p w14:paraId="06196178">
      <w:pPr>
        <w:spacing w:line="578" w:lineRule="exact"/>
        <w:contextualSpacing/>
        <w:rPr>
          <w:rFonts w:ascii="Times New Roman" w:hAnsi="Times New Roman" w:eastAsia="黑体" w:cs="Times New Roman"/>
          <w:sz w:val="32"/>
          <w:szCs w:val="32"/>
        </w:rPr>
      </w:pPr>
    </w:p>
    <w:p w14:paraId="1324F27C">
      <w:pPr>
        <w:spacing w:line="578" w:lineRule="exact"/>
        <w:ind w:firstLine="1600" w:firstLineChars="500"/>
        <w:rPr>
          <w:rFonts w:ascii="Times New Roman" w:hAnsi="Times New Roman" w:eastAsia="仿宋_GB2312" w:cs="Times New Roman"/>
          <w:sz w:val="32"/>
          <w:szCs w:val="32"/>
        </w:rPr>
      </w:pPr>
    </w:p>
    <w:p w14:paraId="2640EBC4">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r>
        <w:rPr>
          <w:rFonts w:ascii="Times New Roman" w:hAnsi="Times New Roman" w:eastAsia="仿宋_GB2312" w:cs="Times New Roman"/>
          <w:color w:val="000000"/>
          <w:kern w:val="0"/>
          <w:sz w:val="32"/>
          <w:szCs w:val="32"/>
          <w:shd w:val="clear" w:color="auto" w:fill="FFFFFF"/>
        </w:rPr>
        <w:br w:type="page"/>
      </w:r>
    </w:p>
    <w:p w14:paraId="49F54811">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p>
    <w:p w14:paraId="2E15C5E9">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r>
        <w:rPr>
          <w:rFonts w:ascii="Times New Roman" w:hAnsi="Times New Roman" w:eastAsia="方正小标宋简体" w:cs="Times New Roman"/>
          <w:bCs/>
          <w:sz w:val="44"/>
          <w:szCs w:val="44"/>
          <w:shd w:val="clear" w:color="auto" w:fill="FFFFFF"/>
        </w:rPr>
        <w:t>部门预算绩效</w:t>
      </w:r>
      <w:r>
        <w:rPr>
          <w:rFonts w:hint="eastAsia" w:ascii="Times New Roman" w:hAnsi="Times New Roman" w:eastAsia="方正小标宋简体" w:cs="Times New Roman"/>
          <w:bCs/>
          <w:sz w:val="44"/>
          <w:szCs w:val="44"/>
          <w:shd w:val="clear" w:color="auto" w:fill="FFFFFF"/>
        </w:rPr>
        <w:t>自评</w:t>
      </w:r>
      <w:r>
        <w:rPr>
          <w:rFonts w:ascii="Times New Roman" w:hAnsi="Times New Roman" w:eastAsia="方正小标宋简体" w:cs="Times New Roman"/>
          <w:bCs/>
          <w:sz w:val="44"/>
          <w:szCs w:val="44"/>
          <w:shd w:val="clear" w:color="auto" w:fill="FFFFFF"/>
        </w:rPr>
        <w:t>报告</w:t>
      </w:r>
    </w:p>
    <w:p w14:paraId="275BC82B">
      <w:pPr>
        <w:widowControl/>
        <w:spacing w:line="578" w:lineRule="exact"/>
        <w:contextualSpacing/>
        <w:jc w:val="center"/>
        <w:outlineLvl w:val="3"/>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w:t>
      </w:r>
      <w:r>
        <w:rPr>
          <w:rFonts w:hint="eastAsia" w:ascii="Times New Roman" w:hAnsi="Times New Roman" w:eastAsia="仿宋_GB2312" w:cs="Times New Roman"/>
          <w:sz w:val="32"/>
          <w:szCs w:val="32"/>
          <w:shd w:val="clear" w:color="auto" w:fill="FFFFFF"/>
          <w:lang w:val="en-US" w:eastAsia="zh-CN"/>
        </w:rPr>
        <w:t>攀枝花市自然资源和规划局西区分局</w:t>
      </w:r>
      <w:r>
        <w:rPr>
          <w:rFonts w:ascii="Times New Roman" w:hAnsi="Times New Roman" w:eastAsia="仿宋_GB2312" w:cs="Times New Roman"/>
          <w:sz w:val="32"/>
          <w:szCs w:val="32"/>
          <w:shd w:val="clear" w:color="auto" w:fill="FFFFFF"/>
        </w:rPr>
        <w:t>）</w:t>
      </w:r>
    </w:p>
    <w:p w14:paraId="03E7E8C6">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14:paraId="0694B62E">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hint="eastAsia" w:eastAsia="黑体"/>
          <w:color w:val="000000"/>
          <w:kern w:val="0"/>
          <w:sz w:val="32"/>
          <w:szCs w:val="32"/>
          <w:shd w:val="clear" w:color="auto" w:fill="FFFFFF"/>
          <w:lang w:val="zh-CN"/>
        </w:rPr>
        <w:t>一、</w:t>
      </w:r>
      <w:r>
        <w:rPr>
          <w:rFonts w:eastAsia="黑体"/>
          <w:color w:val="000000"/>
          <w:kern w:val="0"/>
          <w:sz w:val="32"/>
          <w:szCs w:val="32"/>
          <w:shd w:val="clear" w:color="auto" w:fill="FFFFFF"/>
          <w:lang w:val="zh-CN"/>
        </w:rPr>
        <w:t>部门（单位）基本情况</w:t>
      </w:r>
    </w:p>
    <w:p w14:paraId="47D40777">
      <w:pPr>
        <w:widowControl/>
        <w:adjustRightInd w:val="0"/>
        <w:snapToGrid w:val="0"/>
        <w:spacing w:line="578" w:lineRule="exact"/>
        <w:ind w:firstLine="643" w:firstLineChars="200"/>
        <w:contextualSpacing/>
        <w:jc w:val="left"/>
        <w:rPr>
          <w:rFonts w:eastAsia="楷体_GB2312" w:cs="楷体_GB2312"/>
          <w:b/>
          <w:sz w:val="32"/>
          <w:szCs w:val="32"/>
          <w:lang w:val="zh-CN"/>
        </w:rPr>
      </w:pPr>
      <w:r>
        <w:rPr>
          <w:rFonts w:hint="eastAsia" w:eastAsia="楷体_GB2312" w:cs="楷体_GB2312"/>
          <w:b/>
          <w:sz w:val="32"/>
          <w:szCs w:val="32"/>
          <w:lang w:val="zh-CN"/>
        </w:rPr>
        <w:t>（一）</w:t>
      </w:r>
      <w:r>
        <w:rPr>
          <w:rFonts w:eastAsia="楷体_GB2312" w:cs="楷体_GB2312"/>
          <w:b/>
          <w:sz w:val="32"/>
          <w:szCs w:val="32"/>
          <w:lang w:val="zh-CN"/>
        </w:rPr>
        <w:t>机构组成。</w:t>
      </w:r>
    </w:p>
    <w:p w14:paraId="671AE117">
      <w:pPr>
        <w:widowControl/>
        <w:adjustRightInd w:val="0"/>
        <w:snapToGrid w:val="0"/>
        <w:spacing w:line="578" w:lineRule="exact"/>
        <w:ind w:firstLine="640" w:firstLineChars="200"/>
        <w:contextualSpacing/>
        <w:jc w:val="left"/>
        <w:rPr>
          <w:szCs w:val="32"/>
        </w:rPr>
      </w:pPr>
      <w:r>
        <w:rPr>
          <w:rFonts w:hint="eastAsia" w:ascii="仿宋_GB2312" w:hAnsi="仿宋" w:eastAsia="仿宋_GB2312"/>
          <w:sz w:val="32"/>
          <w:szCs w:val="32"/>
        </w:rPr>
        <w:t>攀枝花市自然资源和规划局西区分局是市自然资源和规划局的派出机构，主管承担西区土地、矿产资源进行管理与合理利用的工作部门。机构：市自然资源和规划局西区分局内设4个股室，代市局管理西区国土资源所、西区执法监察大队和攀枝花市不动产中心西区分中心。</w:t>
      </w:r>
    </w:p>
    <w:p w14:paraId="11354AA5">
      <w:pPr>
        <w:snapToGrid w:val="0"/>
        <w:spacing w:line="560" w:lineRule="exact"/>
        <w:ind w:firstLine="643" w:firstLineChars="200"/>
        <w:rPr>
          <w:rFonts w:hint="eastAsia" w:eastAsia="楷体_GB2312" w:cs="楷体_GB2312"/>
          <w:b/>
          <w:sz w:val="32"/>
          <w:szCs w:val="32"/>
          <w:lang w:val="zh-CN"/>
        </w:rPr>
      </w:pPr>
      <w:r>
        <w:rPr>
          <w:rFonts w:hint="eastAsia" w:eastAsia="楷体_GB2312" w:cs="楷体_GB2312"/>
          <w:b/>
          <w:sz w:val="32"/>
          <w:szCs w:val="32"/>
          <w:lang w:val="zh-CN"/>
        </w:rPr>
        <w:t>（二）</w:t>
      </w:r>
      <w:r>
        <w:rPr>
          <w:rFonts w:eastAsia="楷体_GB2312" w:cs="楷体_GB2312"/>
          <w:b/>
          <w:sz w:val="32"/>
          <w:szCs w:val="32"/>
          <w:lang w:val="zh-CN"/>
        </w:rPr>
        <w:t>机构职能</w:t>
      </w:r>
      <w:r>
        <w:rPr>
          <w:rFonts w:hint="eastAsia" w:eastAsia="楷体_GB2312" w:cs="楷体_GB2312"/>
          <w:b/>
          <w:sz w:val="32"/>
          <w:szCs w:val="32"/>
          <w:lang w:val="zh-CN"/>
        </w:rPr>
        <w:t>。</w:t>
      </w:r>
    </w:p>
    <w:p w14:paraId="1E4E7BF1">
      <w:pPr>
        <w:snapToGrid w:val="0"/>
        <w:spacing w:line="560" w:lineRule="exact"/>
        <w:ind w:firstLine="640" w:firstLineChars="200"/>
        <w:rPr>
          <w:rFonts w:eastAsia="楷体_GB2312"/>
          <w:b/>
          <w:bCs/>
          <w:color w:val="000000"/>
          <w:kern w:val="0"/>
          <w:szCs w:val="32"/>
          <w:shd w:val="clear" w:color="auto" w:fill="FFFFFF"/>
          <w:lang w:val="zh-CN"/>
        </w:rPr>
      </w:pPr>
      <w:r>
        <w:rPr>
          <w:rFonts w:hint="eastAsia" w:ascii="仿宋_GB2312" w:hAnsi="仿宋" w:eastAsia="仿宋_GB2312"/>
          <w:sz w:val="32"/>
          <w:szCs w:val="32"/>
        </w:rPr>
        <w:t>负责所在行政区域内的自然资源行政管理和规划实施管理工作，具体为</w:t>
      </w:r>
      <w:r>
        <w:rPr>
          <w:rFonts w:eastAsia="仿宋_GB2312"/>
          <w:sz w:val="32"/>
          <w:szCs w:val="32"/>
        </w:rPr>
        <w:t>组织开展国土资源</w:t>
      </w:r>
      <w:r>
        <w:rPr>
          <w:rFonts w:hint="eastAsia" w:eastAsia="仿宋_GB2312"/>
          <w:sz w:val="32"/>
          <w:szCs w:val="32"/>
          <w:lang w:eastAsia="zh-CN"/>
        </w:rPr>
        <w:t>法治宣传教育</w:t>
      </w:r>
      <w:r>
        <w:rPr>
          <w:rFonts w:hint="eastAsia" w:eastAsia="仿宋_GB2312"/>
          <w:sz w:val="32"/>
          <w:szCs w:val="32"/>
        </w:rPr>
        <w:t>；</w:t>
      </w:r>
      <w:r>
        <w:rPr>
          <w:rFonts w:eastAsia="仿宋_GB2312"/>
          <w:sz w:val="32"/>
          <w:szCs w:val="32"/>
        </w:rPr>
        <w:t>负责辖区内矿产资源管理、地质环境保护、地质灾害防治与监管工作</w:t>
      </w:r>
      <w:r>
        <w:rPr>
          <w:rFonts w:hint="eastAsia" w:eastAsia="仿宋_GB2312"/>
          <w:sz w:val="32"/>
          <w:szCs w:val="32"/>
        </w:rPr>
        <w:t>，</w:t>
      </w:r>
      <w:r>
        <w:rPr>
          <w:rFonts w:eastAsia="仿宋_GB2312"/>
          <w:sz w:val="32"/>
          <w:szCs w:val="32"/>
        </w:rPr>
        <w:t>负责权限内采矿权审批登记、发证工作</w:t>
      </w:r>
      <w:r>
        <w:rPr>
          <w:rFonts w:hint="eastAsia" w:eastAsia="仿宋_GB2312"/>
          <w:sz w:val="32"/>
          <w:szCs w:val="32"/>
        </w:rPr>
        <w:t>；</w:t>
      </w:r>
      <w:r>
        <w:rPr>
          <w:rFonts w:eastAsia="仿宋_GB2312"/>
          <w:sz w:val="32"/>
          <w:szCs w:val="32"/>
        </w:rPr>
        <w:t>承担辖区内耕地保护的责任，拟定并组织实施耕地保护、基本农田保护政策，监督占用耕地补偿制度执行情况；受市局委托负责辖区内村民宅基地审批、临时用地审核和农村集体土地所有权、集体建设用地使用权的登记发证。指导辖区内土地征收、土地储备工作</w:t>
      </w:r>
      <w:r>
        <w:rPr>
          <w:rFonts w:hint="eastAsia" w:eastAsia="仿宋_GB2312"/>
          <w:sz w:val="32"/>
          <w:szCs w:val="32"/>
        </w:rPr>
        <w:t>等工作及</w:t>
      </w:r>
      <w:r>
        <w:rPr>
          <w:rFonts w:hint="eastAsia" w:ascii="仿宋_GB2312" w:hAnsi="仿宋" w:eastAsia="仿宋_GB2312"/>
          <w:sz w:val="32"/>
          <w:szCs w:val="32"/>
        </w:rPr>
        <w:t>完成市自然资源和规划局交办的其他任务。</w:t>
      </w:r>
    </w:p>
    <w:p w14:paraId="2D58916C">
      <w:pPr>
        <w:numPr>
          <w:ilvl w:val="0"/>
          <w:numId w:val="10"/>
        </w:numPr>
        <w:snapToGrid w:val="0"/>
        <w:spacing w:line="580" w:lineRule="exact"/>
        <w:ind w:firstLine="643" w:firstLineChars="200"/>
        <w:rPr>
          <w:rFonts w:hint="eastAsia"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人员概况</w:t>
      </w:r>
      <w:r>
        <w:rPr>
          <w:rFonts w:hint="eastAsia" w:eastAsia="楷体_GB2312"/>
          <w:b/>
          <w:bCs/>
          <w:color w:val="000000"/>
          <w:kern w:val="0"/>
          <w:sz w:val="32"/>
          <w:szCs w:val="32"/>
          <w:shd w:val="clear" w:color="auto" w:fill="FFFFFF"/>
          <w:lang w:val="zh-CN"/>
        </w:rPr>
        <w:t>。</w:t>
      </w:r>
    </w:p>
    <w:p w14:paraId="22C21B10">
      <w:pPr>
        <w:snapToGrid w:val="0"/>
        <w:spacing w:line="580" w:lineRule="exact"/>
        <w:ind w:firstLine="640" w:firstLineChars="200"/>
        <w:rPr>
          <w:szCs w:val="32"/>
        </w:rPr>
      </w:pPr>
      <w:r>
        <w:rPr>
          <w:rFonts w:eastAsia="仿宋_GB2312"/>
          <w:sz w:val="32"/>
          <w:szCs w:val="32"/>
        </w:rPr>
        <w:t>攀枝花市自然资源和规划局西区分局机关行政人员</w:t>
      </w:r>
      <w:r>
        <w:rPr>
          <w:rFonts w:hint="eastAsia"/>
          <w:sz w:val="32"/>
          <w:szCs w:val="32"/>
        </w:rPr>
        <w:t>4</w:t>
      </w:r>
      <w:r>
        <w:rPr>
          <w:rFonts w:eastAsia="仿宋_GB2312"/>
          <w:sz w:val="32"/>
          <w:szCs w:val="32"/>
        </w:rPr>
        <w:t>名，机关离退休1人，代市局管理西区格里坪自然资源所，事业编制</w:t>
      </w:r>
      <w:r>
        <w:rPr>
          <w:rFonts w:hint="eastAsia"/>
          <w:sz w:val="32"/>
          <w:szCs w:val="32"/>
        </w:rPr>
        <w:t>2</w:t>
      </w:r>
      <w:r>
        <w:rPr>
          <w:rFonts w:eastAsia="仿宋_GB2312"/>
          <w:sz w:val="32"/>
          <w:szCs w:val="32"/>
        </w:rPr>
        <w:t>人</w:t>
      </w:r>
      <w:r>
        <w:rPr>
          <w:rFonts w:hint="eastAsia"/>
          <w:sz w:val="32"/>
          <w:szCs w:val="32"/>
        </w:rPr>
        <w:t>。</w:t>
      </w:r>
    </w:p>
    <w:p w14:paraId="23AFC4EE">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二、部门资金收支情况</w:t>
      </w:r>
    </w:p>
    <w:p w14:paraId="1EFCB39E">
      <w:pPr>
        <w:widowControl/>
        <w:adjustRightInd w:val="0"/>
        <w:snapToGrid w:val="0"/>
        <w:spacing w:line="578" w:lineRule="exact"/>
        <w:ind w:firstLine="643" w:firstLineChars="200"/>
        <w:contextualSpacing/>
        <w:jc w:val="left"/>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收入情况</w:t>
      </w:r>
      <w:r>
        <w:rPr>
          <w:rFonts w:eastAsia="楷体_GB2312"/>
          <w:b/>
          <w:bCs/>
          <w:color w:val="000000"/>
          <w:kern w:val="0"/>
          <w:sz w:val="32"/>
          <w:szCs w:val="32"/>
          <w:shd w:val="clear" w:color="auto" w:fill="FFFFFF"/>
          <w:lang w:val="zh-CN"/>
        </w:rPr>
        <w:t>。</w:t>
      </w:r>
    </w:p>
    <w:p w14:paraId="01637378">
      <w:pPr>
        <w:widowControl/>
        <w:adjustRightInd w:val="0"/>
        <w:snapToGrid w:val="0"/>
        <w:spacing w:line="578" w:lineRule="exact"/>
        <w:ind w:firstLine="960" w:firstLineChars="300"/>
        <w:contextualSpacing/>
        <w:jc w:val="left"/>
        <w:rPr>
          <w:rFonts w:eastAsia="楷体_GB2312"/>
          <w:b/>
          <w:bCs/>
          <w:color w:val="000000"/>
          <w:kern w:val="0"/>
          <w:szCs w:val="32"/>
          <w:shd w:val="clear" w:color="auto" w:fill="FFFFFF"/>
        </w:rPr>
      </w:pPr>
      <w:r>
        <w:rPr>
          <w:rFonts w:hint="eastAsia" w:eastAsia="仿宋_GB2312"/>
          <w:sz w:val="32"/>
          <w:szCs w:val="32"/>
        </w:rPr>
        <w:t>攀枝花市自然资源和规划局西区分局2025年年初预算收入为128.18万元、决算报表收入为1440.41万元。</w:t>
      </w:r>
    </w:p>
    <w:p w14:paraId="36C3C56F">
      <w:pPr>
        <w:widowControl/>
        <w:numPr>
          <w:ilvl w:val="0"/>
          <w:numId w:val="11"/>
        </w:numPr>
        <w:adjustRightInd w:val="0"/>
        <w:snapToGrid w:val="0"/>
        <w:spacing w:line="578" w:lineRule="exact"/>
        <w:ind w:firstLine="643" w:firstLineChars="200"/>
        <w:contextualSpacing/>
        <w:jc w:val="left"/>
        <w:rPr>
          <w:rFonts w:eastAsia="楷体_GB2312"/>
          <w:b/>
          <w:bCs/>
          <w:color w:val="000000"/>
          <w:kern w:val="0"/>
          <w:sz w:val="32"/>
          <w:szCs w:val="32"/>
          <w:shd w:val="clear" w:color="auto" w:fill="FFFFFF"/>
          <w:lang w:val="zh-CN"/>
        </w:rPr>
      </w:pPr>
      <w:r>
        <w:rPr>
          <w:rFonts w:hint="eastAsia" w:eastAsia="楷体_GB2312"/>
          <w:b/>
          <w:bCs/>
          <w:color w:val="000000"/>
          <w:kern w:val="0"/>
          <w:sz w:val="32"/>
          <w:szCs w:val="32"/>
          <w:shd w:val="clear" w:color="auto" w:fill="FFFFFF"/>
          <w:lang w:val="zh-CN"/>
        </w:rPr>
        <w:t>支出情况</w:t>
      </w:r>
      <w:r>
        <w:rPr>
          <w:rFonts w:eastAsia="楷体_GB2312"/>
          <w:b/>
          <w:bCs/>
          <w:color w:val="000000"/>
          <w:kern w:val="0"/>
          <w:sz w:val="32"/>
          <w:szCs w:val="32"/>
          <w:shd w:val="clear" w:color="auto" w:fill="FFFFFF"/>
          <w:lang w:val="zh-CN"/>
        </w:rPr>
        <w:t>。</w:t>
      </w:r>
    </w:p>
    <w:p w14:paraId="7E3BC7EE">
      <w:pPr>
        <w:widowControl/>
        <w:adjustRightInd w:val="0"/>
        <w:snapToGrid w:val="0"/>
        <w:spacing w:line="578" w:lineRule="exact"/>
        <w:ind w:firstLine="640" w:firstLineChars="200"/>
        <w:contextualSpacing/>
        <w:jc w:val="left"/>
        <w:rPr>
          <w:szCs w:val="32"/>
          <w:lang w:val="zh-CN"/>
        </w:rPr>
      </w:pPr>
      <w:r>
        <w:rPr>
          <w:rFonts w:hint="eastAsia" w:eastAsia="仿宋_GB2312"/>
          <w:sz w:val="32"/>
          <w:szCs w:val="32"/>
        </w:rPr>
        <w:t>攀枝花市自然资源和规划局西区分局2025年年初预算支出为128.18万元、决算报表支出为1440.41万元，主要包括完成的单位人员工资发放及基本运转，攀枝花市西区地质灾害综合能力提升及滑坡、泥石流、危岩、坍塌等治理修复工程。</w:t>
      </w:r>
    </w:p>
    <w:p w14:paraId="35B03551">
      <w:pPr>
        <w:widowControl/>
        <w:numPr>
          <w:ilvl w:val="0"/>
          <w:numId w:val="11"/>
        </w:numPr>
        <w:adjustRightInd w:val="0"/>
        <w:snapToGrid w:val="0"/>
        <w:spacing w:line="578" w:lineRule="exact"/>
        <w:ind w:firstLine="643" w:firstLineChars="200"/>
        <w:contextualSpacing/>
        <w:jc w:val="left"/>
        <w:rPr>
          <w:rFonts w:hint="eastAsia"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结余分配和结转结余情况</w:t>
      </w:r>
      <w:r>
        <w:rPr>
          <w:rFonts w:hint="eastAsia" w:eastAsia="楷体_GB2312"/>
          <w:b/>
          <w:bCs/>
          <w:color w:val="000000"/>
          <w:kern w:val="0"/>
          <w:sz w:val="32"/>
          <w:szCs w:val="32"/>
          <w:shd w:val="clear" w:color="auto" w:fill="FFFFFF"/>
          <w:lang w:val="zh-CN"/>
        </w:rPr>
        <w:t>。</w:t>
      </w:r>
    </w:p>
    <w:p w14:paraId="1AEF7DD3">
      <w:pPr>
        <w:widowControl/>
        <w:adjustRightInd w:val="0"/>
        <w:snapToGrid w:val="0"/>
        <w:spacing w:line="578" w:lineRule="exact"/>
        <w:ind w:firstLine="960" w:firstLineChars="300"/>
        <w:contextualSpacing/>
        <w:jc w:val="left"/>
        <w:rPr>
          <w:rFonts w:eastAsia="仿宋_GB2312"/>
          <w:sz w:val="32"/>
          <w:szCs w:val="32"/>
          <w:lang w:val="zh-CN"/>
        </w:rPr>
      </w:pPr>
      <w:r>
        <w:rPr>
          <w:rFonts w:hint="eastAsia" w:eastAsia="仿宋_GB2312"/>
          <w:sz w:val="32"/>
          <w:szCs w:val="32"/>
        </w:rPr>
        <w:t>攀枝花市自然资源和规划局西区分局2025</w:t>
      </w:r>
      <w:r>
        <w:rPr>
          <w:rFonts w:hint="eastAsia" w:eastAsia="仿宋_GB2312"/>
          <w:sz w:val="32"/>
          <w:szCs w:val="32"/>
          <w:lang w:eastAsia="zh-CN"/>
        </w:rPr>
        <w:t>年度</w:t>
      </w:r>
      <w:r>
        <w:rPr>
          <w:rFonts w:hint="eastAsia" w:eastAsia="仿宋_GB2312"/>
          <w:sz w:val="32"/>
          <w:szCs w:val="32"/>
        </w:rPr>
        <w:t>决算报表无结转结余情况。</w:t>
      </w:r>
    </w:p>
    <w:p w14:paraId="3ECBD789">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三、部门预算绩效分析</w:t>
      </w:r>
    </w:p>
    <w:p w14:paraId="3BACB464">
      <w:pPr>
        <w:adjustRightInd w:val="0"/>
        <w:snapToGrid w:val="0"/>
        <w:spacing w:line="578" w:lineRule="exact"/>
        <w:ind w:firstLine="643" w:firstLineChars="200"/>
        <w:contextualSpacing/>
        <w:jc w:val="left"/>
        <w:rPr>
          <w:rFonts w:eastAsia="仿宋_GB2312" w:cs="仿宋_GB2312"/>
          <w:sz w:val="32"/>
          <w:szCs w:val="32"/>
          <w:lang w:val="zh-CN"/>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部门预算</w:t>
      </w:r>
      <w:r>
        <w:rPr>
          <w:rFonts w:eastAsia="楷体_GB2312"/>
          <w:b/>
          <w:bCs/>
          <w:color w:val="000000"/>
          <w:kern w:val="0"/>
          <w:sz w:val="32"/>
          <w:szCs w:val="32"/>
          <w:shd w:val="clear" w:color="auto" w:fill="FFFFFF"/>
          <w:lang w:val="zh-CN"/>
        </w:rPr>
        <w:t>总体绩效分析。</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总体绩效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，依次包括履职效能、预算管理、财务管理、资产管理、采购管理等情况。</w:t>
      </w:r>
    </w:p>
    <w:p w14:paraId="5FFC492B">
      <w:pPr>
        <w:adjustRightInd w:val="0"/>
        <w:snapToGrid w:val="0"/>
        <w:spacing w:line="578" w:lineRule="exact"/>
        <w:ind w:firstLine="640" w:firstLineChars="200"/>
        <w:contextualSpacing/>
        <w:jc w:val="left"/>
        <w:rPr>
          <w:rFonts w:hint="eastAsia" w:eastAsia="仿宋_GB2312" w:cs="仿宋_GB2312"/>
          <w:sz w:val="32"/>
          <w:szCs w:val="32"/>
          <w:lang w:val="zh-CN"/>
        </w:rPr>
      </w:pPr>
      <w:r>
        <w:rPr>
          <w:rFonts w:hint="eastAsia" w:eastAsia="仿宋_GB2312" w:cs="仿宋_GB2312"/>
          <w:sz w:val="32"/>
          <w:szCs w:val="32"/>
        </w:rPr>
        <w:t>1.</w:t>
      </w:r>
      <w:r>
        <w:rPr>
          <w:rFonts w:hint="eastAsia" w:eastAsia="仿宋_GB2312" w:cs="仿宋_GB2312"/>
          <w:sz w:val="32"/>
          <w:szCs w:val="32"/>
          <w:lang w:val="zh-CN"/>
        </w:rPr>
        <w:t>履职效能。部门整体绩效目标中选定3—5个核心职能目标，对职能目标完成效果情况绩效分析。</w:t>
      </w:r>
    </w:p>
    <w:p w14:paraId="46D86F37">
      <w:pPr>
        <w:pStyle w:val="1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（1）项目年度目标任务严格执行相关政策，保障工资及时发放、足额发放，保障单位日常运转。</w:t>
      </w:r>
    </w:p>
    <w:p w14:paraId="1E8B5F98">
      <w:pPr>
        <w:pStyle w:val="8"/>
        <w:spacing w:line="578" w:lineRule="exact"/>
        <w:ind w:leftChars="0" w:firstLine="640"/>
        <w:rPr>
          <w:rFonts w:hint="eastAsia" w:ascii="Times New Roman" w:eastAsia="仿宋_GB2312"/>
          <w:sz w:val="32"/>
        </w:rPr>
      </w:pPr>
      <w:r>
        <w:rPr>
          <w:rFonts w:ascii="Times New Roman" w:eastAsia="仿宋_GB2312"/>
          <w:sz w:val="32"/>
        </w:rPr>
        <w:t>（</w:t>
      </w:r>
      <w:r>
        <w:rPr>
          <w:rFonts w:hint="eastAsia" w:ascii="Times New Roman" w:eastAsia="仿宋_GB2312"/>
          <w:sz w:val="32"/>
        </w:rPr>
        <w:t>2</w:t>
      </w:r>
      <w:r>
        <w:rPr>
          <w:rFonts w:ascii="Times New Roman" w:eastAsia="仿宋_GB2312"/>
          <w:sz w:val="32"/>
        </w:rPr>
        <w:t>）</w:t>
      </w:r>
      <w:r>
        <w:rPr>
          <w:rFonts w:hint="eastAsia" w:ascii="Times New Roman" w:eastAsia="仿宋_GB2312"/>
          <w:sz w:val="32"/>
        </w:rPr>
        <w:t>单位处理完成任务及时响应，在地灾、耕地保护等方面积极处理工作事宜。</w:t>
      </w:r>
    </w:p>
    <w:p w14:paraId="4DBC6AF5">
      <w:pPr>
        <w:pStyle w:val="8"/>
        <w:spacing w:line="578" w:lineRule="exact"/>
        <w:ind w:leftChars="0" w:firstLine="640"/>
        <w:rPr>
          <w:rFonts w:hint="eastAsia" w:ascii="Times New Roman" w:eastAsia="仿宋_GB2312"/>
          <w:sz w:val="32"/>
          <w:lang w:val="zh-CN"/>
        </w:rPr>
      </w:pPr>
      <w:r>
        <w:rPr>
          <w:rFonts w:ascii="Times New Roman" w:eastAsia="仿宋_GB2312"/>
          <w:sz w:val="32"/>
        </w:rPr>
        <w:t>（</w:t>
      </w:r>
      <w:r>
        <w:rPr>
          <w:rFonts w:hint="eastAsia" w:ascii="Times New Roman" w:eastAsia="仿宋_GB2312"/>
          <w:sz w:val="32"/>
        </w:rPr>
        <w:t>3</w:t>
      </w:r>
      <w:r>
        <w:rPr>
          <w:rFonts w:ascii="Times New Roman" w:eastAsia="仿宋_GB2312"/>
          <w:sz w:val="32"/>
        </w:rPr>
        <w:t>）</w:t>
      </w:r>
      <w:r>
        <w:rPr>
          <w:rFonts w:hint="eastAsia" w:ascii="Times New Roman" w:eastAsia="仿宋_GB2312"/>
          <w:sz w:val="32"/>
        </w:rPr>
        <w:t>单位重点工作按计划开展，保障重点项目支付进度按计划进行。</w:t>
      </w:r>
    </w:p>
    <w:p w14:paraId="7E58B847">
      <w:pPr>
        <w:pStyle w:val="8"/>
        <w:spacing w:line="578" w:lineRule="exact"/>
        <w:ind w:leftChars="0" w:firstLine="640"/>
        <w:rPr>
          <w:rFonts w:ascii="Times New Roman" w:eastAsia="仿宋_GB2312"/>
          <w:sz w:val="32"/>
          <w:lang w:val="zh-CN"/>
        </w:rPr>
      </w:pPr>
      <w:r>
        <w:rPr>
          <w:rFonts w:ascii="Times New Roman" w:eastAsia="仿宋_GB2312"/>
          <w:sz w:val="32"/>
        </w:rPr>
        <w:t>2.</w:t>
      </w:r>
      <w:r>
        <w:rPr>
          <w:rFonts w:ascii="Times New Roman" w:eastAsia="仿宋_GB2312"/>
          <w:sz w:val="32"/>
          <w:lang w:val="zh-CN"/>
        </w:rPr>
        <w:t>预算管理。</w:t>
      </w:r>
    </w:p>
    <w:p w14:paraId="6598CFAB">
      <w:pPr>
        <w:pStyle w:val="8"/>
        <w:spacing w:line="578" w:lineRule="exact"/>
        <w:ind w:leftChars="0" w:firstLine="640"/>
        <w:rPr>
          <w:rFonts w:ascii="Times New Roman" w:eastAsia="仿宋_GB2312"/>
          <w:sz w:val="32"/>
        </w:rPr>
      </w:pPr>
      <w:r>
        <w:rPr>
          <w:rFonts w:ascii="Times New Roman" w:eastAsia="仿宋_GB2312"/>
          <w:sz w:val="32"/>
        </w:rPr>
        <w:t>（1）预算编制：各部门之间沟通协调充分，预算与工作任务相适应。做到程序规范、方法科学、内容完整，项目落实，数据准确。</w:t>
      </w:r>
    </w:p>
    <w:p w14:paraId="000309D0">
      <w:pPr>
        <w:pStyle w:val="8"/>
        <w:spacing w:line="578" w:lineRule="exact"/>
        <w:ind w:leftChars="0" w:firstLine="640"/>
        <w:rPr>
          <w:rFonts w:ascii="Times New Roman" w:eastAsia="仿宋_GB2312"/>
          <w:sz w:val="32"/>
        </w:rPr>
      </w:pPr>
      <w:r>
        <w:rPr>
          <w:rFonts w:ascii="Times New Roman" w:eastAsia="仿宋_GB2312"/>
          <w:sz w:val="32"/>
        </w:rPr>
        <w:t>（2）预算执行：根据批复预算严格安排各项支出、指标细化分解，审批下达，保障基本需求；项目支出与项目进度相协调、严格控制追加调整，充分发挥预算对单位事业发展及经济活动的管控作用。</w:t>
      </w:r>
    </w:p>
    <w:p w14:paraId="4420AE8B">
      <w:pPr>
        <w:pStyle w:val="8"/>
        <w:spacing w:line="578" w:lineRule="exact"/>
        <w:ind w:leftChars="0" w:firstLine="640"/>
        <w:rPr>
          <w:rFonts w:ascii="Times New Roman" w:eastAsia="仿宋_GB2312"/>
          <w:sz w:val="32"/>
        </w:rPr>
      </w:pPr>
      <w:r>
        <w:rPr>
          <w:rFonts w:ascii="Times New Roman" w:eastAsia="仿宋_GB2312"/>
          <w:sz w:val="32"/>
        </w:rPr>
        <w:t>（3）预算年终结余：单位当年无预算年终结余。</w:t>
      </w:r>
    </w:p>
    <w:p w14:paraId="236BA80E">
      <w:pPr>
        <w:pStyle w:val="8"/>
        <w:spacing w:line="578" w:lineRule="exact"/>
        <w:ind w:leftChars="0" w:firstLine="640"/>
        <w:rPr>
          <w:rFonts w:ascii="Times New Roman" w:eastAsia="仿宋_GB2312"/>
          <w:sz w:val="32"/>
          <w:lang w:val="zh-CN"/>
        </w:rPr>
      </w:pPr>
      <w:r>
        <w:rPr>
          <w:rFonts w:ascii="Times New Roman" w:eastAsia="仿宋_GB2312"/>
          <w:sz w:val="32"/>
        </w:rPr>
        <w:t>（4）单位严格按照文件要求严控一般性支出。</w:t>
      </w:r>
      <w:r>
        <w:rPr>
          <w:rFonts w:ascii="Times New Roman" w:eastAsia="仿宋_GB2312"/>
          <w:sz w:val="32"/>
          <w:lang w:val="zh-CN"/>
        </w:rPr>
        <w:t>围绕预算编制质量、单位收入统筹、支出执行进度、预算年终结余、严控一般性支出进行绩效分析。</w:t>
      </w:r>
    </w:p>
    <w:p w14:paraId="3A0ABB42">
      <w:pPr>
        <w:pStyle w:val="8"/>
        <w:spacing w:line="578" w:lineRule="exact"/>
        <w:ind w:leftChars="0" w:firstLine="640"/>
        <w:rPr>
          <w:rFonts w:ascii="Times New Roman" w:eastAsia="仿宋_GB2312"/>
          <w:sz w:val="32"/>
          <w:lang w:val="zh-CN"/>
        </w:rPr>
      </w:pPr>
      <w:r>
        <w:rPr>
          <w:rFonts w:ascii="Times New Roman" w:eastAsia="仿宋_GB2312"/>
          <w:sz w:val="32"/>
        </w:rPr>
        <w:t>3.</w:t>
      </w:r>
      <w:r>
        <w:rPr>
          <w:rFonts w:ascii="Times New Roman" w:eastAsia="仿宋_GB2312"/>
          <w:sz w:val="32"/>
          <w:lang w:val="zh-CN"/>
        </w:rPr>
        <w:t>财务管理。</w:t>
      </w:r>
    </w:p>
    <w:p w14:paraId="529CC641">
      <w:pPr>
        <w:pStyle w:val="8"/>
        <w:spacing w:line="578" w:lineRule="exact"/>
        <w:ind w:leftChars="0" w:firstLine="640"/>
        <w:rPr>
          <w:rFonts w:ascii="Times New Roman" w:eastAsia="仿宋_GB2312"/>
          <w:sz w:val="32"/>
          <w:lang w:val="zh-CN"/>
        </w:rPr>
      </w:pPr>
      <w:r>
        <w:rPr>
          <w:rFonts w:ascii="Times New Roman" w:eastAsia="仿宋_GB2312"/>
          <w:sz w:val="32"/>
        </w:rPr>
        <w:t>单位财务管理制度健全，严格执行财务管理制度，账务处理及时，会计核算规范</w:t>
      </w:r>
      <w:r>
        <w:rPr>
          <w:rFonts w:ascii="Times New Roman" w:eastAsia="仿宋_GB2312"/>
          <w:sz w:val="32"/>
          <w:lang w:val="zh-CN"/>
        </w:rPr>
        <w:t>。</w:t>
      </w:r>
    </w:p>
    <w:p w14:paraId="0DA5B2F0">
      <w:pPr>
        <w:pStyle w:val="8"/>
        <w:spacing w:line="578" w:lineRule="exact"/>
        <w:ind w:leftChars="0" w:firstLine="640"/>
        <w:rPr>
          <w:rFonts w:ascii="Times New Roman" w:eastAsia="仿宋_GB2312"/>
          <w:sz w:val="32"/>
          <w:lang w:val="zh-CN"/>
        </w:rPr>
      </w:pPr>
      <w:r>
        <w:rPr>
          <w:rFonts w:ascii="Times New Roman" w:eastAsia="仿宋_GB2312"/>
          <w:sz w:val="32"/>
        </w:rPr>
        <w:t>4.</w:t>
      </w:r>
      <w:r>
        <w:rPr>
          <w:rFonts w:ascii="Times New Roman" w:eastAsia="仿宋_GB2312"/>
          <w:sz w:val="32"/>
          <w:lang w:val="zh-CN"/>
        </w:rPr>
        <w:t>资产管理。</w:t>
      </w:r>
    </w:p>
    <w:p w14:paraId="4A9750A7">
      <w:pPr>
        <w:pStyle w:val="8"/>
        <w:spacing w:line="578" w:lineRule="exact"/>
        <w:ind w:leftChars="0" w:firstLine="640"/>
        <w:rPr>
          <w:rFonts w:ascii="Times New Roman" w:eastAsia="仿宋_GB2312"/>
          <w:sz w:val="32"/>
          <w:lang w:val="zh-CN"/>
        </w:rPr>
      </w:pPr>
      <w:r>
        <w:rPr>
          <w:rFonts w:ascii="Times New Roman" w:eastAsia="仿宋_GB2312"/>
          <w:sz w:val="32"/>
        </w:rPr>
        <w:t>确保资产配置标准、决策和审批程序符合规定，规范国有资产使用行为，落实使用责任，防止国有资产流失，保证资产安全完整，提高资产使用效能。</w:t>
      </w:r>
    </w:p>
    <w:p w14:paraId="4ED13CDE">
      <w:pPr>
        <w:pStyle w:val="8"/>
        <w:spacing w:line="578" w:lineRule="exact"/>
        <w:ind w:leftChars="0" w:firstLine="640"/>
        <w:rPr>
          <w:rFonts w:ascii="Times New Roman" w:eastAsia="仿宋_GB2312"/>
          <w:sz w:val="32"/>
          <w:lang w:val="zh-CN"/>
        </w:rPr>
      </w:pPr>
      <w:r>
        <w:rPr>
          <w:rFonts w:ascii="Times New Roman" w:eastAsia="仿宋_GB2312"/>
          <w:sz w:val="32"/>
        </w:rPr>
        <w:t>5.</w:t>
      </w:r>
      <w:r>
        <w:rPr>
          <w:rFonts w:ascii="Times New Roman" w:eastAsia="仿宋_GB2312"/>
          <w:sz w:val="32"/>
          <w:lang w:val="zh-CN"/>
        </w:rPr>
        <w:t>采购管理。</w:t>
      </w:r>
    </w:p>
    <w:p w14:paraId="0263D119">
      <w:pPr>
        <w:pStyle w:val="8"/>
        <w:spacing w:line="578" w:lineRule="exact"/>
        <w:ind w:leftChars="0" w:firstLine="640"/>
        <w:rPr>
          <w:rFonts w:hint="eastAsia" w:ascii="Times New Roman" w:eastAsia="仿宋_GB2312"/>
          <w:sz w:val="32"/>
          <w:lang w:val="zh-CN"/>
        </w:rPr>
      </w:pPr>
      <w:r>
        <w:rPr>
          <w:rFonts w:hint="eastAsia" w:ascii="Times New Roman" w:eastAsia="仿宋_GB2312"/>
          <w:sz w:val="32"/>
        </w:rPr>
        <w:t>西区分局2025年</w:t>
      </w:r>
      <w:r>
        <w:rPr>
          <w:rFonts w:ascii="Times New Roman" w:eastAsia="仿宋_GB2312"/>
          <w:sz w:val="32"/>
          <w:lang w:val="zh-CN"/>
        </w:rPr>
        <w:t>政府采购车辆燃油服务</w:t>
      </w:r>
      <w:r>
        <w:rPr>
          <w:rFonts w:hint="eastAsia" w:ascii="Times New Roman" w:eastAsia="仿宋_GB2312"/>
          <w:sz w:val="32"/>
          <w:lang w:val="zh-CN"/>
        </w:rPr>
        <w:t>及维修费</w:t>
      </w:r>
      <w:r>
        <w:rPr>
          <w:rFonts w:ascii="Times New Roman" w:eastAsia="仿宋_GB2312"/>
          <w:sz w:val="32"/>
          <w:lang w:val="zh-CN"/>
        </w:rPr>
        <w:t>是为了确保公务车辆的正常运行，通过框架协议合同授予的方式，本次采购1</w:t>
      </w:r>
      <w:r>
        <w:rPr>
          <w:rFonts w:hint="eastAsia" w:ascii="Times New Roman" w:eastAsia="仿宋_GB2312"/>
          <w:sz w:val="32"/>
        </w:rPr>
        <w:t>万</w:t>
      </w:r>
      <w:r>
        <w:rPr>
          <w:rFonts w:hint="eastAsia" w:ascii="Times New Roman" w:eastAsia="仿宋_GB2312"/>
          <w:sz w:val="32"/>
          <w:lang w:val="zh-CN"/>
        </w:rPr>
        <w:t>元</w:t>
      </w:r>
      <w:r>
        <w:rPr>
          <w:rFonts w:ascii="Times New Roman" w:eastAsia="仿宋_GB2312"/>
          <w:sz w:val="32"/>
          <w:lang w:val="zh-CN"/>
        </w:rPr>
        <w:t>燃油</w:t>
      </w:r>
      <w:r>
        <w:rPr>
          <w:rFonts w:hint="eastAsia" w:ascii="Times New Roman" w:eastAsia="仿宋_GB2312"/>
          <w:sz w:val="32"/>
          <w:lang w:val="zh-CN"/>
        </w:rPr>
        <w:t>费，</w:t>
      </w:r>
      <w:r>
        <w:rPr>
          <w:rFonts w:hint="eastAsia" w:ascii="Times New Roman" w:eastAsia="仿宋_GB2312"/>
          <w:sz w:val="32"/>
        </w:rPr>
        <w:t>0.47575万元保养维修费，0.5万元车辆保险费</w:t>
      </w:r>
      <w:r>
        <w:rPr>
          <w:rFonts w:hint="eastAsia" w:ascii="Times New Roman" w:eastAsia="仿宋_GB2312"/>
          <w:sz w:val="32"/>
          <w:lang w:val="zh-CN"/>
        </w:rPr>
        <w:t>采购执行率均达到100%。</w:t>
      </w:r>
    </w:p>
    <w:p w14:paraId="5507316C">
      <w:pPr>
        <w:pStyle w:val="8"/>
        <w:spacing w:line="578" w:lineRule="exact"/>
        <w:ind w:leftChars="0" w:firstLine="640"/>
        <w:rPr>
          <w:rFonts w:ascii="Times New Roman" w:eastAsia="仿宋_GB2312" w:cs="仿宋_GB2312"/>
          <w:sz w:val="32"/>
        </w:rPr>
      </w:pPr>
      <w:r>
        <w:rPr>
          <w:rFonts w:ascii="Times New Roman" w:eastAsia="仿宋_GB2312"/>
          <w:sz w:val="32"/>
          <w:lang w:val="zh-CN"/>
        </w:rPr>
        <w:t>（二）</w:t>
      </w:r>
      <w:r>
        <w:rPr>
          <w:rFonts w:ascii="Times New Roman" w:eastAsia="楷体_GB2312"/>
          <w:b/>
          <w:bCs/>
          <w:color w:val="000000"/>
          <w:kern w:val="0"/>
          <w:sz w:val="32"/>
          <w:shd w:val="clear" w:color="auto" w:fill="FFFFFF"/>
          <w:lang w:val="zh-CN"/>
        </w:rPr>
        <w:t>部门预算项目绩效分析。</w:t>
      </w:r>
    </w:p>
    <w:p w14:paraId="01EE0C88">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常年项目绩效分析。</w:t>
      </w:r>
      <w:r>
        <w:rPr>
          <w:rFonts w:eastAsia="仿宋_GB2312" w:cs="仿宋_GB2312"/>
          <w:sz w:val="32"/>
          <w:szCs w:val="32"/>
          <w:lang w:val="zh-CN"/>
        </w:rPr>
        <w:t>该类项目总数</w:t>
      </w:r>
      <w:r>
        <w:rPr>
          <w:rFonts w:hint="eastAsia" w:eastAsia="仿宋_GB2312" w:cs="仿宋_GB2312"/>
          <w:sz w:val="32"/>
          <w:szCs w:val="32"/>
        </w:rPr>
        <w:t>0</w:t>
      </w:r>
      <w:r>
        <w:rPr>
          <w:rFonts w:eastAsia="仿宋_GB2312" w:cs="仿宋_GB2312"/>
          <w:sz w:val="32"/>
          <w:szCs w:val="32"/>
          <w:lang w:val="zh-CN"/>
        </w:rPr>
        <w:t>个，涉及预算总金额</w:t>
      </w:r>
      <w:r>
        <w:rPr>
          <w:rFonts w:hint="eastAsia" w:eastAsia="仿宋_GB2312" w:cs="仿宋_GB2312"/>
          <w:sz w:val="32"/>
          <w:szCs w:val="32"/>
        </w:rPr>
        <w:t>0</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0</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0</w:t>
      </w:r>
      <w:r>
        <w:rPr>
          <w:rFonts w:eastAsia="仿宋_GB2312" w:cs="仿宋_GB2312"/>
          <w:sz w:val="32"/>
          <w:szCs w:val="32"/>
          <w:lang w:val="zh-CN"/>
        </w:rPr>
        <w:t>个。</w:t>
      </w:r>
    </w:p>
    <w:p w14:paraId="7096053D">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阶段</w:t>
      </w:r>
      <w:r>
        <w:rPr>
          <w:rFonts w:hint="eastAsia" w:eastAsia="仿宋_GB2312" w:cs="仿宋_GB2312"/>
          <w:sz w:val="32"/>
          <w:szCs w:val="32"/>
        </w:rPr>
        <w:t>（</w:t>
      </w:r>
      <w:r>
        <w:rPr>
          <w:rFonts w:eastAsia="仿宋_GB2312" w:cs="仿宋_GB2312"/>
          <w:sz w:val="32"/>
          <w:szCs w:val="32"/>
        </w:rPr>
        <w:t>一次性</w:t>
      </w:r>
      <w:r>
        <w:rPr>
          <w:rFonts w:hint="eastAsia" w:eastAsia="仿宋_GB2312" w:cs="仿宋_GB2312"/>
          <w:sz w:val="32"/>
          <w:szCs w:val="32"/>
        </w:rPr>
        <w:t>）</w:t>
      </w:r>
      <w:r>
        <w:rPr>
          <w:rFonts w:eastAsia="仿宋_GB2312" w:cs="仿宋_GB2312"/>
          <w:sz w:val="32"/>
          <w:szCs w:val="32"/>
        </w:rPr>
        <w:t>项目绩效分析。</w:t>
      </w:r>
      <w:r>
        <w:rPr>
          <w:rFonts w:eastAsia="仿宋_GB2312" w:cs="仿宋_GB2312"/>
          <w:sz w:val="32"/>
          <w:szCs w:val="32"/>
          <w:lang w:val="zh-CN"/>
        </w:rPr>
        <w:t>该类项目总数</w:t>
      </w:r>
      <w:r>
        <w:rPr>
          <w:rFonts w:hint="eastAsia" w:eastAsia="仿宋_GB2312" w:cs="仿宋_GB2312"/>
          <w:sz w:val="32"/>
          <w:szCs w:val="32"/>
        </w:rPr>
        <w:t>6</w:t>
      </w:r>
      <w:r>
        <w:rPr>
          <w:rFonts w:eastAsia="仿宋_GB2312" w:cs="仿宋_GB2312"/>
          <w:sz w:val="32"/>
          <w:szCs w:val="32"/>
          <w:lang w:val="zh-CN"/>
        </w:rPr>
        <w:t>个，涉及预算总金额</w:t>
      </w:r>
      <w:r>
        <w:rPr>
          <w:rFonts w:hint="eastAsia" w:eastAsia="仿宋_GB2312" w:cs="仿宋_GB2312"/>
          <w:sz w:val="32"/>
          <w:szCs w:val="32"/>
        </w:rPr>
        <w:t>396</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79.6</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4</w:t>
      </w:r>
      <w:r>
        <w:rPr>
          <w:rFonts w:eastAsia="仿宋_GB2312" w:cs="仿宋_GB2312"/>
          <w:sz w:val="32"/>
          <w:szCs w:val="32"/>
          <w:lang w:val="zh-CN"/>
        </w:rPr>
        <w:t>个。</w:t>
      </w:r>
    </w:p>
    <w:p w14:paraId="288547FF">
      <w:pPr>
        <w:numPr>
          <w:ilvl w:val="0"/>
          <w:numId w:val="12"/>
        </w:num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lang w:val="zh-CN"/>
        </w:rPr>
        <w:t>项目决策。</w:t>
      </w:r>
    </w:p>
    <w:p w14:paraId="66DCC5C0">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lang w:val="zh-CN"/>
        </w:rPr>
        <w:t>根据202</w:t>
      </w:r>
      <w:r>
        <w:rPr>
          <w:rFonts w:hint="eastAsia" w:eastAsia="仿宋_GB2312" w:cs="仿宋_GB2312"/>
          <w:sz w:val="32"/>
          <w:szCs w:val="32"/>
        </w:rPr>
        <w:t>5</w:t>
      </w:r>
      <w:r>
        <w:rPr>
          <w:rFonts w:eastAsia="仿宋_GB2312" w:cs="仿宋_GB2312"/>
          <w:sz w:val="32"/>
          <w:szCs w:val="32"/>
          <w:lang w:val="zh-CN"/>
        </w:rPr>
        <w:t>年部门预算批复的规定，</w:t>
      </w:r>
      <w:r>
        <w:rPr>
          <w:rFonts w:hint="eastAsia" w:eastAsia="仿宋_GB2312" w:cs="仿宋_GB2312"/>
          <w:sz w:val="32"/>
          <w:szCs w:val="32"/>
          <w:lang w:val="zh-CN"/>
        </w:rPr>
        <w:t>西区分局</w:t>
      </w:r>
      <w:r>
        <w:rPr>
          <w:rFonts w:eastAsia="仿宋_GB2312" w:cs="仿宋_GB2312"/>
          <w:sz w:val="32"/>
          <w:szCs w:val="32"/>
          <w:lang w:val="zh-CN"/>
        </w:rPr>
        <w:t>对项目的目标进行设置，各项指标设置完整细化，合理合规进行项目入库。</w:t>
      </w:r>
    </w:p>
    <w:p w14:paraId="355C71A4">
      <w:pPr>
        <w:numPr>
          <w:ilvl w:val="0"/>
          <w:numId w:val="12"/>
        </w:num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lang w:val="zh-CN"/>
        </w:rPr>
        <w:t>项目执行。</w:t>
      </w:r>
    </w:p>
    <w:p w14:paraId="2C33E946">
      <w:pPr>
        <w:adjustRightInd w:val="0"/>
        <w:snapToGrid w:val="0"/>
        <w:spacing w:line="578" w:lineRule="exact"/>
        <w:ind w:firstLine="640" w:firstLineChars="200"/>
        <w:contextualSpacing/>
        <w:rPr>
          <w:rFonts w:hint="eastAsia" w:eastAsia="仿宋_GB2312" w:cs="仿宋_GB2312"/>
          <w:sz w:val="32"/>
          <w:szCs w:val="32"/>
          <w:lang w:val="zh-CN"/>
        </w:rPr>
      </w:pPr>
      <w:r>
        <w:rPr>
          <w:rFonts w:hint="eastAsia" w:eastAsia="仿宋_GB2312" w:cs="仿宋_GB2312"/>
          <w:sz w:val="32"/>
          <w:szCs w:val="32"/>
          <w:lang w:val="zh-CN"/>
        </w:rPr>
        <w:t>西区分局</w:t>
      </w:r>
      <w:r>
        <w:rPr>
          <w:rFonts w:eastAsia="仿宋_GB2312" w:cs="仿宋_GB2312"/>
          <w:sz w:val="32"/>
          <w:szCs w:val="32"/>
          <w:lang w:val="zh-CN"/>
        </w:rPr>
        <w:t>遵循“先有预算、后有支出”的原则，结合单位年度工作任务，严格按照批复的预算项目、科目和金额，科学合理规范使用项目经费，年度无预算项目调整情况，项目预算执行进</w:t>
      </w:r>
      <w:r>
        <w:rPr>
          <w:rFonts w:eastAsia="仿宋_GB2312"/>
          <w:sz w:val="32"/>
          <w:szCs w:val="32"/>
        </w:rPr>
        <w:t>度进展良好，无违规记录，各项经费的开支范围均以预算批复数为基准</w:t>
      </w:r>
      <w:r>
        <w:rPr>
          <w:rFonts w:hint="eastAsia"/>
          <w:sz w:val="32"/>
          <w:szCs w:val="32"/>
        </w:rPr>
        <w:t>。</w:t>
      </w:r>
    </w:p>
    <w:p w14:paraId="2905F5F9">
      <w:pPr>
        <w:numPr>
          <w:ilvl w:val="0"/>
          <w:numId w:val="12"/>
        </w:numPr>
        <w:adjustRightInd w:val="0"/>
        <w:snapToGrid w:val="0"/>
        <w:spacing w:line="578" w:lineRule="exact"/>
        <w:ind w:firstLine="640" w:firstLineChars="200"/>
        <w:contextualSpacing/>
        <w:rPr>
          <w:rFonts w:hint="eastAsia" w:eastAsia="仿宋_GB2312" w:cs="仿宋_GB2312"/>
          <w:sz w:val="32"/>
          <w:szCs w:val="32"/>
          <w:lang w:val="zh-CN"/>
        </w:rPr>
      </w:pPr>
      <w:r>
        <w:rPr>
          <w:rFonts w:hint="eastAsia" w:eastAsia="仿宋_GB2312" w:cs="仿宋_GB2312"/>
          <w:sz w:val="32"/>
          <w:szCs w:val="32"/>
          <w:lang w:val="zh-CN"/>
        </w:rPr>
        <w:t>目标实现。</w:t>
      </w:r>
    </w:p>
    <w:p w14:paraId="77583639">
      <w:pPr>
        <w:numPr>
          <w:ilvl w:val="0"/>
          <w:numId w:val="13"/>
        </w:numPr>
        <w:adjustRightInd w:val="0"/>
        <w:snapToGrid w:val="0"/>
        <w:spacing w:line="578" w:lineRule="exact"/>
        <w:ind w:firstLine="640" w:firstLineChars="200"/>
        <w:contextualSpacing/>
        <w:jc w:val="left"/>
        <w:rPr>
          <w:rFonts w:hint="eastAsia" w:eastAsia="仿宋_GB2312"/>
          <w:sz w:val="32"/>
          <w:szCs w:val="32"/>
        </w:rPr>
      </w:pPr>
      <w:r>
        <w:rPr>
          <w:rFonts w:hint="eastAsia" w:eastAsia="仿宋_GB2312"/>
          <w:sz w:val="32"/>
          <w:szCs w:val="32"/>
        </w:rPr>
        <w:t>监测点人员通过对隐患点每月不低于30次的巡查</w:t>
      </w:r>
      <w:r>
        <w:rPr>
          <w:rFonts w:hint="eastAsia" w:eastAsia="仿宋_GB2312"/>
          <w:sz w:val="32"/>
          <w:szCs w:val="32"/>
          <w:lang w:eastAsia="zh-CN"/>
        </w:rPr>
        <w:t>，</w:t>
      </w:r>
      <w:r>
        <w:rPr>
          <w:rFonts w:hint="eastAsia" w:eastAsia="仿宋_GB2312"/>
          <w:sz w:val="32"/>
          <w:szCs w:val="32"/>
        </w:rPr>
        <w:t>确保安全防范措施得到有效实施。这种高频次的巡查有助于及时发现和处理安全隐患，防止事故的发生，保障人民群众的生命财产安全，</w:t>
      </w:r>
      <w:r>
        <w:rPr>
          <w:rFonts w:hint="eastAsia"/>
          <w:sz w:val="32"/>
          <w:szCs w:val="32"/>
        </w:rPr>
        <w:t>受威胁</w:t>
      </w:r>
      <w:r>
        <w:rPr>
          <w:rFonts w:hint="eastAsia" w:eastAsia="仿宋_GB2312"/>
          <w:sz w:val="32"/>
          <w:szCs w:val="32"/>
        </w:rPr>
        <w:t>群众满意度超过</w:t>
      </w:r>
      <w:r>
        <w:rPr>
          <w:rFonts w:hint="eastAsia"/>
          <w:sz w:val="32"/>
          <w:szCs w:val="32"/>
        </w:rPr>
        <w:t>80</w:t>
      </w:r>
      <w:r>
        <w:rPr>
          <w:rFonts w:hint="eastAsia" w:eastAsia="仿宋_GB2312"/>
          <w:sz w:val="32"/>
          <w:szCs w:val="32"/>
        </w:rPr>
        <w:t>%。</w:t>
      </w:r>
    </w:p>
    <w:p w14:paraId="7FE8DB65">
      <w:pPr>
        <w:pStyle w:val="6"/>
        <w:numPr>
          <w:ilvl w:val="0"/>
          <w:numId w:val="13"/>
        </w:numPr>
        <w:spacing w:before="93"/>
        <w:ind w:firstLine="640" w:firstLineChars="200"/>
        <w:rPr>
          <w:rFonts w:hint="eastAsia" w:ascii="Times New Roman"/>
          <w:kern w:val="2"/>
          <w:sz w:val="32"/>
          <w:szCs w:val="32"/>
          <w:lang w:val="en-US" w:eastAsia="zh-CN"/>
        </w:rPr>
      </w:pPr>
      <w:r>
        <w:rPr>
          <w:rFonts w:hint="eastAsia" w:ascii="Times New Roman"/>
          <w:kern w:val="2"/>
          <w:sz w:val="32"/>
          <w:szCs w:val="32"/>
          <w:lang w:val="en-US" w:eastAsia="zh-CN"/>
        </w:rPr>
        <w:t>通过攀枝花市西区陶家渡街道三十六中小花山校区滑坡工程治理减少潜在经济损失约1600万元，减少灾害点威胁20户55人生命财产安全及受灾群众满意度提升到95%。</w:t>
      </w:r>
    </w:p>
    <w:p w14:paraId="4F17DF68">
      <w:pPr>
        <w:pStyle w:val="12"/>
        <w:numPr>
          <w:ilvl w:val="0"/>
          <w:numId w:val="13"/>
        </w:numPr>
        <w:spacing w:line="360" w:lineRule="auto"/>
        <w:ind w:firstLine="640" w:firstLineChars="200"/>
        <w:rPr>
          <w:rFonts w:hint="eastAsia" w:ascii="Times New Roman" w:hAnsi="Times New Roman" w:eastAsia="仿宋_GB2312"/>
          <w:kern w:val="2"/>
          <w:sz w:val="32"/>
          <w:szCs w:val="32"/>
          <w:lang w:val="en-US" w:eastAsia="zh-CN"/>
        </w:rPr>
      </w:pPr>
      <w:r>
        <w:rPr>
          <w:rFonts w:hint="eastAsia" w:ascii="Times New Roman" w:hAnsi="Times New Roman" w:eastAsia="仿宋_GB2312"/>
          <w:kern w:val="2"/>
          <w:sz w:val="32"/>
          <w:szCs w:val="32"/>
          <w:lang w:val="en-US" w:eastAsia="zh-CN"/>
        </w:rPr>
        <w:t>通过攀枝花市西区斜坡地质灾害隐患风险详查及重点乡镇1:10000精细化开展1:2000地形测量12km2，布置GPSE级网控制点16处，减少地质灾害发生率，保证地质灾害防治常态化，群众满意度提升到95%。</w:t>
      </w:r>
    </w:p>
    <w:p w14:paraId="41CA52A7">
      <w:pPr>
        <w:pStyle w:val="12"/>
        <w:numPr>
          <w:ilvl w:val="0"/>
          <w:numId w:val="13"/>
        </w:numPr>
        <w:spacing w:line="360" w:lineRule="auto"/>
        <w:ind w:firstLine="640" w:firstLineChars="200"/>
        <w:rPr>
          <w:rFonts w:hint="eastAsia" w:ascii="Times New Roman" w:hAnsi="Times New Roman" w:eastAsia="仿宋_GB2312"/>
          <w:kern w:val="2"/>
          <w:sz w:val="32"/>
          <w:szCs w:val="32"/>
          <w:lang w:val="en-US" w:eastAsia="zh-CN"/>
        </w:rPr>
      </w:pPr>
      <w:r>
        <w:rPr>
          <w:rFonts w:hint="eastAsia" w:ascii="Times New Roman" w:hAnsi="Times New Roman" w:eastAsia="仿宋_GB2312"/>
          <w:kern w:val="2"/>
          <w:sz w:val="32"/>
          <w:szCs w:val="32"/>
          <w:lang w:val="en-US" w:eastAsia="zh-CN"/>
        </w:rPr>
        <w:t>通过2025年清理拖欠企业欠款。（市级）归还企业欠款9家，企业对政府工程更有信心提升到70%，欠款企业满意度提升到90%。</w:t>
      </w:r>
    </w:p>
    <w:p w14:paraId="47CEC64B">
      <w:pPr>
        <w:adjustRightInd w:val="0"/>
        <w:snapToGrid w:val="0"/>
        <w:spacing w:line="578" w:lineRule="exact"/>
        <w:ind w:left="420" w:leftChars="200" w:firstLine="320" w:firstLineChars="100"/>
        <w:contextualSpacing/>
        <w:rPr>
          <w:rFonts w:eastAsia="仿宋_GB2312"/>
          <w:sz w:val="32"/>
          <w:szCs w:val="32"/>
        </w:rPr>
      </w:pPr>
      <w:r>
        <w:rPr>
          <w:rFonts w:hint="eastAsia" w:eastAsia="仿宋_GB2312"/>
          <w:sz w:val="32"/>
          <w:szCs w:val="32"/>
          <w:lang w:val="zh-CN"/>
        </w:rPr>
        <w:t>（</w:t>
      </w:r>
      <w:r>
        <w:rPr>
          <w:rFonts w:hint="eastAsia" w:eastAsia="仿宋_GB2312"/>
          <w:sz w:val="32"/>
          <w:szCs w:val="32"/>
        </w:rPr>
        <w:t>5</w:t>
      </w:r>
      <w:r>
        <w:rPr>
          <w:rFonts w:hint="eastAsia" w:eastAsia="仿宋_GB2312"/>
          <w:sz w:val="32"/>
          <w:szCs w:val="32"/>
          <w:lang w:val="zh-CN"/>
        </w:rPr>
        <w:t>）2025年清理拖欠企业欠款。（区级）归还企业2家，企业对政府更有信心提升到</w:t>
      </w:r>
      <w:r>
        <w:rPr>
          <w:rFonts w:hint="eastAsia" w:eastAsia="仿宋_GB2312"/>
          <w:sz w:val="32"/>
          <w:szCs w:val="32"/>
        </w:rPr>
        <w:t>85%，欠款企业满</w:t>
      </w:r>
      <w:r>
        <w:rPr>
          <w:rFonts w:hint="eastAsia" w:eastAsia="仿宋_GB2312"/>
          <w:sz w:val="32"/>
          <w:szCs w:val="32"/>
          <w:lang w:eastAsia="zh-CN"/>
        </w:rPr>
        <w:t>意度</w:t>
      </w:r>
      <w:r>
        <w:rPr>
          <w:rFonts w:hint="eastAsia" w:eastAsia="仿宋_GB2312"/>
          <w:sz w:val="32"/>
          <w:szCs w:val="32"/>
        </w:rPr>
        <w:t>提升到90%。</w:t>
      </w:r>
    </w:p>
    <w:p w14:paraId="04128DCD">
      <w:pPr>
        <w:snapToGrid w:val="0"/>
        <w:spacing w:line="600" w:lineRule="exact"/>
        <w:ind w:firstLine="640" w:firstLineChars="200"/>
        <w:rPr>
          <w:rFonts w:hint="eastAsia" w:eastAsia="仿宋_GB2312"/>
          <w:sz w:val="32"/>
          <w:szCs w:val="32"/>
        </w:rPr>
      </w:pPr>
      <w:r>
        <w:rPr>
          <w:rFonts w:eastAsia="仿宋_GB2312"/>
          <w:sz w:val="32"/>
          <w:szCs w:val="32"/>
        </w:rPr>
        <w:t>省级部门对202</w:t>
      </w:r>
      <w:r>
        <w:rPr>
          <w:rFonts w:hint="eastAsia" w:eastAsia="仿宋_GB2312"/>
          <w:sz w:val="32"/>
          <w:szCs w:val="32"/>
        </w:rPr>
        <w:t>5</w:t>
      </w:r>
      <w:r>
        <w:rPr>
          <w:rFonts w:eastAsia="仿宋_GB2312"/>
          <w:sz w:val="32"/>
          <w:szCs w:val="32"/>
        </w:rPr>
        <w:t>年度一般公共预算、政府性基金预算、国有资本经营预算安排的常年项目、阶段项目绩效目标完成情况，以及债券资金、政府购买服务有关情况进行梳理阐述</w:t>
      </w:r>
      <w:r>
        <w:rPr>
          <w:rFonts w:hint="eastAsia" w:eastAsia="仿宋_GB2312"/>
          <w:sz w:val="32"/>
          <w:szCs w:val="32"/>
        </w:rPr>
        <w:t>。</w:t>
      </w:r>
    </w:p>
    <w:p w14:paraId="1811B30D">
      <w:pPr>
        <w:pStyle w:val="6"/>
        <w:spacing w:before="93"/>
        <w:ind w:firstLine="640" w:firstLineChars="200"/>
        <w:rPr>
          <w:rFonts w:hint="eastAsia"/>
          <w:lang w:val="en-US" w:eastAsia="zh-CN"/>
        </w:rPr>
      </w:pPr>
      <w:r>
        <w:rPr>
          <w:rFonts w:hint="eastAsia" w:ascii="Times New Roman"/>
          <w:sz w:val="32"/>
          <w:szCs w:val="32"/>
          <w:lang w:val="en-US" w:eastAsia="zh-CN"/>
        </w:rPr>
        <w:t>无。</w:t>
      </w:r>
    </w:p>
    <w:p w14:paraId="2D811DCA">
      <w:pPr>
        <w:pStyle w:val="10"/>
        <w:numPr>
          <w:ilvl w:val="0"/>
          <w:numId w:val="11"/>
        </w:numPr>
        <w:spacing w:line="578" w:lineRule="exact"/>
        <w:ind w:firstLine="643" w:firstLineChars="200"/>
        <w:rPr>
          <w:rFonts w:hint="eastAsia" w:ascii="Times New Roman" w:hAnsi="Times New Roman" w:eastAsia="楷体_GB2312"/>
          <w:b/>
          <w:bCs/>
          <w:color w:val="000000"/>
          <w:kern w:val="0"/>
          <w:sz w:val="32"/>
          <w:szCs w:val="32"/>
          <w:shd w:val="clear" w:color="auto" w:fill="FFFFFF"/>
          <w:lang w:val="zh-CN"/>
        </w:rPr>
      </w:pPr>
      <w:r>
        <w:rPr>
          <w:rFonts w:ascii="Times New Roman" w:hAnsi="Times New Roman" w:eastAsia="楷体_GB2312"/>
          <w:b/>
          <w:bCs/>
          <w:color w:val="000000"/>
          <w:kern w:val="0"/>
          <w:sz w:val="32"/>
          <w:szCs w:val="32"/>
          <w:shd w:val="clear" w:color="auto" w:fill="FFFFFF"/>
          <w:lang w:val="zh-CN"/>
        </w:rPr>
        <w:t>绩效结果应用情况</w:t>
      </w:r>
      <w:r>
        <w:rPr>
          <w:rFonts w:hint="eastAsia" w:ascii="Times New Roman" w:hAnsi="Times New Roman" w:eastAsia="楷体_GB2312"/>
          <w:b/>
          <w:bCs/>
          <w:color w:val="000000"/>
          <w:kern w:val="0"/>
          <w:sz w:val="32"/>
          <w:szCs w:val="32"/>
          <w:shd w:val="clear" w:color="auto" w:fill="FFFFFF"/>
          <w:lang w:val="zh-CN"/>
        </w:rPr>
        <w:t>。</w:t>
      </w:r>
    </w:p>
    <w:p w14:paraId="4FA77A01">
      <w:pPr>
        <w:pStyle w:val="10"/>
        <w:spacing w:line="578" w:lineRule="exact"/>
        <w:ind w:firstLine="640" w:firstLineChars="200"/>
        <w:rPr>
          <w:b/>
          <w:szCs w:val="32"/>
        </w:rPr>
      </w:pPr>
      <w:r>
        <w:rPr>
          <w:rFonts w:hint="eastAsia" w:ascii="Times New Roman" w:hAnsi="Times New Roman" w:eastAsia="仿宋_GB2312"/>
          <w:sz w:val="32"/>
          <w:szCs w:val="32"/>
        </w:rPr>
        <w:t>西区分局</w:t>
      </w:r>
      <w:r>
        <w:rPr>
          <w:rFonts w:ascii="Times New Roman" w:hAnsi="Times New Roman" w:eastAsia="仿宋_GB2312"/>
          <w:sz w:val="32"/>
          <w:szCs w:val="32"/>
        </w:rPr>
        <w:t>预算报送及时合规、财务核算较为规范、内控制度建设较完善，及时进行了绩效目标公开和自评公开，评价结果整改到位，应用结果反馈及时，较好地完成了各项目标任务。</w:t>
      </w:r>
    </w:p>
    <w:p w14:paraId="6EB15AE9">
      <w:pPr>
        <w:snapToGrid w:val="0"/>
        <w:spacing w:line="578" w:lineRule="exact"/>
        <w:ind w:firstLine="640" w:firstLineChars="200"/>
        <w:rPr>
          <w:rFonts w:eastAsia="仿宋_GB2312"/>
          <w:sz w:val="32"/>
          <w:szCs w:val="32"/>
          <w:lang w:bidi="ar"/>
        </w:rPr>
      </w:pPr>
      <w:r>
        <w:rPr>
          <w:rFonts w:hint="eastAsia"/>
          <w:sz w:val="32"/>
          <w:szCs w:val="32"/>
        </w:rPr>
        <w:t>西</w:t>
      </w:r>
      <w:r>
        <w:rPr>
          <w:rFonts w:hint="eastAsia" w:eastAsia="仿宋_GB2312"/>
          <w:sz w:val="32"/>
          <w:szCs w:val="32"/>
        </w:rPr>
        <w:t>区分局</w:t>
      </w:r>
      <w:r>
        <w:rPr>
          <w:rFonts w:eastAsia="仿宋_GB2312"/>
          <w:sz w:val="32"/>
          <w:szCs w:val="32"/>
        </w:rPr>
        <w:t>202</w:t>
      </w:r>
      <w:r>
        <w:rPr>
          <w:rFonts w:hint="eastAsia" w:eastAsia="仿宋_GB2312"/>
          <w:sz w:val="32"/>
          <w:szCs w:val="32"/>
        </w:rPr>
        <w:t>5</w:t>
      </w:r>
      <w:r>
        <w:rPr>
          <w:rFonts w:eastAsia="仿宋_GB2312"/>
          <w:sz w:val="32"/>
          <w:szCs w:val="32"/>
        </w:rPr>
        <w:t>年整体支出自评效果良好，整体自评得分</w:t>
      </w:r>
      <w:r>
        <w:rPr>
          <w:rFonts w:hint="eastAsia" w:eastAsia="仿宋_GB2312"/>
          <w:sz w:val="32"/>
          <w:szCs w:val="32"/>
          <w:lang w:eastAsia="zh-CN"/>
        </w:rPr>
        <w:t>良好</w:t>
      </w:r>
      <w:r>
        <w:rPr>
          <w:rFonts w:eastAsia="仿宋_GB2312"/>
          <w:sz w:val="32"/>
          <w:szCs w:val="32"/>
        </w:rPr>
        <w:t>。</w:t>
      </w:r>
    </w:p>
    <w:p w14:paraId="7A4603C4">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四、评价结论及建议</w:t>
      </w:r>
    </w:p>
    <w:p w14:paraId="1E8B5222">
      <w:pPr>
        <w:widowControl/>
        <w:adjustRightInd w:val="0"/>
        <w:snapToGrid w:val="0"/>
        <w:spacing w:line="578" w:lineRule="exact"/>
        <w:ind w:firstLine="643" w:firstLineChars="200"/>
        <w:contextualSpacing/>
        <w:jc w:val="left"/>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（一）评价结论。</w:t>
      </w:r>
    </w:p>
    <w:p w14:paraId="1AE95A47">
      <w:pPr>
        <w:widowControl/>
        <w:adjustRightInd w:val="0"/>
        <w:snapToGrid w:val="0"/>
        <w:spacing w:line="578" w:lineRule="exact"/>
        <w:ind w:firstLine="640" w:firstLineChars="200"/>
        <w:contextualSpacing/>
        <w:jc w:val="left"/>
        <w:rPr>
          <w:rFonts w:eastAsia="仿宋_GB2312"/>
          <w:sz w:val="32"/>
          <w:szCs w:val="32"/>
          <w:lang w:bidi="ar"/>
        </w:rPr>
      </w:pPr>
      <w:r>
        <w:rPr>
          <w:rFonts w:hint="eastAsia" w:eastAsia="仿宋_GB2312"/>
          <w:kern w:val="0"/>
          <w:sz w:val="32"/>
          <w:szCs w:val="32"/>
          <w:lang w:val="zh-CN"/>
        </w:rPr>
        <w:t>西区</w:t>
      </w:r>
      <w:r>
        <w:rPr>
          <w:rFonts w:eastAsia="仿宋_GB2312"/>
          <w:kern w:val="0"/>
          <w:sz w:val="32"/>
          <w:szCs w:val="32"/>
        </w:rPr>
        <w:t>分局管好、用好了各项资金，充分发挥资金的效益，达到了预期效果，对保护和合理开发西区自然资源起到了积极作用，为地方社会经济发展作出了贡献</w:t>
      </w:r>
      <w:r>
        <w:rPr>
          <w:rFonts w:hint="eastAsia" w:eastAsia="仿宋_GB2312"/>
          <w:kern w:val="0"/>
          <w:sz w:val="32"/>
          <w:szCs w:val="32"/>
        </w:rPr>
        <w:t>，尤其在耕地保护、矿产管理及生态修复、土地资源利用方面</w:t>
      </w:r>
      <w:r>
        <w:rPr>
          <w:rFonts w:hint="eastAsia" w:eastAsia="仿宋_GB2312"/>
          <w:sz w:val="32"/>
          <w:szCs w:val="32"/>
          <w:lang w:bidi="ar"/>
        </w:rPr>
        <w:t>。</w:t>
      </w:r>
    </w:p>
    <w:p w14:paraId="454FF7D8">
      <w:pPr>
        <w:pStyle w:val="10"/>
        <w:numPr>
          <w:ilvl w:val="0"/>
          <w:numId w:val="14"/>
        </w:numPr>
        <w:spacing w:line="600" w:lineRule="exact"/>
        <w:ind w:firstLine="643" w:firstLineChars="200"/>
        <w:rPr>
          <w:rFonts w:ascii="Times New Roman" w:hAnsi="Times New Roman" w:eastAsia="楷体_GB2312"/>
          <w:b/>
          <w:bCs/>
          <w:color w:val="000000"/>
          <w:kern w:val="0"/>
          <w:sz w:val="32"/>
          <w:szCs w:val="32"/>
          <w:shd w:val="clear" w:color="auto" w:fill="FFFFFF"/>
          <w:lang w:val="zh-CN"/>
        </w:rPr>
      </w:pPr>
      <w:r>
        <w:rPr>
          <w:rFonts w:ascii="Times New Roman" w:hAnsi="Times New Roman" w:eastAsia="楷体_GB2312"/>
          <w:b/>
          <w:bCs/>
          <w:color w:val="000000"/>
          <w:kern w:val="0"/>
          <w:sz w:val="32"/>
          <w:szCs w:val="32"/>
          <w:shd w:val="clear" w:color="auto" w:fill="FFFFFF"/>
          <w:lang w:val="zh-CN"/>
        </w:rPr>
        <w:t>存在问题。</w:t>
      </w:r>
    </w:p>
    <w:p w14:paraId="63139B16">
      <w:pPr>
        <w:pStyle w:val="10"/>
        <w:spacing w:line="60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1.绩效管理的整体性上还有差距，管理体系需进一步健全。</w:t>
      </w:r>
    </w:p>
    <w:p w14:paraId="51439283">
      <w:pPr>
        <w:pStyle w:val="10"/>
        <w:spacing w:line="60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2.绩效目标设定的科学性、时效性有待加强。</w:t>
      </w:r>
    </w:p>
    <w:p w14:paraId="630562C7">
      <w:pPr>
        <w:widowControl/>
        <w:adjustRightInd w:val="0"/>
        <w:snapToGrid w:val="0"/>
        <w:spacing w:line="578" w:lineRule="exact"/>
        <w:ind w:firstLine="640" w:firstLineChars="200"/>
        <w:contextualSpacing/>
        <w:jc w:val="left"/>
        <w:rPr>
          <w:rFonts w:hint="eastAsia" w:eastAsia="仿宋_GB2312"/>
          <w:sz w:val="32"/>
          <w:szCs w:val="32"/>
        </w:rPr>
      </w:pPr>
      <w:r>
        <w:rPr>
          <w:rFonts w:hint="eastAsia" w:eastAsia="仿宋_GB2312"/>
          <w:sz w:val="32"/>
          <w:szCs w:val="32"/>
        </w:rPr>
        <w:t>3.因资金拨付情况及工作开展情况，导致个别项目在一定程度上存在支出进度慢的现象。</w:t>
      </w:r>
    </w:p>
    <w:p w14:paraId="5F7D11A1">
      <w:pPr>
        <w:pStyle w:val="10"/>
        <w:spacing w:line="560" w:lineRule="exact"/>
        <w:ind w:firstLine="643" w:firstLineChars="200"/>
        <w:jc w:val="left"/>
        <w:rPr>
          <w:rFonts w:ascii="Times New Roman" w:hAnsi="Times New Roman" w:eastAsia="楷体_GB2312"/>
          <w:b/>
          <w:bCs/>
          <w:color w:val="000000"/>
          <w:kern w:val="0"/>
          <w:sz w:val="32"/>
          <w:szCs w:val="32"/>
          <w:shd w:val="clear" w:color="auto" w:fill="FFFFFF"/>
          <w:lang w:val="zh-CN"/>
        </w:rPr>
      </w:pPr>
      <w:r>
        <w:rPr>
          <w:rFonts w:ascii="Times New Roman" w:hAnsi="Times New Roman" w:eastAsia="楷体_GB2312"/>
          <w:b/>
          <w:bCs/>
          <w:color w:val="000000"/>
          <w:kern w:val="0"/>
          <w:sz w:val="32"/>
          <w:szCs w:val="32"/>
          <w:shd w:val="clear" w:color="auto" w:fill="FFFFFF"/>
          <w:lang w:val="zh-CN"/>
        </w:rPr>
        <w:t>（三）改进建议。</w:t>
      </w:r>
    </w:p>
    <w:p w14:paraId="4BEBA3A5">
      <w:pPr>
        <w:pStyle w:val="10"/>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kern w:val="0"/>
          <w:sz w:val="32"/>
          <w:szCs w:val="32"/>
          <w:shd w:val="clear" w:color="auto" w:fill="FFFFFF"/>
          <w:lang w:val="zh-CN"/>
        </w:rPr>
        <w:t>加强资金头筹，提高预算资金支付比例。在资金指标及支付条件允许的情况下，积极提高预算资金支付比例。</w:t>
      </w:r>
    </w:p>
    <w:p w14:paraId="0C54E0CC">
      <w:pPr>
        <w:widowControl/>
        <w:adjustRightInd w:val="0"/>
        <w:snapToGrid w:val="0"/>
        <w:spacing w:line="578" w:lineRule="exact"/>
        <w:ind w:firstLine="640" w:firstLineChars="200"/>
        <w:contextualSpacing/>
        <w:jc w:val="left"/>
        <w:rPr>
          <w:rFonts w:hint="eastAsia" w:eastAsia="仿宋_GB2312"/>
          <w:sz w:val="32"/>
          <w:szCs w:val="32"/>
          <w:lang w:val="en" w:bidi="ar"/>
        </w:rPr>
      </w:pPr>
    </w:p>
    <w:p w14:paraId="384D9BB1">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p>
    <w:p w14:paraId="13DAB1E0">
      <w:pPr>
        <w:widowControl/>
        <w:spacing w:line="578" w:lineRule="exact"/>
        <w:contextualSpacing/>
        <w:jc w:val="center"/>
        <w:outlineLvl w:val="9"/>
        <w:rPr>
          <w:rFonts w:ascii="Times New Roman" w:hAnsi="Times New Roman" w:eastAsia="方正小标宋简体" w:cs="Times New Roman"/>
          <w:bCs/>
          <w:sz w:val="44"/>
          <w:szCs w:val="44"/>
          <w:shd w:val="clear" w:color="auto" w:fill="FFFFFF"/>
        </w:rPr>
      </w:pPr>
      <w:r>
        <w:rPr>
          <w:rFonts w:ascii="Times New Roman" w:hAnsi="Times New Roman" w:eastAsia="方正小标宋简体" w:cs="Times New Roman"/>
          <w:bCs/>
          <w:sz w:val="44"/>
          <w:szCs w:val="44"/>
          <w:shd w:val="clear" w:color="auto" w:fill="FFFFFF"/>
        </w:rPr>
        <w:t>部门预算绩效</w:t>
      </w:r>
      <w:r>
        <w:rPr>
          <w:rFonts w:hint="eastAsia" w:ascii="Times New Roman" w:hAnsi="Times New Roman" w:eastAsia="方正小标宋简体" w:cs="Times New Roman"/>
          <w:bCs/>
          <w:sz w:val="44"/>
          <w:szCs w:val="44"/>
          <w:shd w:val="clear" w:color="auto" w:fill="FFFFFF"/>
        </w:rPr>
        <w:t>自评</w:t>
      </w:r>
      <w:r>
        <w:rPr>
          <w:rFonts w:ascii="Times New Roman" w:hAnsi="Times New Roman" w:eastAsia="方正小标宋简体" w:cs="Times New Roman"/>
          <w:bCs/>
          <w:sz w:val="44"/>
          <w:szCs w:val="44"/>
          <w:shd w:val="clear" w:color="auto" w:fill="FFFFFF"/>
        </w:rPr>
        <w:t>报告</w:t>
      </w:r>
    </w:p>
    <w:p w14:paraId="575C9FA1">
      <w:pPr>
        <w:widowControl/>
        <w:spacing w:line="578" w:lineRule="exact"/>
        <w:contextualSpacing/>
        <w:jc w:val="center"/>
        <w:outlineLvl w:val="3"/>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w:t>
      </w:r>
      <w:r>
        <w:rPr>
          <w:rFonts w:hint="eastAsia" w:ascii="Times New Roman" w:hAnsi="Times New Roman" w:eastAsia="仿宋_GB2312" w:cs="Times New Roman"/>
          <w:sz w:val="32"/>
          <w:szCs w:val="32"/>
          <w:shd w:val="clear" w:color="auto" w:fill="FFFFFF"/>
          <w:lang w:val="en-US" w:eastAsia="zh-CN"/>
        </w:rPr>
        <w:t>攀枝花市自然资源和规划局仁和区分局</w:t>
      </w:r>
      <w:r>
        <w:rPr>
          <w:rFonts w:ascii="Times New Roman" w:hAnsi="Times New Roman" w:eastAsia="仿宋_GB2312" w:cs="Times New Roman"/>
          <w:sz w:val="32"/>
          <w:szCs w:val="32"/>
          <w:shd w:val="clear" w:color="auto" w:fill="FFFFFF"/>
        </w:rPr>
        <w:t>）</w:t>
      </w:r>
    </w:p>
    <w:p w14:paraId="58120188">
      <w:pPr>
        <w:widowControl/>
        <w:adjustRightInd w:val="0"/>
        <w:snapToGrid w:val="0"/>
        <w:spacing w:line="578" w:lineRule="exact"/>
        <w:ind w:firstLine="480" w:firstLineChars="200"/>
        <w:contextualSpacing/>
        <w:jc w:val="left"/>
        <w:rPr>
          <w:rFonts w:ascii="Times New Roman" w:hAnsi="Times New Roman" w:eastAsia="黑体" w:cs="Times New Roman"/>
          <w:color w:val="000000"/>
          <w:kern w:val="0"/>
          <w:sz w:val="24"/>
          <w:szCs w:val="32"/>
          <w:shd w:val="clear" w:color="auto" w:fill="FFFFFF"/>
        </w:rPr>
      </w:pPr>
    </w:p>
    <w:p w14:paraId="1209615C">
      <w:pPr>
        <w:widowControl/>
        <w:adjustRightInd w:val="0"/>
        <w:snapToGrid w:val="0"/>
        <w:spacing w:line="578" w:lineRule="exact"/>
        <w:ind w:firstLine="640" w:firstLineChars="200"/>
        <w:contextualSpacing/>
        <w:jc w:val="left"/>
        <w:rPr>
          <w:rFonts w:ascii="Times New Roman" w:hAnsi="Times New Roman" w:eastAsia="仿宋_GB2312" w:cs="Times New Roman"/>
          <w:sz w:val="32"/>
          <w:szCs w:val="32"/>
        </w:rPr>
      </w:pPr>
      <w:r>
        <w:rPr>
          <w:rFonts w:ascii="Times New Roman" w:hAnsi="Times New Roman" w:eastAsia="黑体" w:cs="Times New Roman"/>
          <w:color w:val="000000"/>
          <w:kern w:val="0"/>
          <w:sz w:val="32"/>
          <w:szCs w:val="32"/>
          <w:shd w:val="clear" w:color="auto" w:fill="FFFFFF"/>
          <w:lang w:val="zh-CN"/>
        </w:rPr>
        <w:t>一、部门（单位）基本情况</w:t>
      </w:r>
    </w:p>
    <w:p w14:paraId="272BC2A2">
      <w:pPr>
        <w:widowControl/>
        <w:adjustRightInd w:val="0"/>
        <w:snapToGrid w:val="0"/>
        <w:spacing w:line="578" w:lineRule="exact"/>
        <w:ind w:firstLine="643" w:firstLineChars="200"/>
        <w:contextualSpacing/>
        <w:jc w:val="left"/>
        <w:rPr>
          <w:rFonts w:hint="eastAsia"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（一）机构组成。</w:t>
      </w:r>
      <w:r>
        <w:rPr>
          <w:rFonts w:hint="eastAsia" w:ascii="Times New Roman" w:hAnsi="Times New Roman" w:eastAsia="仿宋_GB2312" w:cs="Times New Roman"/>
          <w:color w:val="000000"/>
          <w:kern w:val="0"/>
          <w:sz w:val="32"/>
          <w:szCs w:val="32"/>
          <w:shd w:val="clear" w:color="auto" w:fill="FFFFFF"/>
        </w:rPr>
        <w:t>仁和区分局为实施</w:t>
      </w:r>
      <w:r>
        <w:rPr>
          <w:rFonts w:hint="eastAsia" w:ascii="Times New Roman" w:hAnsi="Times New Roman" w:eastAsia="仿宋_GB2312" w:cs="Times New Roman"/>
          <w:color w:val="000000"/>
          <w:kern w:val="0"/>
          <w:sz w:val="32"/>
          <w:szCs w:val="32"/>
          <w:shd w:val="clear" w:color="auto" w:fill="FFFFFF"/>
          <w:lang w:val="zh-CN"/>
        </w:rPr>
        <w:t>独立核算</w:t>
      </w:r>
      <w:r>
        <w:rPr>
          <w:rFonts w:hint="eastAsia" w:ascii="Times New Roman" w:hAnsi="Times New Roman" w:eastAsia="仿宋_GB2312" w:cs="Times New Roman"/>
          <w:color w:val="000000"/>
          <w:kern w:val="0"/>
          <w:sz w:val="32"/>
          <w:szCs w:val="32"/>
          <w:shd w:val="clear" w:color="auto" w:fill="FFFFFF"/>
        </w:rPr>
        <w:t>二级预算单位，性质为行政</w:t>
      </w:r>
      <w:r>
        <w:rPr>
          <w:rFonts w:hint="eastAsia" w:ascii="Times New Roman" w:hAnsi="Times New Roman" w:eastAsia="仿宋_GB2312" w:cs="Times New Roman"/>
          <w:color w:val="000000"/>
          <w:kern w:val="0"/>
          <w:sz w:val="32"/>
          <w:szCs w:val="32"/>
          <w:shd w:val="clear" w:color="auto" w:fill="FFFFFF"/>
          <w:lang w:val="zh-CN"/>
        </w:rPr>
        <w:t>，内设三股一室，</w:t>
      </w:r>
      <w:r>
        <w:rPr>
          <w:rFonts w:hint="eastAsia" w:ascii="Times New Roman" w:hAnsi="Times New Roman" w:eastAsia="仿宋_GB2312" w:cs="Times New Roman"/>
          <w:color w:val="000000"/>
          <w:kern w:val="0"/>
          <w:sz w:val="32"/>
          <w:szCs w:val="32"/>
          <w:shd w:val="clear" w:color="auto" w:fill="FFFFFF"/>
        </w:rPr>
        <w:t>与</w:t>
      </w:r>
      <w:r>
        <w:rPr>
          <w:rFonts w:hint="eastAsia" w:ascii="Times New Roman" w:hAnsi="Times New Roman" w:eastAsia="仿宋_GB2312" w:cs="Times New Roman"/>
          <w:color w:val="000000"/>
          <w:kern w:val="0"/>
          <w:sz w:val="32"/>
          <w:szCs w:val="32"/>
          <w:shd w:val="clear" w:color="auto" w:fill="FFFFFF"/>
          <w:lang w:val="zh-CN"/>
        </w:rPr>
        <w:t>市国土资源执法监察支队仁和区大队、攀枝花市不动产登记中心仁和分中心合署办公，代管市自然资源和规划局派驻仁和区13个自然资源所。</w:t>
      </w:r>
    </w:p>
    <w:p w14:paraId="14202854">
      <w:pPr>
        <w:widowControl/>
        <w:adjustRightInd w:val="0"/>
        <w:snapToGrid w:val="0"/>
        <w:spacing w:line="580" w:lineRule="exact"/>
        <w:ind w:firstLine="643"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（二）机构职能。</w:t>
      </w:r>
      <w:r>
        <w:rPr>
          <w:rFonts w:ascii="Times New Roman" w:hAnsi="Times New Roman" w:eastAsia="仿宋_GB2312" w:cs="Times New Roman"/>
          <w:sz w:val="32"/>
          <w:szCs w:val="32"/>
        </w:rPr>
        <w:t>仁</w:t>
      </w:r>
      <w:r>
        <w:rPr>
          <w:rFonts w:ascii="Times New Roman" w:hAnsi="Times New Roman" w:eastAsia="仿宋_GB2312" w:cs="Times New Roman"/>
          <w:color w:val="000000"/>
          <w:kern w:val="0"/>
          <w:sz w:val="32"/>
          <w:szCs w:val="32"/>
          <w:shd w:val="clear" w:color="auto" w:fill="FFFFFF"/>
        </w:rPr>
        <w:t>和区分局是主管</w:t>
      </w:r>
      <w:r>
        <w:rPr>
          <w:rFonts w:hint="eastAsia" w:ascii="Times New Roman" w:hAnsi="Times New Roman" w:eastAsia="仿宋_GB2312" w:cs="Times New Roman"/>
          <w:color w:val="000000"/>
          <w:kern w:val="0"/>
          <w:sz w:val="32"/>
          <w:szCs w:val="32"/>
          <w:shd w:val="clear" w:color="auto" w:fill="FFFFFF"/>
        </w:rPr>
        <w:t>仁和</w:t>
      </w:r>
      <w:r>
        <w:rPr>
          <w:rFonts w:ascii="Times New Roman" w:hAnsi="Times New Roman" w:eastAsia="仿宋_GB2312" w:cs="Times New Roman"/>
          <w:color w:val="000000"/>
          <w:kern w:val="0"/>
          <w:sz w:val="32"/>
          <w:szCs w:val="32"/>
          <w:shd w:val="clear" w:color="auto" w:fill="FFFFFF"/>
        </w:rPr>
        <w:t>区土地、矿产资源的调查评价、规划、管理、保护与合理利用的市政府工作部门</w:t>
      </w:r>
      <w:r>
        <w:rPr>
          <w:rFonts w:hint="eastAsia" w:ascii="Times New Roman" w:hAnsi="Times New Roman" w:eastAsia="仿宋_GB2312" w:cs="Times New Roman"/>
          <w:color w:val="000000"/>
          <w:kern w:val="0"/>
          <w:sz w:val="32"/>
          <w:szCs w:val="32"/>
          <w:shd w:val="clear" w:color="auto" w:fill="FFFFFF"/>
        </w:rPr>
        <w:t>内设机构，履行如下职能：</w:t>
      </w:r>
    </w:p>
    <w:p w14:paraId="34B44CD3">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贯彻执行国家、省、市有关自然资源管理的</w:t>
      </w:r>
      <w:r>
        <w:rPr>
          <w:rFonts w:hint="eastAsia" w:eastAsia="仿宋_GB2312" w:cs="Times New Roman"/>
          <w:color w:val="000000"/>
          <w:kern w:val="0"/>
          <w:sz w:val="32"/>
          <w:szCs w:val="32"/>
          <w:shd w:val="clear" w:color="auto" w:fill="FFFFFF"/>
          <w:lang w:eastAsia="zh-CN"/>
        </w:rPr>
        <w:t>法律法规</w:t>
      </w:r>
      <w:r>
        <w:rPr>
          <w:rFonts w:ascii="Times New Roman" w:hAnsi="Times New Roman" w:eastAsia="仿宋_GB2312" w:cs="Times New Roman"/>
          <w:color w:val="000000"/>
          <w:kern w:val="0"/>
          <w:sz w:val="32"/>
          <w:szCs w:val="32"/>
          <w:shd w:val="clear" w:color="auto" w:fill="FFFFFF"/>
        </w:rPr>
        <w:t>、政策和规章，组织开展自然资源相关</w:t>
      </w:r>
      <w:r>
        <w:rPr>
          <w:rFonts w:hint="eastAsia" w:eastAsia="仿宋_GB2312" w:cs="Times New Roman"/>
          <w:color w:val="000000"/>
          <w:kern w:val="0"/>
          <w:sz w:val="32"/>
          <w:szCs w:val="32"/>
          <w:shd w:val="clear" w:color="auto" w:fill="FFFFFF"/>
          <w:lang w:eastAsia="zh-CN"/>
        </w:rPr>
        <w:t>法治宣传教育</w:t>
      </w:r>
      <w:r>
        <w:rPr>
          <w:rFonts w:ascii="Times New Roman" w:hAnsi="Times New Roman" w:eastAsia="仿宋_GB2312" w:cs="Times New Roman"/>
          <w:color w:val="000000"/>
          <w:kern w:val="0"/>
          <w:sz w:val="32"/>
          <w:szCs w:val="32"/>
          <w:shd w:val="clear" w:color="auto" w:fill="FFFFFF"/>
        </w:rPr>
        <w:t>；</w:t>
      </w:r>
    </w:p>
    <w:p w14:paraId="70D897B7">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2</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负责辖区内矿产资源管理、地质环境保护、地质灾害防治与监管工作。负责权限内采矿权审批登记、发证工作；</w:t>
      </w:r>
    </w:p>
    <w:p w14:paraId="7D02B350">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3</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承担辖区内耕地保护的责任，</w:t>
      </w:r>
      <w:r>
        <w:rPr>
          <w:rFonts w:hint="eastAsia" w:eastAsia="仿宋_GB2312" w:cs="Times New Roman"/>
          <w:color w:val="000000"/>
          <w:kern w:val="0"/>
          <w:sz w:val="32"/>
          <w:szCs w:val="32"/>
          <w:shd w:val="clear" w:color="auto" w:fill="FFFFFF"/>
          <w:lang w:eastAsia="zh-CN"/>
        </w:rPr>
        <w:t>拟订</w:t>
      </w:r>
      <w:r>
        <w:rPr>
          <w:rFonts w:ascii="Times New Roman" w:hAnsi="Times New Roman" w:eastAsia="仿宋_GB2312" w:cs="Times New Roman"/>
          <w:color w:val="000000"/>
          <w:kern w:val="0"/>
          <w:sz w:val="32"/>
          <w:szCs w:val="32"/>
          <w:shd w:val="clear" w:color="auto" w:fill="FFFFFF"/>
        </w:rPr>
        <w:t>并组织实施耕地保护、基本农田保护政策，监督占用耕地补偿制度执行情况；</w:t>
      </w:r>
    </w:p>
    <w:p w14:paraId="62F88B2A">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4</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编制并组织实施辖区内国土资源各项专项规划，并依法监督实施；</w:t>
      </w:r>
    </w:p>
    <w:p w14:paraId="1626E43C">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5</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受市局委托负责辖区内临时用地审核和农村集体土地所有权、集体建设用地使用权的登记发证。指导辖区内土地征收、土地储备工作；</w:t>
      </w:r>
    </w:p>
    <w:p w14:paraId="31F264DB">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6</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协助市局做好辖区内的土地、矿产资源的勘测、规划、调查、登记、发证等工作，依法调解土地、矿产权属纠纷；</w:t>
      </w:r>
    </w:p>
    <w:p w14:paraId="26E4A72B">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7</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协助市局管理辖</w:t>
      </w:r>
      <w:r>
        <w:rPr>
          <w:rFonts w:hint="eastAsia" w:ascii="Times New Roman" w:hAnsi="Times New Roman" w:eastAsia="仿宋_GB2312" w:cs="Times New Roman"/>
          <w:color w:val="000000"/>
          <w:kern w:val="0"/>
          <w:sz w:val="32"/>
          <w:szCs w:val="32"/>
          <w:shd w:val="clear" w:color="auto" w:fill="FFFFFF"/>
          <w:lang w:eastAsia="zh-CN"/>
        </w:rPr>
        <w:t>区</w:t>
      </w:r>
      <w:r>
        <w:rPr>
          <w:rFonts w:ascii="Times New Roman" w:hAnsi="Times New Roman" w:eastAsia="仿宋_GB2312" w:cs="Times New Roman"/>
          <w:color w:val="000000"/>
          <w:kern w:val="0"/>
          <w:sz w:val="32"/>
          <w:szCs w:val="32"/>
          <w:shd w:val="clear" w:color="auto" w:fill="FFFFFF"/>
        </w:rPr>
        <w:t>内的土地、矿产市场。协助市局做好辖区内国土资源执法监察、违法案件查处和信访工作；</w:t>
      </w:r>
    </w:p>
    <w:p w14:paraId="443A5271">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8</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负责推进辖区内国土资源科技进步和国土资源信息化建设；</w:t>
      </w:r>
    </w:p>
    <w:p w14:paraId="08F1B82B">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9</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负责辖区内基层国土资源管理所的日常管理工作；</w:t>
      </w:r>
    </w:p>
    <w:p w14:paraId="369B5338">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10</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负责辖区内国土资源管理所的党风廉政建设和行业作风建设；</w:t>
      </w:r>
    </w:p>
    <w:p w14:paraId="77F14358">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11</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完成权限内的规划与实施管理</w:t>
      </w:r>
      <w:r>
        <w:rPr>
          <w:rFonts w:hint="eastAsia" w:ascii="Times New Roman" w:hAnsi="Times New Roman" w:eastAsia="仿宋_GB2312" w:cs="Times New Roman"/>
          <w:color w:val="000000"/>
          <w:kern w:val="0"/>
          <w:sz w:val="32"/>
          <w:szCs w:val="32"/>
          <w:shd w:val="clear" w:color="auto" w:fill="FFFFFF"/>
        </w:rPr>
        <w:t>；</w:t>
      </w:r>
    </w:p>
    <w:p w14:paraId="4ED01CF3">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12</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完成市局和</w:t>
      </w:r>
      <w:r>
        <w:rPr>
          <w:rFonts w:hint="eastAsia" w:ascii="Times New Roman" w:hAnsi="Times New Roman" w:eastAsia="仿宋_GB2312" w:cs="Times New Roman"/>
          <w:color w:val="000000"/>
          <w:kern w:val="0"/>
          <w:sz w:val="32"/>
          <w:szCs w:val="32"/>
          <w:shd w:val="clear" w:color="auto" w:fill="FFFFFF"/>
        </w:rPr>
        <w:t>仁和</w:t>
      </w:r>
      <w:r>
        <w:rPr>
          <w:rFonts w:ascii="Times New Roman" w:hAnsi="Times New Roman" w:eastAsia="仿宋_GB2312" w:cs="Times New Roman"/>
          <w:color w:val="000000"/>
          <w:kern w:val="0"/>
          <w:sz w:val="32"/>
          <w:szCs w:val="32"/>
          <w:shd w:val="clear" w:color="auto" w:fill="FFFFFF"/>
        </w:rPr>
        <w:t>区政府交办的</w:t>
      </w:r>
      <w:r>
        <w:rPr>
          <w:rFonts w:hint="eastAsia" w:eastAsia="仿宋_GB2312" w:cs="Times New Roman"/>
          <w:color w:val="000000"/>
          <w:kern w:val="0"/>
          <w:sz w:val="32"/>
          <w:szCs w:val="32"/>
          <w:shd w:val="clear" w:color="auto" w:fill="FFFFFF"/>
          <w:lang w:eastAsia="zh-CN"/>
        </w:rPr>
        <w:t>其他事项</w:t>
      </w:r>
      <w:r>
        <w:rPr>
          <w:rFonts w:ascii="Times New Roman" w:hAnsi="Times New Roman" w:eastAsia="仿宋_GB2312" w:cs="Times New Roman"/>
          <w:color w:val="000000"/>
          <w:kern w:val="0"/>
          <w:sz w:val="32"/>
          <w:szCs w:val="32"/>
          <w:shd w:val="clear" w:color="auto" w:fill="FFFFFF"/>
        </w:rPr>
        <w:t>。</w:t>
      </w:r>
    </w:p>
    <w:p w14:paraId="3AE40BC6">
      <w:pPr>
        <w:spacing w:line="600" w:lineRule="exact"/>
        <w:ind w:firstLine="321" w:firstLineChars="100"/>
        <w:rPr>
          <w:rFonts w:ascii="Times New Roman" w:hAnsi="Times New Roman" w:eastAsia="仿宋_GB2312" w:cs="Times New Roman"/>
          <w:sz w:val="32"/>
          <w:szCs w:val="32"/>
        </w:rPr>
      </w:pPr>
      <w:r>
        <w:rPr>
          <w:rFonts w:ascii="Times New Roman" w:hAnsi="Times New Roman" w:eastAsia="楷体_GB2312" w:cs="Times New Roman"/>
          <w:b/>
          <w:bCs/>
          <w:color w:val="000000"/>
          <w:kern w:val="0"/>
          <w:sz w:val="32"/>
          <w:szCs w:val="32"/>
          <w:shd w:val="clear" w:color="auto" w:fill="FFFFFF"/>
          <w:lang w:val="zh-CN"/>
        </w:rPr>
        <w:t>（三）人员概况。</w:t>
      </w:r>
      <w:r>
        <w:rPr>
          <w:rFonts w:ascii="Times New Roman" w:hAnsi="Times New Roman" w:eastAsia="仿宋_GB2312" w:cs="Times New Roman"/>
          <w:sz w:val="32"/>
          <w:szCs w:val="32"/>
        </w:rPr>
        <w:t>截至202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年末，</w:t>
      </w:r>
      <w:r>
        <w:rPr>
          <w:rFonts w:hint="eastAsia" w:ascii="仿宋_GB2312" w:hAnsi="仿宋_GB2312" w:eastAsia="仿宋_GB2312" w:cs="仿宋_GB2312"/>
          <w:sz w:val="32"/>
          <w:szCs w:val="32"/>
        </w:rPr>
        <w:t>仁和区分局实有人数2</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人，其中行政编制</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人，非参公事业人员2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人。</w:t>
      </w:r>
    </w:p>
    <w:p w14:paraId="5D281C63">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二、部门资金收支情况</w:t>
      </w:r>
    </w:p>
    <w:p w14:paraId="656A856E">
      <w:pPr>
        <w:widowControl/>
        <w:adjustRightInd w:val="0"/>
        <w:snapToGrid w:val="0"/>
        <w:spacing w:line="578" w:lineRule="exact"/>
        <w:ind w:firstLine="643" w:firstLineChars="200"/>
        <w:contextualSpacing/>
        <w:jc w:val="left"/>
        <w:rPr>
          <w:rFonts w:hint="eastAsia" w:ascii="Times New Roman" w:hAnsi="Times New Roman" w:eastAsia="仿宋_GB2312" w:cs="Times New Roman"/>
          <w:sz w:val="32"/>
          <w:szCs w:val="32"/>
          <w:lang w:val="en-US" w:eastAsia="zh-CN"/>
        </w:rPr>
      </w:pPr>
      <w:r>
        <w:rPr>
          <w:rFonts w:ascii="Times New Roman" w:hAnsi="Times New Roman" w:eastAsia="楷体_GB2312" w:cs="Times New Roman"/>
          <w:b/>
          <w:bCs/>
          <w:color w:val="000000"/>
          <w:kern w:val="0"/>
          <w:sz w:val="32"/>
          <w:szCs w:val="32"/>
          <w:shd w:val="clear" w:color="auto" w:fill="FFFFFF"/>
          <w:lang w:val="zh-CN"/>
        </w:rPr>
        <w:t>（一）收入情况。</w:t>
      </w:r>
      <w:r>
        <w:rPr>
          <w:rFonts w:hint="eastAsia" w:ascii="Times New Roman" w:hAnsi="Times New Roman" w:eastAsia="楷体_GB2312" w:cs="Times New Roman"/>
          <w:sz w:val="32"/>
          <w:szCs w:val="32"/>
          <w:lang w:eastAsia="zh-CN"/>
        </w:rPr>
        <w:t>市自然资源和规划局仁和区分局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年年初预算收入</w:t>
      </w:r>
      <w:r>
        <w:rPr>
          <w:rFonts w:hint="eastAsia" w:ascii="Times New Roman" w:hAnsi="Times New Roman" w:eastAsia="仿宋_GB2312" w:cs="Times New Roman"/>
          <w:sz w:val="32"/>
          <w:szCs w:val="32"/>
          <w:lang w:val="en-US" w:eastAsia="zh-CN"/>
        </w:rPr>
        <w:t>519.93万元、</w:t>
      </w:r>
      <w:r>
        <w:rPr>
          <w:rFonts w:ascii="Times New Roman" w:hAnsi="Times New Roman" w:eastAsia="仿宋_GB2312" w:cs="Times New Roman"/>
          <w:sz w:val="32"/>
          <w:szCs w:val="32"/>
        </w:rPr>
        <w:t>决算报表收入</w:t>
      </w:r>
      <w:r>
        <w:rPr>
          <w:rFonts w:hint="eastAsia" w:ascii="Times New Roman" w:hAnsi="Times New Roman" w:eastAsia="仿宋_GB2312" w:cs="Times New Roman"/>
          <w:sz w:val="32"/>
          <w:szCs w:val="32"/>
          <w:lang w:eastAsia="zh-CN"/>
        </w:rPr>
        <w:t>一般公共预算收入</w:t>
      </w:r>
      <w:r>
        <w:rPr>
          <w:rFonts w:hint="eastAsia" w:ascii="Times New Roman" w:hAnsi="Times New Roman" w:eastAsia="仿宋_GB2312" w:cs="Times New Roman"/>
          <w:sz w:val="32"/>
          <w:szCs w:val="32"/>
          <w:lang w:val="en-US" w:eastAsia="zh-CN"/>
        </w:rPr>
        <w:t>1424.12万元，其他收入（主要是非同级财政拨款收入）1052.64万元。</w:t>
      </w:r>
    </w:p>
    <w:p w14:paraId="63381305">
      <w:pPr>
        <w:widowControl/>
        <w:adjustRightInd w:val="0"/>
        <w:snapToGrid w:val="0"/>
        <w:spacing w:line="578" w:lineRule="exact"/>
        <w:ind w:firstLine="643" w:firstLineChars="200"/>
        <w:contextualSpacing/>
        <w:jc w:val="left"/>
        <w:rPr>
          <w:rFonts w:hint="eastAsia" w:ascii="Times New Roman" w:hAnsi="Times New Roman" w:eastAsia="仿宋_GB2312" w:cs="Times New Roman"/>
          <w:sz w:val="32"/>
          <w:szCs w:val="32"/>
          <w:lang w:eastAsia="zh-CN"/>
        </w:rPr>
      </w:pPr>
      <w:r>
        <w:rPr>
          <w:rFonts w:ascii="Times New Roman" w:hAnsi="Times New Roman" w:eastAsia="楷体_GB2312" w:cs="Times New Roman"/>
          <w:b/>
          <w:bCs/>
          <w:color w:val="000000"/>
          <w:kern w:val="0"/>
          <w:sz w:val="32"/>
          <w:szCs w:val="32"/>
          <w:shd w:val="clear" w:color="auto" w:fill="FFFFFF"/>
          <w:lang w:val="zh-CN"/>
        </w:rPr>
        <w:t>（二）支出情况。</w:t>
      </w:r>
      <w:r>
        <w:rPr>
          <w:rFonts w:hint="eastAsia" w:ascii="Times New Roman" w:hAnsi="Times New Roman" w:eastAsia="楷体_GB2312" w:cs="Times New Roman"/>
          <w:sz w:val="32"/>
          <w:szCs w:val="32"/>
          <w:lang w:eastAsia="zh-CN"/>
        </w:rPr>
        <w:t>市自然资源和规划局仁和区分局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年年初预算支出</w:t>
      </w:r>
      <w:r>
        <w:rPr>
          <w:rFonts w:hint="eastAsia" w:ascii="Times New Roman" w:hAnsi="Times New Roman" w:eastAsia="仿宋_GB2312" w:cs="Times New Roman"/>
          <w:sz w:val="32"/>
          <w:szCs w:val="32"/>
          <w:lang w:val="en-US" w:eastAsia="zh-CN"/>
        </w:rPr>
        <w:t>519.93万元</w:t>
      </w:r>
      <w:r>
        <w:rPr>
          <w:rFonts w:ascii="Times New Roman" w:hAnsi="Times New Roman" w:eastAsia="仿宋_GB2312" w:cs="Times New Roman"/>
          <w:sz w:val="32"/>
          <w:szCs w:val="32"/>
        </w:rPr>
        <w:t>、决算报表支出</w:t>
      </w:r>
      <w:r>
        <w:rPr>
          <w:rFonts w:hint="eastAsia" w:ascii="Times New Roman" w:hAnsi="Times New Roman" w:eastAsia="仿宋_GB2312" w:cs="Times New Roman"/>
          <w:sz w:val="32"/>
          <w:szCs w:val="32"/>
          <w:lang w:eastAsia="zh-CN"/>
        </w:rPr>
        <w:t>一般公共</w:t>
      </w:r>
      <w:r>
        <w:rPr>
          <w:rFonts w:hint="eastAsia" w:eastAsia="仿宋_GB2312" w:cs="Times New Roman"/>
          <w:sz w:val="32"/>
          <w:szCs w:val="32"/>
          <w:lang w:eastAsia="zh-CN"/>
        </w:rPr>
        <w:t>预算</w:t>
      </w:r>
      <w:r>
        <w:rPr>
          <w:rFonts w:hint="eastAsia" w:ascii="Times New Roman" w:hAnsi="Times New Roman" w:eastAsia="仿宋_GB2312" w:cs="Times New Roman"/>
          <w:sz w:val="32"/>
          <w:szCs w:val="32"/>
          <w:lang w:val="en-US" w:eastAsia="zh-CN"/>
        </w:rPr>
        <w:t>1424.12万元，其他支出（主要是非同级财政拨款收入）1052.64万元，</w:t>
      </w:r>
      <w:r>
        <w:rPr>
          <w:rFonts w:hint="eastAsia" w:ascii="Times New Roman" w:hAnsi="Times New Roman" w:eastAsia="仿宋_GB2312" w:cs="Times New Roman"/>
          <w:sz w:val="32"/>
          <w:szCs w:val="32"/>
          <w:lang w:eastAsia="zh-CN"/>
        </w:rPr>
        <w:t>完成人员类支出、运转类支出、特定项目类支出，达到了正常运转及人民群众都比较满意。</w:t>
      </w:r>
    </w:p>
    <w:p w14:paraId="4AE0EFDC">
      <w:pPr>
        <w:widowControl/>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（三）</w:t>
      </w:r>
      <w:r>
        <w:rPr>
          <w:rFonts w:ascii="Times New Roman" w:hAnsi="Times New Roman" w:eastAsia="楷体_GB2312" w:cs="Times New Roman"/>
          <w:b/>
          <w:sz w:val="32"/>
          <w:szCs w:val="32"/>
        </w:rPr>
        <w:t>结余分配和结转结余情况。</w:t>
      </w:r>
      <w:r>
        <w:rPr>
          <w:rFonts w:hint="eastAsia" w:ascii="Times New Roman" w:hAnsi="Times New Roman" w:eastAsia="楷体_GB2312" w:cs="Times New Roman"/>
          <w:sz w:val="32"/>
          <w:szCs w:val="32"/>
          <w:lang w:eastAsia="zh-CN"/>
        </w:rPr>
        <w:t>市自然资源和规划局仁和区分局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无</w:t>
      </w:r>
      <w:r>
        <w:rPr>
          <w:rFonts w:ascii="Times New Roman" w:hAnsi="Times New Roman" w:eastAsia="仿宋_GB2312" w:cs="Times New Roman"/>
          <w:color w:val="000000"/>
          <w:kern w:val="0"/>
          <w:sz w:val="32"/>
          <w:szCs w:val="32"/>
          <w:shd w:val="clear" w:color="auto" w:fill="FFFFFF"/>
        </w:rPr>
        <w:t>结转结余。</w:t>
      </w:r>
    </w:p>
    <w:p w14:paraId="3E392F24">
      <w:pPr>
        <w:widowControl/>
        <w:adjustRightInd w:val="0"/>
        <w:snapToGrid w:val="0"/>
        <w:spacing w:line="578" w:lineRule="exact"/>
        <w:ind w:firstLine="640" w:firstLineChars="200"/>
        <w:contextualSpacing/>
        <w:jc w:val="left"/>
        <w:rPr>
          <w:rFonts w:ascii="Times New Roman" w:hAnsi="Times New Roman" w:eastAsia="黑体" w:cs="Times New Roman"/>
          <w:color w:val="000000" w:themeColor="text1"/>
          <w:kern w:val="0"/>
          <w:sz w:val="32"/>
          <w:szCs w:val="32"/>
          <w:shd w:val="clear" w:color="auto" w:fill="FFFFFF"/>
          <w14:textFill>
            <w14:solidFill>
              <w14:schemeClr w14:val="tx1"/>
            </w14:solidFill>
          </w14:textFill>
        </w:rPr>
      </w:pPr>
      <w:r>
        <w:rPr>
          <w:rFonts w:ascii="Times New Roman" w:hAnsi="Times New Roman" w:eastAsia="黑体" w:cs="Times New Roman"/>
          <w:color w:val="000000"/>
          <w:kern w:val="0"/>
          <w:sz w:val="32"/>
          <w:szCs w:val="32"/>
          <w:shd w:val="clear" w:color="auto" w:fill="FFFFFF"/>
        </w:rPr>
        <w:t>三、部门预算绩效分析</w:t>
      </w:r>
    </w:p>
    <w:p w14:paraId="1D25305F">
      <w:pPr>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（一）部门预算总体绩效分析。</w:t>
      </w:r>
      <w:r>
        <w:rPr>
          <w:rFonts w:ascii="Times New Roman" w:hAnsi="Times New Roman" w:eastAsia="仿宋_GB2312" w:cs="Times New Roman"/>
          <w:color w:val="000000"/>
          <w:kern w:val="0"/>
          <w:sz w:val="32"/>
          <w:szCs w:val="32"/>
          <w:shd w:val="clear" w:color="auto" w:fill="FFFFFF"/>
          <w:lang w:val="zh-CN"/>
        </w:rPr>
        <w:t>根据部门预算绩效评价指标体系“总体绩效”涉及二、三级指标进行逐项绩效分析并评分，依次包括履职效能、预算管理、财务管理、资产管理、采购管理等情况。</w:t>
      </w:r>
    </w:p>
    <w:p w14:paraId="4129B231">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1.</w:t>
      </w:r>
      <w:r>
        <w:rPr>
          <w:rFonts w:ascii="Times New Roman" w:hAnsi="Times New Roman" w:eastAsia="楷体_GB2312" w:cs="Times New Roman"/>
          <w:color w:val="000000"/>
          <w:kern w:val="0"/>
          <w:sz w:val="32"/>
          <w:szCs w:val="32"/>
          <w:shd w:val="clear" w:color="auto" w:fill="FFFFFF"/>
          <w:lang w:val="zh-CN"/>
        </w:rPr>
        <w:t>履职效能。</w:t>
      </w:r>
    </w:p>
    <w:p w14:paraId="16649D0A">
      <w:pPr>
        <w:widowControl w:val="0"/>
        <w:spacing w:line="600" w:lineRule="exact"/>
        <w:ind w:firstLine="320" w:firstLineChars="1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（1）项目年度目标任务严格执行相关政策，保障工资及时发放、足额发放，保障单位日常运转。</w:t>
      </w:r>
    </w:p>
    <w:p w14:paraId="0D18E673">
      <w:pPr>
        <w:widowControl w:val="0"/>
        <w:spacing w:line="600" w:lineRule="exact"/>
        <w:ind w:firstLine="320" w:firstLineChars="100"/>
        <w:jc w:val="both"/>
        <w:rPr>
          <w:rFonts w:hint="eastAsia"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（2）加快隐患点治理。</w:t>
      </w:r>
      <w:r>
        <w:rPr>
          <w:rFonts w:hint="eastAsia" w:ascii="Times New Roman" w:hAnsi="Times New Roman" w:eastAsia="仿宋_GB2312" w:cs="Times New Roman"/>
          <w:kern w:val="2"/>
          <w:sz w:val="32"/>
          <w:szCs w:val="32"/>
          <w:lang w:val="en-US" w:eastAsia="zh-CN" w:bidi="ar-SA"/>
        </w:rPr>
        <w:t>完成起查喇村大村组崖子脚滑坡治理、起查喇村苍蒲地组机动田滑坡治理、仁和区2025年地质灾害综合治理和避险搬迁等，保护人民群众生命财产安全。</w:t>
      </w:r>
    </w:p>
    <w:p w14:paraId="603B7920">
      <w:pPr>
        <w:widowControl w:val="0"/>
        <w:spacing w:line="600" w:lineRule="exact"/>
        <w:ind w:firstLine="320" w:firstLineChars="100"/>
        <w:jc w:val="both"/>
        <w:rPr>
          <w:rFonts w:hint="eastAsia"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kern w:val="2"/>
          <w:sz w:val="32"/>
          <w:szCs w:val="32"/>
          <w:lang w:val="en-US" w:eastAsia="zh-CN" w:bidi="ar-SA"/>
        </w:rPr>
        <w:t>）通过</w:t>
      </w:r>
      <w:r>
        <w:rPr>
          <w:rFonts w:hint="eastAsia" w:ascii="Times New Roman" w:hAnsi="Times New Roman" w:eastAsia="仿宋_GB2312" w:cs="Times New Roman"/>
          <w:kern w:val="2"/>
          <w:sz w:val="32"/>
          <w:szCs w:val="32"/>
          <w:lang w:val="en-US" w:eastAsia="zh-CN" w:bidi="ar-SA"/>
        </w:rPr>
        <w:t>监测点人员每天对隐患点实行简易监测，监测隐患点发展情况，及时采取</w:t>
      </w:r>
      <w:r>
        <w:rPr>
          <w:rFonts w:hint="eastAsia" w:eastAsia="仿宋_GB2312" w:cs="Times New Roman"/>
          <w:kern w:val="2"/>
          <w:sz w:val="32"/>
          <w:szCs w:val="32"/>
          <w:lang w:val="en-US" w:eastAsia="zh-CN" w:bidi="ar-SA"/>
        </w:rPr>
        <w:t>防治</w:t>
      </w:r>
      <w:r>
        <w:rPr>
          <w:rFonts w:hint="eastAsia" w:ascii="Times New Roman" w:hAnsi="Times New Roman" w:eastAsia="仿宋_GB2312" w:cs="Times New Roman"/>
          <w:kern w:val="2"/>
          <w:sz w:val="32"/>
          <w:szCs w:val="32"/>
          <w:lang w:val="en-US" w:eastAsia="zh-CN" w:bidi="ar-SA"/>
        </w:rPr>
        <w:t>措施，保障受威胁人群安全。</w:t>
      </w:r>
    </w:p>
    <w:p w14:paraId="4333160A">
      <w:pPr>
        <w:widowControl w:val="0"/>
        <w:spacing w:line="600" w:lineRule="exact"/>
        <w:ind w:firstLine="320" w:firstLineChars="1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4</w:t>
      </w:r>
      <w:r>
        <w:rPr>
          <w:rFonts w:hint="default" w:ascii="Times New Roman" w:hAnsi="Times New Roman"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仁和区地质灾害防治能力建设和宣传，</w:t>
      </w:r>
      <w:r>
        <w:rPr>
          <w:rFonts w:hint="default" w:ascii="Times New Roman" w:hAnsi="Times New Roman" w:eastAsia="仿宋_GB2312" w:cs="Times New Roman"/>
          <w:kern w:val="2"/>
          <w:sz w:val="32"/>
          <w:szCs w:val="32"/>
          <w:lang w:val="en-US" w:eastAsia="zh-CN" w:bidi="ar-SA"/>
        </w:rPr>
        <w:t>该项目</w:t>
      </w:r>
      <w:r>
        <w:rPr>
          <w:rFonts w:hint="eastAsia" w:ascii="Times New Roman" w:hAnsi="Times New Roman" w:eastAsia="仿宋_GB2312" w:cs="Times New Roman"/>
          <w:kern w:val="2"/>
          <w:sz w:val="32"/>
          <w:szCs w:val="32"/>
          <w:lang w:val="en-US" w:eastAsia="zh-CN" w:bidi="ar-SA"/>
        </w:rPr>
        <w:t>用于</w:t>
      </w:r>
      <w:r>
        <w:rPr>
          <w:rFonts w:hint="eastAsia" w:eastAsia="仿宋_GB2312" w:cs="Times New Roman"/>
          <w:kern w:val="2"/>
          <w:sz w:val="32"/>
          <w:szCs w:val="32"/>
          <w:lang w:val="en-US" w:eastAsia="zh-CN" w:bidi="ar-SA"/>
        </w:rPr>
        <w:t>开展2025年度</w:t>
      </w:r>
      <w:r>
        <w:rPr>
          <w:rFonts w:hint="eastAsia" w:ascii="Times New Roman" w:hAnsi="Times New Roman" w:eastAsia="仿宋_GB2312" w:cs="Times New Roman"/>
          <w:kern w:val="2"/>
          <w:sz w:val="32"/>
          <w:szCs w:val="32"/>
          <w:lang w:val="en-US" w:eastAsia="zh-CN" w:bidi="ar-SA"/>
        </w:rPr>
        <w:t>地质灾害宣传、隐患点核查等，按合同约定督导核查隐患点完工率为100%，提高人民群众识灾防灾能力，群众满意度提升达到95%。</w:t>
      </w:r>
    </w:p>
    <w:p w14:paraId="432A19EE">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2.</w:t>
      </w:r>
      <w:r>
        <w:rPr>
          <w:rFonts w:ascii="Times New Roman" w:hAnsi="Times New Roman" w:eastAsia="楷体_GB2312" w:cs="Times New Roman"/>
          <w:color w:val="000000"/>
          <w:kern w:val="0"/>
          <w:sz w:val="32"/>
          <w:szCs w:val="32"/>
          <w:shd w:val="clear" w:color="auto" w:fill="FFFFFF"/>
          <w:lang w:val="zh-CN"/>
        </w:rPr>
        <w:t>预算管理。</w:t>
      </w:r>
    </w:p>
    <w:p w14:paraId="3A564F0C">
      <w:pPr>
        <w:widowControl w:val="0"/>
        <w:numPr>
          <w:ilvl w:val="0"/>
          <w:numId w:val="0"/>
        </w:numPr>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（1）预算编制：各部门之间沟通协调充分，预算与工作任务相适应。做到程序规范、方法科学、内容完整，项目落实，数据准确。</w:t>
      </w:r>
    </w:p>
    <w:p w14:paraId="4A81FC39">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（2）预算执行：根据批复预算严格安排各项支出、指标细化分解，审批下达，保障基本需求；项目支出与项目进度相协调、严格控制追加调整，充分发挥预算对单位事业发展及经济活动的管控作用。</w:t>
      </w:r>
    </w:p>
    <w:p w14:paraId="364FFE21">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（3）预算年终结余：单位当年无预算年终结余。</w:t>
      </w:r>
    </w:p>
    <w:p w14:paraId="46AFAF12">
      <w:pPr>
        <w:widowControl w:val="0"/>
        <w:spacing w:line="600" w:lineRule="exact"/>
        <w:ind w:firstLine="640" w:firstLineChars="200"/>
        <w:jc w:val="both"/>
        <w:rPr>
          <w:rFonts w:ascii="宋体" w:hAnsi="Courier New" w:eastAsia="宋体" w:cs="Times New Roman"/>
          <w:kern w:val="2"/>
          <w:sz w:val="32"/>
          <w:szCs w:val="24"/>
          <w:lang w:val="zh-CN" w:eastAsia="zh-CN" w:bidi="ar-SA"/>
        </w:rPr>
      </w:pPr>
      <w:r>
        <w:rPr>
          <w:rFonts w:hint="default" w:ascii="Times New Roman" w:hAnsi="Times New Roman" w:eastAsia="仿宋_GB2312" w:cs="Times New Roman"/>
          <w:kern w:val="2"/>
          <w:sz w:val="32"/>
          <w:szCs w:val="32"/>
          <w:lang w:val="en-US" w:eastAsia="zh-CN" w:bidi="ar-SA"/>
        </w:rPr>
        <w:t>（4）单位严格按照文件要求严控一般性支出。</w:t>
      </w:r>
    </w:p>
    <w:p w14:paraId="0641C515">
      <w:p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3.</w:t>
      </w:r>
      <w:r>
        <w:rPr>
          <w:rFonts w:ascii="Times New Roman" w:hAnsi="Times New Roman" w:eastAsia="楷体_GB2312" w:cs="Times New Roman"/>
          <w:color w:val="000000"/>
          <w:kern w:val="0"/>
          <w:sz w:val="32"/>
          <w:szCs w:val="32"/>
          <w:shd w:val="clear" w:color="auto" w:fill="FFFFFF"/>
          <w:lang w:val="zh-CN"/>
        </w:rPr>
        <w:t>财务管理。</w:t>
      </w:r>
    </w:p>
    <w:p w14:paraId="12959DBF">
      <w:pPr>
        <w:widowControl w:val="0"/>
        <w:snapToGrid w:val="0"/>
        <w:ind w:firstLine="640" w:firstLineChars="20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en-US" w:eastAsia="zh-CN" w:bidi="ar-SA"/>
        </w:rPr>
        <w:t>单位财务管理制度健全，严格执行财务管理制度，账务处理及时，会计核算规范</w:t>
      </w:r>
      <w:r>
        <w:rPr>
          <w:rFonts w:hint="default" w:ascii="Times New Roman" w:hAnsi="Times New Roman" w:eastAsia="仿宋_GB2312" w:cs="Times New Roman"/>
          <w:kern w:val="2"/>
          <w:sz w:val="32"/>
          <w:szCs w:val="32"/>
          <w:lang w:val="zh-CN" w:eastAsia="zh-CN" w:bidi="ar-SA"/>
        </w:rPr>
        <w:t>。</w:t>
      </w:r>
    </w:p>
    <w:p w14:paraId="5970B08F">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楷体_GB2312" w:cs="Times New Roman"/>
          <w:color w:val="000000"/>
          <w:kern w:val="0"/>
          <w:sz w:val="32"/>
          <w:szCs w:val="32"/>
          <w:shd w:val="clear" w:color="auto" w:fill="FFFFFF"/>
          <w:lang w:val="en-US" w:eastAsia="zh-CN"/>
        </w:rPr>
        <w:t>4.</w:t>
      </w:r>
      <w:r>
        <w:rPr>
          <w:rFonts w:ascii="Times New Roman" w:hAnsi="Times New Roman" w:eastAsia="楷体_GB2312" w:cs="Times New Roman"/>
          <w:color w:val="000000"/>
          <w:kern w:val="0"/>
          <w:sz w:val="32"/>
          <w:szCs w:val="32"/>
          <w:shd w:val="clear" w:color="auto" w:fill="FFFFFF"/>
          <w:lang w:val="zh-CN"/>
        </w:rPr>
        <w:t>资产管理。</w:t>
      </w:r>
    </w:p>
    <w:p w14:paraId="34C6A681">
      <w:pPr>
        <w:widowControl w:val="0"/>
        <w:numPr>
          <w:ilvl w:val="0"/>
          <w:numId w:val="0"/>
        </w:numPr>
        <w:spacing w:line="600" w:lineRule="exact"/>
        <w:ind w:firstLine="640" w:firstLineChars="200"/>
        <w:jc w:val="both"/>
        <w:rPr>
          <w:rFonts w:ascii="宋体" w:hAnsi="Courier New" w:eastAsia="宋体" w:cs="Times New Roman"/>
          <w:kern w:val="2"/>
          <w:sz w:val="32"/>
          <w:szCs w:val="24"/>
          <w:lang w:val="zh-CN" w:eastAsia="zh-CN" w:bidi="ar-SA"/>
        </w:rPr>
      </w:pPr>
      <w:r>
        <w:rPr>
          <w:rFonts w:hint="default" w:ascii="Times New Roman" w:hAnsi="Times New Roman" w:eastAsia="仿宋_GB2312" w:cs="Times New Roman"/>
          <w:kern w:val="2"/>
          <w:sz w:val="32"/>
          <w:szCs w:val="32"/>
          <w:lang w:val="en-US" w:eastAsia="zh-CN" w:bidi="ar-SA"/>
        </w:rPr>
        <w:t>确保资产配置标准、决策和审批程序符合规定，规范国有资产使用行为，落实使用责任，防止国有资产流失，保证资产安全完整，提高资产使用效能。</w:t>
      </w:r>
    </w:p>
    <w:p w14:paraId="15EC115A">
      <w:p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5.</w:t>
      </w:r>
      <w:r>
        <w:rPr>
          <w:rFonts w:ascii="Times New Roman" w:hAnsi="Times New Roman" w:eastAsia="楷体_GB2312" w:cs="Times New Roman"/>
          <w:color w:val="000000"/>
          <w:kern w:val="0"/>
          <w:sz w:val="32"/>
          <w:szCs w:val="32"/>
          <w:shd w:val="clear" w:color="auto" w:fill="FFFFFF"/>
          <w:lang w:val="zh-CN"/>
        </w:rPr>
        <w:t>采购管理。</w:t>
      </w:r>
      <w:r>
        <w:rPr>
          <w:rFonts w:ascii="Times New Roman" w:hAnsi="Times New Roman" w:eastAsia="仿宋_GB2312" w:cs="Times New Roman"/>
          <w:color w:val="000000"/>
          <w:kern w:val="0"/>
          <w:sz w:val="32"/>
          <w:szCs w:val="32"/>
          <w:shd w:val="clear" w:color="auto" w:fill="FFFFFF"/>
          <w:lang w:val="zh-CN"/>
        </w:rPr>
        <w:t>围绕支持中小企业发展、采购执行率进行绩效分析。</w:t>
      </w:r>
    </w:p>
    <w:p w14:paraId="2ED81E5A">
      <w:pPr>
        <w:widowControl/>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（二）部门预算项目绩效分析。</w:t>
      </w:r>
      <w:r>
        <w:rPr>
          <w:rFonts w:ascii="Times New Roman" w:hAnsi="Times New Roman" w:eastAsia="仿宋_GB2312" w:cs="Times New Roman"/>
          <w:color w:val="000000"/>
          <w:kern w:val="0"/>
          <w:sz w:val="32"/>
          <w:szCs w:val="32"/>
          <w:shd w:val="clear" w:color="auto" w:fill="FFFFFF"/>
          <w:lang w:val="zh-CN"/>
        </w:rPr>
        <w:t>填报以下数据，并根据部门预算绩效评价指标体系“项目绩效”涉及二、三级指标进行逐项绩效分析并评分，依次包括项目</w:t>
      </w:r>
      <w:r>
        <w:rPr>
          <w:rFonts w:ascii="Times New Roman" w:hAnsi="Times New Roman" w:eastAsia="仿宋_GB2312" w:cs="Times New Roman"/>
          <w:color w:val="000000"/>
          <w:kern w:val="0"/>
          <w:sz w:val="32"/>
          <w:szCs w:val="32"/>
          <w:shd w:val="clear" w:color="auto" w:fill="FFFFFF"/>
        </w:rPr>
        <w:t>决策、项目执行、目标实现等情况。</w:t>
      </w:r>
    </w:p>
    <w:p w14:paraId="48D2A52B">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color w:val="000000"/>
          <w:kern w:val="0"/>
          <w:sz w:val="32"/>
          <w:szCs w:val="32"/>
          <w:shd w:val="clear" w:color="auto" w:fill="FFFFFF"/>
        </w:rPr>
        <w:t>常年项目绩效分析。</w:t>
      </w:r>
      <w:r>
        <w:rPr>
          <w:rFonts w:ascii="Times New Roman" w:hAnsi="Times New Roman" w:eastAsia="仿宋_GB2312" w:cs="Times New Roman"/>
          <w:color w:val="000000"/>
          <w:kern w:val="0"/>
          <w:sz w:val="32"/>
          <w:szCs w:val="32"/>
          <w:shd w:val="clear" w:color="auto" w:fill="FFFFFF"/>
          <w:lang w:val="zh-CN"/>
        </w:rPr>
        <w:t>该类项目总数</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个，涉及预算总金额</w:t>
      </w:r>
      <w:r>
        <w:rPr>
          <w:rFonts w:ascii="Times New Roman" w:hAnsi="Times New Roman" w:eastAsia="仿宋_GB2312" w:cs="Times New Roman"/>
          <w:color w:val="000000"/>
          <w:kern w:val="0"/>
          <w:sz w:val="32"/>
          <w:szCs w:val="32"/>
          <w:shd w:val="clear" w:color="auto" w:fill="FFFFFF"/>
        </w:rPr>
        <w:t xml:space="preserve">   </w:t>
      </w:r>
      <w:r>
        <w:rPr>
          <w:rFonts w:ascii="Times New Roman" w:hAnsi="Times New Roman" w:eastAsia="仿宋_GB2312" w:cs="Times New Roman"/>
          <w:color w:val="000000"/>
          <w:kern w:val="0"/>
          <w:sz w:val="32"/>
          <w:szCs w:val="32"/>
          <w:shd w:val="clear" w:color="auto" w:fill="FFFFFF"/>
          <w:lang w:val="zh-CN"/>
        </w:rPr>
        <w:t>万元，1</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1</w:t>
      </w:r>
      <w:r>
        <w:rPr>
          <w:rFonts w:ascii="Times New Roman" w:hAnsi="Times New Roman" w:eastAsia="仿宋_GB2312" w:cs="Times New Roman"/>
          <w:color w:val="000000"/>
          <w:kern w:val="0"/>
          <w:sz w:val="32"/>
          <w:szCs w:val="32"/>
          <w:shd w:val="clear" w:color="auto" w:fill="FFFFFF"/>
        </w:rPr>
        <w:t>2</w:t>
      </w:r>
      <w:r>
        <w:rPr>
          <w:rFonts w:ascii="Times New Roman" w:hAnsi="Times New Roman" w:eastAsia="仿宋_GB2312" w:cs="Times New Roman"/>
          <w:color w:val="000000"/>
          <w:kern w:val="0"/>
          <w:sz w:val="32"/>
          <w:szCs w:val="32"/>
          <w:shd w:val="clear" w:color="auto" w:fill="FFFFFF"/>
          <w:lang w:val="zh-CN"/>
        </w:rPr>
        <w:t>月预算执行总体进度为</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rPr>
        <w:t xml:space="preserve"> </w:t>
      </w:r>
      <w:r>
        <w:rPr>
          <w:rFonts w:ascii="Times New Roman" w:hAnsi="Times New Roman" w:eastAsia="仿宋_GB2312" w:cs="Times New Roman"/>
          <w:color w:val="000000"/>
          <w:kern w:val="0"/>
          <w:sz w:val="32"/>
          <w:szCs w:val="32"/>
          <w:shd w:val="clear" w:color="auto" w:fill="FFFFFF"/>
          <w:lang w:val="zh-CN"/>
        </w:rPr>
        <w:t>%，其中：预算结余率大于</w:t>
      </w:r>
      <w:r>
        <w:rPr>
          <w:rFonts w:ascii="Times New Roman" w:hAnsi="Times New Roman" w:eastAsia="仿宋_GB2312" w:cs="Times New Roman"/>
          <w:color w:val="000000"/>
          <w:kern w:val="0"/>
          <w:sz w:val="32"/>
          <w:szCs w:val="32"/>
          <w:shd w:val="clear" w:color="auto" w:fill="FFFFFF"/>
        </w:rPr>
        <w:t>10%</w:t>
      </w:r>
      <w:r>
        <w:rPr>
          <w:rFonts w:ascii="Times New Roman" w:hAnsi="Times New Roman" w:eastAsia="仿宋_GB2312" w:cs="Times New Roman"/>
          <w:color w:val="000000"/>
          <w:kern w:val="0"/>
          <w:sz w:val="32"/>
          <w:szCs w:val="32"/>
          <w:shd w:val="clear" w:color="auto" w:fill="FFFFFF"/>
          <w:lang w:val="zh-CN"/>
        </w:rPr>
        <w:t>的项目共计</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个。</w:t>
      </w:r>
    </w:p>
    <w:p w14:paraId="5EEEE09A">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color w:val="000000"/>
          <w:kern w:val="0"/>
          <w:sz w:val="32"/>
          <w:szCs w:val="32"/>
          <w:shd w:val="clear" w:color="auto" w:fill="FFFFFF"/>
        </w:rPr>
        <w:t>阶段（</w:t>
      </w:r>
      <w:r>
        <w:rPr>
          <w:rFonts w:hint="eastAsia" w:ascii="Times New Roman" w:hAnsi="Times New Roman" w:eastAsia="仿宋_GB2312" w:cs="Times New Roman"/>
          <w:color w:val="000000"/>
          <w:kern w:val="0"/>
          <w:sz w:val="32"/>
          <w:szCs w:val="32"/>
          <w:shd w:val="clear" w:color="auto" w:fill="FFFFFF"/>
        </w:rPr>
        <w:t>含</w:t>
      </w:r>
      <w:r>
        <w:rPr>
          <w:rFonts w:ascii="Times New Roman" w:hAnsi="Times New Roman" w:eastAsia="仿宋_GB2312" w:cs="Times New Roman"/>
          <w:color w:val="000000"/>
          <w:kern w:val="0"/>
          <w:sz w:val="32"/>
          <w:szCs w:val="32"/>
          <w:shd w:val="clear" w:color="auto" w:fill="FFFFFF"/>
        </w:rPr>
        <w:t>一次性）项目绩效分析。</w:t>
      </w:r>
      <w:r>
        <w:rPr>
          <w:rFonts w:ascii="Times New Roman" w:hAnsi="Times New Roman" w:eastAsia="仿宋_GB2312" w:cs="Times New Roman"/>
          <w:color w:val="000000"/>
          <w:kern w:val="0"/>
          <w:sz w:val="32"/>
          <w:szCs w:val="32"/>
          <w:shd w:val="clear" w:color="auto" w:fill="FFFFFF"/>
          <w:lang w:val="zh-CN"/>
        </w:rPr>
        <w:t>该类项目总数</w:t>
      </w:r>
      <w:r>
        <w:rPr>
          <w:rFonts w:hint="eastAsia" w:ascii="Times New Roman" w:hAnsi="Times New Roman" w:eastAsia="仿宋_GB2312" w:cs="Times New Roman"/>
          <w:color w:val="000000"/>
          <w:kern w:val="0"/>
          <w:sz w:val="32"/>
          <w:szCs w:val="32"/>
          <w:shd w:val="clear" w:color="auto" w:fill="FFFFFF"/>
          <w:lang w:val="en-US" w:eastAsia="zh-CN"/>
        </w:rPr>
        <w:t>13</w:t>
      </w:r>
      <w:r>
        <w:rPr>
          <w:rFonts w:ascii="Times New Roman" w:hAnsi="Times New Roman" w:eastAsia="仿宋_GB2312" w:cs="Times New Roman"/>
          <w:color w:val="000000"/>
          <w:kern w:val="0"/>
          <w:sz w:val="32"/>
          <w:szCs w:val="32"/>
          <w:shd w:val="clear" w:color="auto" w:fill="FFFFFF"/>
          <w:lang w:val="zh-CN"/>
        </w:rPr>
        <w:t>个，涉及预算总金额</w:t>
      </w:r>
      <w:r>
        <w:rPr>
          <w:rFonts w:hint="eastAsia" w:ascii="Times New Roman" w:hAnsi="Times New Roman" w:eastAsia="仿宋_GB2312" w:cs="Times New Roman"/>
          <w:color w:val="000000"/>
          <w:kern w:val="0"/>
          <w:sz w:val="32"/>
          <w:szCs w:val="32"/>
          <w:shd w:val="clear" w:color="auto" w:fill="FFFFFF"/>
          <w:lang w:val="en-US" w:eastAsia="zh-CN"/>
        </w:rPr>
        <w:t>1017.13</w:t>
      </w:r>
      <w:r>
        <w:rPr>
          <w:rFonts w:ascii="Times New Roman" w:hAnsi="Times New Roman" w:eastAsia="仿宋_GB2312" w:cs="Times New Roman"/>
          <w:color w:val="000000"/>
          <w:kern w:val="0"/>
          <w:sz w:val="32"/>
          <w:szCs w:val="32"/>
          <w:shd w:val="clear" w:color="auto" w:fill="FFFFFF"/>
          <w:lang w:val="zh-CN"/>
        </w:rPr>
        <w:t>万元，1</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1</w:t>
      </w:r>
      <w:r>
        <w:rPr>
          <w:rFonts w:ascii="Times New Roman" w:hAnsi="Times New Roman" w:eastAsia="仿宋_GB2312" w:cs="Times New Roman"/>
          <w:color w:val="000000"/>
          <w:kern w:val="0"/>
          <w:sz w:val="32"/>
          <w:szCs w:val="32"/>
          <w:shd w:val="clear" w:color="auto" w:fill="FFFFFF"/>
        </w:rPr>
        <w:t>2</w:t>
      </w:r>
      <w:r>
        <w:rPr>
          <w:rFonts w:ascii="Times New Roman" w:hAnsi="Times New Roman" w:eastAsia="仿宋_GB2312" w:cs="Times New Roman"/>
          <w:color w:val="000000"/>
          <w:kern w:val="0"/>
          <w:sz w:val="32"/>
          <w:szCs w:val="32"/>
          <w:shd w:val="clear" w:color="auto" w:fill="FFFFFF"/>
          <w:lang w:val="zh-CN"/>
        </w:rPr>
        <w:t>月预算执行总体进度为</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86.7</w:t>
      </w:r>
      <w:r>
        <w:rPr>
          <w:rFonts w:ascii="Times New Roman" w:hAnsi="Times New Roman" w:eastAsia="仿宋_GB2312" w:cs="Times New Roman"/>
          <w:color w:val="000000"/>
          <w:kern w:val="0"/>
          <w:sz w:val="32"/>
          <w:szCs w:val="32"/>
          <w:shd w:val="clear" w:color="auto" w:fill="FFFFFF"/>
        </w:rPr>
        <w:t xml:space="preserve"> </w:t>
      </w:r>
      <w:r>
        <w:rPr>
          <w:rFonts w:ascii="Times New Roman" w:hAnsi="Times New Roman" w:eastAsia="仿宋_GB2312" w:cs="Times New Roman"/>
          <w:color w:val="000000"/>
          <w:kern w:val="0"/>
          <w:sz w:val="32"/>
          <w:szCs w:val="32"/>
          <w:shd w:val="clear" w:color="auto" w:fill="FFFFFF"/>
          <w:lang w:val="zh-CN"/>
        </w:rPr>
        <w:t>%，其中：预算结余率大于</w:t>
      </w:r>
      <w:r>
        <w:rPr>
          <w:rFonts w:ascii="Times New Roman" w:hAnsi="Times New Roman" w:eastAsia="仿宋_GB2312" w:cs="Times New Roman"/>
          <w:color w:val="000000"/>
          <w:kern w:val="0"/>
          <w:sz w:val="32"/>
          <w:szCs w:val="32"/>
          <w:shd w:val="clear" w:color="auto" w:fill="FFFFFF"/>
        </w:rPr>
        <w:t>10%</w:t>
      </w:r>
      <w:r>
        <w:rPr>
          <w:rFonts w:ascii="Times New Roman" w:hAnsi="Times New Roman" w:eastAsia="仿宋_GB2312" w:cs="Times New Roman"/>
          <w:color w:val="000000"/>
          <w:kern w:val="0"/>
          <w:sz w:val="32"/>
          <w:szCs w:val="32"/>
          <w:shd w:val="clear" w:color="auto" w:fill="FFFFFF"/>
          <w:lang w:val="zh-CN"/>
        </w:rPr>
        <w:t>的项目共计</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1</w:t>
      </w:r>
      <w:r>
        <w:rPr>
          <w:rFonts w:ascii="Times New Roman" w:hAnsi="Times New Roman" w:eastAsia="仿宋_GB2312" w:cs="Times New Roman"/>
          <w:color w:val="000000"/>
          <w:kern w:val="0"/>
          <w:sz w:val="32"/>
          <w:szCs w:val="32"/>
          <w:shd w:val="clear" w:color="auto" w:fill="FFFFFF"/>
          <w:lang w:val="zh-CN"/>
        </w:rPr>
        <w:t>个。</w:t>
      </w:r>
    </w:p>
    <w:p w14:paraId="0D8C4231">
      <w:pPr>
        <w:numPr>
          <w:ilvl w:val="0"/>
          <w:numId w:val="15"/>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lang w:val="zh-CN"/>
        </w:rPr>
        <w:t>项目决策。</w:t>
      </w:r>
    </w:p>
    <w:p w14:paraId="1D6C0FB7">
      <w:pPr>
        <w:widowControl w:val="0"/>
        <w:numPr>
          <w:ilvl w:val="0"/>
          <w:numId w:val="0"/>
        </w:numPr>
        <w:spacing w:line="600" w:lineRule="exact"/>
        <w:ind w:firstLine="640" w:firstLineChars="200"/>
        <w:jc w:val="both"/>
        <w:rPr>
          <w:rFonts w:ascii="宋体" w:hAnsi="Courier New" w:eastAsia="宋体" w:cs="Times New Roman"/>
          <w:kern w:val="2"/>
          <w:sz w:val="32"/>
          <w:szCs w:val="24"/>
          <w:lang w:val="zh-CN" w:eastAsia="zh-CN" w:bidi="ar-SA"/>
        </w:rPr>
      </w:pPr>
      <w:r>
        <w:rPr>
          <w:rFonts w:hint="default" w:ascii="Times New Roman" w:hAnsi="Times New Roman" w:eastAsia="仿宋_GB2312" w:cs="Times New Roman"/>
          <w:kern w:val="2"/>
          <w:sz w:val="32"/>
          <w:szCs w:val="32"/>
          <w:lang w:val="en-US" w:eastAsia="zh-CN" w:bidi="ar-SA"/>
        </w:rPr>
        <w:t>根据202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年部门预算批复的规定，</w:t>
      </w:r>
      <w:r>
        <w:rPr>
          <w:rFonts w:hint="eastAsia" w:ascii="Times New Roman" w:hAnsi="Times New Roman" w:eastAsia="仿宋_GB2312" w:cs="Times New Roman"/>
          <w:kern w:val="2"/>
          <w:sz w:val="32"/>
          <w:szCs w:val="32"/>
          <w:lang w:val="en-US" w:eastAsia="zh-CN" w:bidi="ar-SA"/>
        </w:rPr>
        <w:t>攀枝花市自然资源和规划局仁和区分局</w:t>
      </w:r>
      <w:r>
        <w:rPr>
          <w:rFonts w:hint="default" w:ascii="Times New Roman" w:hAnsi="Times New Roman" w:eastAsia="仿宋_GB2312" w:cs="Times New Roman"/>
          <w:kern w:val="2"/>
          <w:sz w:val="32"/>
          <w:szCs w:val="32"/>
          <w:lang w:val="en-US" w:eastAsia="zh-CN" w:bidi="ar-SA"/>
        </w:rPr>
        <w:t>对项目的目标进行设置，各项指标设置完整细化，合理合规进行项目入库。</w:t>
      </w:r>
    </w:p>
    <w:p w14:paraId="3608C342">
      <w:pPr>
        <w:numPr>
          <w:ilvl w:val="0"/>
          <w:numId w:val="15"/>
        </w:numPr>
        <w:adjustRightInd w:val="0"/>
        <w:snapToGrid w:val="0"/>
        <w:spacing w:line="578" w:lineRule="exact"/>
        <w:ind w:left="0" w:leftChars="0"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项目执行</w:t>
      </w:r>
      <w:r>
        <w:rPr>
          <w:rFonts w:ascii="Times New Roman" w:hAnsi="Times New Roman" w:eastAsia="楷体_GB2312" w:cs="Times New Roman"/>
          <w:color w:val="000000"/>
          <w:kern w:val="0"/>
          <w:sz w:val="32"/>
          <w:szCs w:val="32"/>
          <w:shd w:val="clear" w:color="auto" w:fill="FFFFFF"/>
          <w:lang w:val="zh-CN"/>
        </w:rPr>
        <w:t>。</w:t>
      </w:r>
    </w:p>
    <w:p w14:paraId="7711DD4B">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仿宋_GB2312" w:cs="Times New Roman"/>
          <w:sz w:val="32"/>
          <w:szCs w:val="32"/>
          <w:lang w:eastAsia="zh-CN"/>
        </w:rPr>
        <w:t>攀枝花市自然资源和规划局仁和区分局</w:t>
      </w:r>
      <w:r>
        <w:rPr>
          <w:rFonts w:hint="default" w:ascii="Times New Roman" w:hAnsi="Times New Roman" w:eastAsia="仿宋_GB2312" w:cs="Times New Roman"/>
          <w:sz w:val="32"/>
          <w:szCs w:val="32"/>
        </w:rPr>
        <w:t>遵循“先有预算、后有支出”的原则，结合单位年度工作任务，严格按照批复的预算项目、科目和金额，科学合理规范使用项目经费，年度无预算项目调整情况，项目预算执行进度进展良好，无违规记录，各项经费的开支范围均以预算批复数为基准</w:t>
      </w:r>
      <w:r>
        <w:rPr>
          <w:rFonts w:hint="eastAsia" w:ascii="Times New Roman" w:hAnsi="Times New Roman" w:eastAsia="仿宋_GB2312" w:cs="Times New Roman"/>
          <w:sz w:val="32"/>
          <w:szCs w:val="32"/>
          <w:lang w:eastAsia="zh-CN"/>
        </w:rPr>
        <w:t>。</w:t>
      </w:r>
    </w:p>
    <w:p w14:paraId="41DD5BC5">
      <w:pPr>
        <w:numPr>
          <w:ilvl w:val="0"/>
          <w:numId w:val="15"/>
        </w:numPr>
        <w:adjustRightInd w:val="0"/>
        <w:snapToGrid w:val="0"/>
        <w:spacing w:line="578" w:lineRule="exact"/>
        <w:ind w:left="0" w:leftChars="0" w:firstLine="640" w:firstLineChars="200"/>
        <w:contextualSpacing/>
        <w:jc w:val="left"/>
        <w:rPr>
          <w:rFonts w:ascii="Times New Roman" w:hAnsi="Times New Roman" w:eastAsia="仿宋_GB2312" w:cs="Times New Roman"/>
          <w:sz w:val="32"/>
          <w:lang w:val="zh-CN"/>
        </w:rPr>
      </w:pPr>
      <w:r>
        <w:rPr>
          <w:rFonts w:ascii="Times New Roman" w:hAnsi="Times New Roman" w:eastAsia="楷体_GB2312" w:cs="Times New Roman"/>
          <w:color w:val="000000"/>
          <w:kern w:val="0"/>
          <w:sz w:val="32"/>
          <w:szCs w:val="32"/>
          <w:shd w:val="clear" w:color="auto" w:fill="FFFFFF"/>
          <w:lang w:val="zh-CN"/>
        </w:rPr>
        <w:t>目标实现。</w:t>
      </w:r>
    </w:p>
    <w:p w14:paraId="6768C274">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（1）2018</w:t>
      </w:r>
      <w:r>
        <w:rPr>
          <w:rFonts w:hint="eastAsia"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2021年上级地质灾害防治项目经费</w:t>
      </w:r>
    </w:p>
    <w:p w14:paraId="19D68C02">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该工程已完成2018年2个治理项目；2个清淤加固项目及2批次自动化监测建设项目；2019年1个地灾治理项目；1个专业监测项目；2020年6个地灾治理项目；2021年7个地灾治理项目，已支付90.64万元，</w:t>
      </w:r>
      <w:r>
        <w:rPr>
          <w:rFonts w:hint="eastAsia" w:ascii="Times New Roman" w:hAnsi="Times New Roman" w:eastAsia="仿宋_GB2312" w:cs="Times New Roman"/>
          <w:sz w:val="32"/>
          <w:szCs w:val="32"/>
          <w:lang w:eastAsia="zh-CN"/>
        </w:rPr>
        <w:t>绩效目标已全部实现。</w:t>
      </w:r>
    </w:p>
    <w:p w14:paraId="13BB2496">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（2）202</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eastAsia="zh-CN"/>
        </w:rPr>
        <w:t>年第一批中央地质灾害防治项目</w:t>
      </w:r>
    </w:p>
    <w:p w14:paraId="02833CF2">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该工程已完成同德道中桥、中坝乡团山村炳密、务本乡乌拉半边街滑坡治理项目、完成斜坡地灾隐患调查，</w:t>
      </w:r>
      <w:r>
        <w:rPr>
          <w:rFonts w:hint="eastAsia" w:ascii="Times New Roman" w:hAnsi="Times New Roman" w:eastAsia="仿宋_GB2312" w:cs="Times New Roman"/>
          <w:sz w:val="32"/>
          <w:szCs w:val="32"/>
          <w:lang w:eastAsia="zh-CN"/>
        </w:rPr>
        <w:t>已支付</w:t>
      </w:r>
      <w:r>
        <w:rPr>
          <w:rFonts w:hint="eastAsia" w:ascii="Times New Roman" w:hAnsi="Times New Roman" w:eastAsia="仿宋_GB2312" w:cs="Times New Roman"/>
          <w:sz w:val="32"/>
          <w:szCs w:val="32"/>
          <w:lang w:val="en-US" w:eastAsia="zh-CN"/>
        </w:rPr>
        <w:t>8.3</w:t>
      </w:r>
      <w:r>
        <w:rPr>
          <w:rFonts w:hint="eastAsia" w:ascii="Times New Roman" w:hAnsi="Times New Roman" w:eastAsia="仿宋_GB2312" w:cs="Times New Roman"/>
          <w:sz w:val="32"/>
          <w:szCs w:val="32"/>
          <w:lang w:eastAsia="zh-CN"/>
        </w:rPr>
        <w:t>万元，其年度绩效目标已全部实现。</w:t>
      </w:r>
    </w:p>
    <w:p w14:paraId="4D9513C1">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（3）2024年第一批中央地质防治（起查喇村大村组崖子脚滑坡治理）</w:t>
      </w:r>
    </w:p>
    <w:p w14:paraId="72EE1667">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该工程已完成起查喇村大村组崖子脚滑坡治理</w:t>
      </w:r>
      <w:r>
        <w:rPr>
          <w:rFonts w:hint="eastAsia" w:ascii="Times New Roman" w:hAnsi="Times New Roman" w:eastAsia="仿宋_GB2312" w:cs="Times New Roman"/>
          <w:sz w:val="32"/>
          <w:szCs w:val="32"/>
          <w:lang w:val="en-US" w:eastAsia="zh-CN"/>
        </w:rPr>
        <w:t>，已支付60.35万元，其年度</w:t>
      </w:r>
      <w:r>
        <w:rPr>
          <w:rFonts w:hint="eastAsia" w:ascii="Times New Roman" w:hAnsi="Times New Roman" w:eastAsia="仿宋_GB2312" w:cs="Times New Roman"/>
          <w:sz w:val="32"/>
          <w:szCs w:val="32"/>
          <w:lang w:eastAsia="zh-CN"/>
        </w:rPr>
        <w:t>绩效目标已全部实现。</w:t>
      </w:r>
    </w:p>
    <w:p w14:paraId="0010AE1E">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（4）2024年第一批中央地质防治（起查喇村苍蒲地组机动田滑坡治理）</w:t>
      </w:r>
    </w:p>
    <w:p w14:paraId="200481F1">
      <w:pPr>
        <w:numPr>
          <w:ilvl w:val="0"/>
          <w:numId w:val="0"/>
        </w:numPr>
        <w:adjustRightInd w:val="0"/>
        <w:snapToGrid w:val="0"/>
        <w:spacing w:line="578" w:lineRule="exact"/>
        <w:ind w:firstLine="640" w:firstLineChars="200"/>
        <w:contextualSpacing/>
        <w:jc w:val="left"/>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该工程已完成起查喇村苍蒲地组机动田滑坡治理，已支付</w:t>
      </w:r>
      <w:r>
        <w:rPr>
          <w:rFonts w:hint="eastAsia" w:ascii="Times New Roman" w:hAnsi="Times New Roman" w:eastAsia="仿宋_GB2312" w:cs="Times New Roman"/>
          <w:sz w:val="32"/>
          <w:szCs w:val="32"/>
          <w:lang w:val="en-US" w:eastAsia="zh-CN"/>
        </w:rPr>
        <w:t>55.23万元，其年度</w:t>
      </w:r>
      <w:r>
        <w:rPr>
          <w:rFonts w:hint="eastAsia" w:ascii="Times New Roman" w:hAnsi="Times New Roman" w:eastAsia="仿宋_GB2312" w:cs="Times New Roman"/>
          <w:sz w:val="32"/>
          <w:szCs w:val="32"/>
          <w:lang w:eastAsia="zh-CN"/>
        </w:rPr>
        <w:t>绩效目标已全部实现。</w:t>
      </w:r>
    </w:p>
    <w:p w14:paraId="6DB27DC4">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lang w:eastAsia="zh-CN"/>
        </w:rPr>
        <w:t>）专职监测员补助</w:t>
      </w:r>
    </w:p>
    <w:p w14:paraId="1A3F0B57">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完成50地灾隐患点动态监控；完成30名监测人员补助，已支付15.93万元，其年度</w:t>
      </w:r>
      <w:r>
        <w:rPr>
          <w:rFonts w:hint="eastAsia" w:ascii="Times New Roman" w:hAnsi="Times New Roman" w:eastAsia="仿宋_GB2312" w:cs="Times New Roman"/>
          <w:sz w:val="32"/>
          <w:szCs w:val="32"/>
          <w:lang w:eastAsia="zh-CN"/>
        </w:rPr>
        <w:t>绩效目标已全部实现。</w:t>
      </w:r>
    </w:p>
    <w:p w14:paraId="04EDED19">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2024年第二批地灾防治项目（省级）</w:t>
      </w:r>
    </w:p>
    <w:p w14:paraId="36F51DEF">
      <w:pPr>
        <w:numPr>
          <w:ilvl w:val="0"/>
          <w:numId w:val="0"/>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该工程已完成</w:t>
      </w:r>
      <w:r>
        <w:rPr>
          <w:rFonts w:hint="eastAsia" w:ascii="仿宋_GB2312" w:hAnsi="Times New Roman" w:eastAsia="仿宋_GB2312" w:cs="Times New Roman"/>
          <w:sz w:val="32"/>
          <w:szCs w:val="32"/>
          <w:lang w:eastAsia="zh-CN"/>
        </w:rPr>
        <w:t>布德新桥村龙田组夏家岩崩塌</w:t>
      </w:r>
      <w:r>
        <w:rPr>
          <w:rFonts w:hint="eastAsia" w:ascii="仿宋_GB2312" w:hAnsi="Times New Roman" w:eastAsia="仿宋_GB2312" w:cs="Times New Roman"/>
          <w:sz w:val="32"/>
          <w:szCs w:val="32"/>
        </w:rPr>
        <w:t>治理</w:t>
      </w:r>
      <w:r>
        <w:rPr>
          <w:rFonts w:hint="eastAsia" w:ascii="仿宋_GB2312" w:hAnsi="Times New Roman" w:eastAsia="仿宋_GB2312" w:cs="Times New Roman"/>
          <w:sz w:val="32"/>
          <w:szCs w:val="32"/>
          <w:lang w:val="en-US" w:eastAsia="zh-CN"/>
        </w:rPr>
        <w:t>，已支付64.99万元，其年度</w:t>
      </w:r>
      <w:r>
        <w:rPr>
          <w:rFonts w:hint="eastAsia" w:ascii="仿宋_GB2312" w:hAnsi="Times New Roman" w:eastAsia="仿宋_GB2312" w:cs="Times New Roman"/>
          <w:sz w:val="32"/>
          <w:szCs w:val="32"/>
        </w:rPr>
        <w:t>绩效目标</w:t>
      </w:r>
      <w:r>
        <w:rPr>
          <w:rFonts w:hint="eastAsia" w:ascii="仿宋_GB2312" w:hAnsi="Times New Roman" w:eastAsia="仿宋_GB2312" w:cs="Times New Roman"/>
          <w:sz w:val="32"/>
          <w:szCs w:val="32"/>
          <w:lang w:eastAsia="zh-CN"/>
        </w:rPr>
        <w:t>已</w:t>
      </w:r>
      <w:r>
        <w:rPr>
          <w:rFonts w:hint="eastAsia" w:ascii="仿宋_GB2312" w:hAnsi="Times New Roman" w:eastAsia="仿宋_GB2312" w:cs="Times New Roman"/>
          <w:sz w:val="32"/>
          <w:szCs w:val="32"/>
        </w:rPr>
        <w:t>全部实现</w:t>
      </w:r>
      <w:r>
        <w:rPr>
          <w:rFonts w:hint="eastAsia" w:ascii="仿宋_GB2312" w:hAnsi="Times New Roman" w:eastAsia="仿宋_GB2312" w:cs="Times New Roman"/>
          <w:sz w:val="32"/>
          <w:szCs w:val="32"/>
          <w:lang w:eastAsia="zh-CN"/>
        </w:rPr>
        <w:t>。</w:t>
      </w:r>
    </w:p>
    <w:p w14:paraId="06D8053C">
      <w:pPr>
        <w:numPr>
          <w:ilvl w:val="0"/>
          <w:numId w:val="0"/>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lang w:val="en-US" w:eastAsia="zh-CN"/>
        </w:rPr>
        <w:t>7</w:t>
      </w: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lang w:val="en-US" w:eastAsia="zh-CN"/>
        </w:rPr>
        <w:t>2025年第一批（中央）地灾防治专项资金</w:t>
      </w:r>
    </w:p>
    <w:p w14:paraId="62CA0BB9">
      <w:pPr>
        <w:numPr>
          <w:ilvl w:val="0"/>
          <w:numId w:val="0"/>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该项目已完成啊喇乡大村组滑坡治理，已支付78.8万元，其年度绩效目标已全部实现。</w:t>
      </w:r>
    </w:p>
    <w:p w14:paraId="56A20A3B">
      <w:pPr>
        <w:numPr>
          <w:ilvl w:val="0"/>
          <w:numId w:val="16"/>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专项地质灾害隐患排查（仁和区）</w:t>
      </w:r>
    </w:p>
    <w:p w14:paraId="1773FCF7">
      <w:pPr>
        <w:numPr>
          <w:ilvl w:val="0"/>
          <w:numId w:val="0"/>
        </w:numPr>
        <w:adjustRightInd w:val="0"/>
        <w:snapToGrid w:val="0"/>
        <w:spacing w:line="578" w:lineRule="exact"/>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 xml:space="preserve">     该项目已完成仁和辖区内地质灾害隐患排查，已支付22万元，其年度绩效目标已全部实现。</w:t>
      </w:r>
    </w:p>
    <w:p w14:paraId="45E72C3C">
      <w:pPr>
        <w:numPr>
          <w:ilvl w:val="0"/>
          <w:numId w:val="16"/>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矿产违法实地测绘项目</w:t>
      </w:r>
    </w:p>
    <w:p w14:paraId="25AC167B">
      <w:pPr>
        <w:numPr>
          <w:ilvl w:val="0"/>
          <w:numId w:val="0"/>
        </w:numPr>
        <w:adjustRightInd w:val="0"/>
        <w:snapToGrid w:val="0"/>
        <w:spacing w:line="578" w:lineRule="exact"/>
        <w:ind w:left="0" w:leftChars="0" w:firstLine="835" w:firstLineChars="261"/>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该项目已完成仁和区太平乡蓉斤洗煤厂入井探查和清理维护，已支付9.15万元，其年度目标已全部实现。</w:t>
      </w:r>
    </w:p>
    <w:p w14:paraId="0CB23973">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（10）2025年清理拖欠企业款（区级）</w:t>
      </w:r>
    </w:p>
    <w:p w14:paraId="102266D4">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该项目清理拖欠企业款39笔，已支付366.24万元，其年度绩效目标已全部实现。</w:t>
      </w:r>
    </w:p>
    <w:p w14:paraId="3039B92D">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（11）2025年清理拖欠企业款（50</w:t>
      </w:r>
      <w:r>
        <w:rPr>
          <w:rFonts w:hint="eastAsia" w:ascii="仿宋_GB2312" w:eastAsia="仿宋_GB2312" w:cs="Times New Roman"/>
          <w:sz w:val="32"/>
          <w:szCs w:val="32"/>
          <w:lang w:val="en-US" w:eastAsia="zh-CN"/>
        </w:rPr>
        <w:t>万元</w:t>
      </w:r>
      <w:r>
        <w:rPr>
          <w:rFonts w:hint="eastAsia" w:ascii="仿宋_GB2312" w:hAnsi="Times New Roman" w:eastAsia="仿宋_GB2312" w:cs="Times New Roman"/>
          <w:sz w:val="32"/>
          <w:szCs w:val="32"/>
          <w:lang w:val="en-US" w:eastAsia="zh-CN"/>
        </w:rPr>
        <w:t>以下工程类）</w:t>
      </w:r>
    </w:p>
    <w:p w14:paraId="37301534">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该项目清理拖欠企业款8笔，已支付92.04万元，其年度绩效目标已全部实现。</w:t>
      </w:r>
    </w:p>
    <w:p w14:paraId="71BDB1AF">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（12）2025年第四批地质灾害防治专项资金（省级）</w:t>
      </w:r>
    </w:p>
    <w:p w14:paraId="48DCAD84">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仁和区辖区内21户避险搬迁修建房屋中，已支付17.5万元，其年度绩效目标已全部实现。</w:t>
      </w:r>
    </w:p>
    <w:p w14:paraId="670E44CD">
      <w:pPr>
        <w:numPr>
          <w:ilvl w:val="0"/>
          <w:numId w:val="17"/>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自然资源所乡镇工作补贴</w:t>
      </w:r>
    </w:p>
    <w:p w14:paraId="4709DA0E">
      <w:pPr>
        <w:numPr>
          <w:ilvl w:val="0"/>
          <w:numId w:val="0"/>
        </w:numPr>
        <w:adjustRightInd w:val="0"/>
        <w:snapToGrid w:val="0"/>
        <w:spacing w:line="578" w:lineRule="exact"/>
        <w:ind w:leftChars="200"/>
        <w:contextualSpacing/>
        <w:jc w:val="left"/>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该项目完成13个自然资源所乡镇工作人员补贴，已支付0.78万元，其年度绩效目标已全部实现。</w:t>
      </w:r>
    </w:p>
    <w:p w14:paraId="5FB4227F">
      <w:pPr>
        <w:numPr>
          <w:ilvl w:val="0"/>
          <w:numId w:val="18"/>
        </w:numPr>
        <w:spacing w:line="578"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市级部</w:t>
      </w:r>
      <w:r>
        <w:rPr>
          <w:rFonts w:ascii="Times New Roman" w:hAnsi="Times New Roman" w:eastAsia="仿宋_GB2312" w:cs="Times New Roman"/>
          <w:sz w:val="32"/>
          <w:szCs w:val="32"/>
        </w:rPr>
        <w:t>门</w:t>
      </w:r>
      <w:r>
        <w:rPr>
          <w:rFonts w:hint="eastAsia" w:ascii="Times New Roman" w:hAnsi="Times New Roman" w:eastAsia="仿宋_GB2312" w:cs="Times New Roman"/>
          <w:sz w:val="32"/>
          <w:szCs w:val="32"/>
        </w:rPr>
        <w:t>对</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年度一般公共预算、政府性基金预算、国有资本经营预算安排的常年项目、阶段项目绩效目标完成情况</w:t>
      </w:r>
      <w:r>
        <w:rPr>
          <w:rFonts w:hint="eastAsia" w:ascii="Times New Roman" w:hAnsi="Times New Roman" w:eastAsia="仿宋_GB2312" w:cs="Times New Roman"/>
          <w:sz w:val="32"/>
          <w:szCs w:val="32"/>
        </w:rPr>
        <w:t>，以及</w:t>
      </w:r>
      <w:r>
        <w:rPr>
          <w:rFonts w:ascii="Times New Roman" w:hAnsi="Times New Roman" w:eastAsia="仿宋_GB2312" w:cs="Times New Roman"/>
          <w:sz w:val="32"/>
          <w:szCs w:val="32"/>
        </w:rPr>
        <w:t>债券资金、政府购买服务</w:t>
      </w:r>
      <w:r>
        <w:rPr>
          <w:rFonts w:hint="eastAsia" w:ascii="Times New Roman" w:hAnsi="Times New Roman" w:eastAsia="仿宋_GB2312" w:cs="Times New Roman"/>
          <w:sz w:val="32"/>
          <w:szCs w:val="32"/>
        </w:rPr>
        <w:t>有关情况</w:t>
      </w:r>
      <w:r>
        <w:rPr>
          <w:rFonts w:ascii="Times New Roman" w:hAnsi="Times New Roman" w:eastAsia="仿宋_GB2312" w:cs="Times New Roman"/>
          <w:sz w:val="32"/>
          <w:szCs w:val="32"/>
        </w:rPr>
        <w:t>进行梳理阐述。</w:t>
      </w:r>
    </w:p>
    <w:p w14:paraId="4A974173">
      <w:pPr>
        <w:numPr>
          <w:ilvl w:val="0"/>
          <w:numId w:val="0"/>
        </w:numPr>
        <w:spacing w:line="578" w:lineRule="exact"/>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无</w:t>
      </w:r>
    </w:p>
    <w:p w14:paraId="5553F041">
      <w:pPr>
        <w:numPr>
          <w:ilvl w:val="0"/>
          <w:numId w:val="19"/>
        </w:numPr>
        <w:snapToGrid w:val="0"/>
        <w:spacing w:line="600" w:lineRule="exact"/>
        <w:ind w:firstLine="643" w:firstLineChars="200"/>
        <w:rPr>
          <w:rFonts w:hint="eastAsia"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sz w:val="32"/>
          <w:szCs w:val="32"/>
          <w:lang w:val="zh-CN"/>
        </w:rPr>
        <w:t>绩效结果应用情况。</w:t>
      </w:r>
      <w:r>
        <w:rPr>
          <w:rFonts w:hint="eastAsia" w:ascii="Times New Roman" w:hAnsi="Times New Roman" w:eastAsia="仿宋_GB2312" w:cs="Times New Roman"/>
          <w:color w:val="000000"/>
          <w:kern w:val="0"/>
          <w:sz w:val="32"/>
          <w:szCs w:val="32"/>
          <w:shd w:val="clear" w:color="auto" w:fill="FFFFFF"/>
        </w:rPr>
        <w:t>仁和区分局在202</w:t>
      </w:r>
      <w:r>
        <w:rPr>
          <w:rFonts w:hint="eastAsia" w:ascii="Times New Roman" w:hAnsi="Times New Roman" w:eastAsia="仿宋_GB2312" w:cs="Times New Roman"/>
          <w:color w:val="000000"/>
          <w:kern w:val="0"/>
          <w:sz w:val="32"/>
          <w:szCs w:val="32"/>
          <w:shd w:val="clear" w:color="auto" w:fill="FFFFFF"/>
          <w:lang w:val="en-US" w:eastAsia="zh-CN"/>
        </w:rPr>
        <w:t>5</w:t>
      </w:r>
      <w:r>
        <w:rPr>
          <w:rFonts w:hint="eastAsia" w:ascii="Times New Roman" w:hAnsi="Times New Roman" w:eastAsia="仿宋_GB2312" w:cs="Times New Roman"/>
          <w:color w:val="000000"/>
          <w:kern w:val="0"/>
          <w:sz w:val="32"/>
          <w:szCs w:val="32"/>
          <w:shd w:val="clear" w:color="auto" w:fill="FFFFFF"/>
        </w:rPr>
        <w:t>年</w:t>
      </w:r>
      <w:r>
        <w:rPr>
          <w:rFonts w:hint="eastAsia" w:ascii="Times New Roman" w:hAnsi="Times New Roman" w:eastAsia="仿宋_GB2312" w:cs="Times New Roman"/>
          <w:color w:val="000000"/>
          <w:kern w:val="0"/>
          <w:sz w:val="32"/>
          <w:szCs w:val="32"/>
          <w:shd w:val="clear" w:color="auto" w:fill="FFFFFF"/>
          <w:lang w:val="en-US" w:eastAsia="zh-CN"/>
        </w:rPr>
        <w:t>8</w:t>
      </w:r>
      <w:r>
        <w:rPr>
          <w:rFonts w:hint="eastAsia" w:ascii="Times New Roman" w:hAnsi="Times New Roman" w:eastAsia="仿宋_GB2312" w:cs="Times New Roman"/>
          <w:color w:val="000000"/>
          <w:kern w:val="0"/>
          <w:sz w:val="32"/>
          <w:szCs w:val="32"/>
          <w:shd w:val="clear" w:color="auto" w:fill="FFFFFF"/>
        </w:rPr>
        <w:t>月开展了事中绩效评估，并根据评估情况对相关业务股室进行了提醒，提出了整改要求。业务股室根据评估和上级财政部门的检查情况对薄弱环节进行了整改，加强了与市局和市级财政部门的汇报沟通，极大地促进了项目资金支付进程，提升了资金使用效率。</w:t>
      </w:r>
    </w:p>
    <w:p w14:paraId="22A826C4">
      <w:pPr>
        <w:widowControl/>
        <w:numPr>
          <w:ilvl w:val="0"/>
          <w:numId w:val="0"/>
        </w:numPr>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hint="eastAsia" w:ascii="Times New Roman" w:hAnsi="Times New Roman" w:eastAsia="仿宋_GB2312" w:cs="Times New Roman"/>
          <w:color w:val="000000"/>
          <w:kern w:val="0"/>
          <w:sz w:val="32"/>
          <w:szCs w:val="32"/>
          <w:shd w:val="clear" w:fill="FFFFFF"/>
          <w:lang w:val="en-US" w:eastAsia="zh-CN" w:bidi="ar-SA"/>
        </w:rPr>
        <w:t>2</w:t>
      </w:r>
      <w:r>
        <w:rPr>
          <w:rFonts w:ascii="Times New Roman" w:hAnsi="Times New Roman" w:eastAsia="仿宋_GB2312" w:cs="Times New Roman"/>
          <w:sz w:val="32"/>
          <w:szCs w:val="32"/>
        </w:rPr>
        <w:t>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年，仁和区分局在市自然资源和规划局及仁和</w:t>
      </w:r>
      <w:r>
        <w:rPr>
          <w:rFonts w:hint="eastAsia" w:eastAsia="仿宋_GB2312" w:cs="Times New Roman"/>
          <w:sz w:val="32"/>
          <w:szCs w:val="32"/>
          <w:lang w:eastAsia="zh-CN"/>
        </w:rPr>
        <w:t>区委、区政府</w:t>
      </w:r>
      <w:r>
        <w:rPr>
          <w:rFonts w:ascii="Times New Roman" w:hAnsi="Times New Roman" w:eastAsia="仿宋_GB2312" w:cs="Times New Roman"/>
          <w:sz w:val="32"/>
          <w:szCs w:val="32"/>
        </w:rPr>
        <w:t>的领导下，在市、区两级财政部门的大力支持下，努力做好自然资源日常监管，用地用矿服务，保障重点项目建设用地，持续推进农村房地一体不动产登记工作，</w:t>
      </w:r>
      <w:r>
        <w:rPr>
          <w:rFonts w:hint="eastAsia" w:ascii="Times New Roman" w:hAnsi="Times New Roman" w:eastAsia="仿宋_GB2312" w:cs="Times New Roman"/>
          <w:sz w:val="32"/>
          <w:szCs w:val="32"/>
        </w:rPr>
        <w:t>开展</w:t>
      </w:r>
      <w:r>
        <w:rPr>
          <w:rFonts w:ascii="Times New Roman" w:hAnsi="Times New Roman" w:eastAsia="仿宋_GB2312" w:cs="Times New Roman"/>
          <w:sz w:val="32"/>
          <w:szCs w:val="32"/>
        </w:rPr>
        <w:t>地质灾害防治工作，实</w:t>
      </w:r>
      <w:r>
        <w:rPr>
          <w:rFonts w:hint="eastAsia" w:ascii="仿宋_GB2312" w:hAnsi="仿宋_GB2312" w:eastAsia="仿宋_GB2312" w:cs="仿宋_GB2312"/>
          <w:sz w:val="32"/>
          <w:szCs w:val="32"/>
        </w:rPr>
        <w:t>现“零”伤亡目标，圆</w:t>
      </w:r>
      <w:r>
        <w:rPr>
          <w:rFonts w:ascii="Times New Roman" w:hAnsi="Times New Roman" w:eastAsia="仿宋_GB2312" w:cs="Times New Roman"/>
          <w:sz w:val="32"/>
          <w:szCs w:val="32"/>
        </w:rPr>
        <w:t>满完成了各项工作任务。</w:t>
      </w:r>
      <w:r>
        <w:rPr>
          <w:rFonts w:hint="eastAsia" w:ascii="Times New Roman" w:hAnsi="Times New Roman" w:eastAsia="仿宋_GB2312" w:cs="Times New Roman"/>
          <w:sz w:val="32"/>
          <w:szCs w:val="32"/>
        </w:rPr>
        <w:t>仁和区分局绩效管理工作做到了事前申报，事中监督，事后评估，实事求是进行各环节绩效评估，程序严谨，自我评价客观可靠。</w:t>
      </w:r>
    </w:p>
    <w:p w14:paraId="051C6AF5">
      <w:pPr>
        <w:numPr>
          <w:ilvl w:val="0"/>
          <w:numId w:val="0"/>
        </w:numPr>
        <w:snapToGrid w:val="0"/>
        <w:spacing w:line="600" w:lineRule="exact"/>
        <w:rPr>
          <w:rFonts w:hint="eastAsia"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 xml:space="preserve">    包括评价部门整体支出自评准确情况。</w:t>
      </w:r>
    </w:p>
    <w:p w14:paraId="3F47A73A">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四、评价结论及建议</w:t>
      </w:r>
    </w:p>
    <w:p w14:paraId="32B1309E">
      <w:pPr>
        <w:widowControl/>
        <w:adjustRightInd w:val="0"/>
        <w:snapToGrid w:val="0"/>
        <w:spacing w:line="580" w:lineRule="exact"/>
        <w:ind w:firstLine="643" w:firstLineChars="200"/>
        <w:contextualSpacing/>
        <w:jc w:val="left"/>
        <w:rPr>
          <w:rFonts w:ascii="仿宋_GB2312" w:hAnsi="Times New Roman" w:eastAsia="仿宋_GB2312" w:cs="仿宋_GB2312"/>
          <w:color w:val="000000"/>
          <w:sz w:val="31"/>
          <w:szCs w:val="31"/>
        </w:rPr>
      </w:pPr>
      <w:r>
        <w:rPr>
          <w:rFonts w:ascii="Times New Roman" w:hAnsi="Times New Roman" w:eastAsia="楷体_GB2312" w:cs="Times New Roman"/>
          <w:b/>
          <w:bCs/>
          <w:color w:val="000000"/>
          <w:kern w:val="0"/>
          <w:sz w:val="32"/>
          <w:szCs w:val="32"/>
          <w:shd w:val="clear" w:color="auto" w:fill="FFFFFF"/>
          <w:lang w:val="zh-CN"/>
        </w:rPr>
        <w:t>（一）评价结论。</w:t>
      </w:r>
      <w:r>
        <w:rPr>
          <w:rFonts w:ascii="仿宋_GB2312" w:hAnsi="宋体" w:eastAsia="仿宋_GB2312" w:cs="仿宋_GB2312"/>
          <w:color w:val="000000"/>
          <w:kern w:val="0"/>
          <w:sz w:val="31"/>
          <w:szCs w:val="31"/>
        </w:rPr>
        <w:t>对照《</w:t>
      </w:r>
      <w:r>
        <w:rPr>
          <w:rFonts w:ascii="Times New Roman" w:hAnsi="Times New Roman" w:eastAsia="宋体" w:cs="Times New Roman"/>
          <w:color w:val="000000"/>
          <w:kern w:val="0"/>
          <w:sz w:val="31"/>
          <w:szCs w:val="31"/>
        </w:rPr>
        <w:t>202</w:t>
      </w:r>
      <w:r>
        <w:rPr>
          <w:rFonts w:hint="eastAsia" w:ascii="Times New Roman" w:hAnsi="Times New Roman" w:eastAsia="宋体" w:cs="Times New Roman"/>
          <w:color w:val="000000"/>
          <w:kern w:val="0"/>
          <w:sz w:val="31"/>
          <w:szCs w:val="31"/>
          <w:lang w:val="en-US" w:eastAsia="zh-CN"/>
        </w:rPr>
        <w:t>5</w:t>
      </w:r>
      <w:r>
        <w:rPr>
          <w:rFonts w:hint="eastAsia" w:ascii="仿宋_GB2312" w:hAnsi="宋体" w:eastAsia="仿宋_GB2312" w:cs="仿宋_GB2312"/>
          <w:color w:val="000000"/>
          <w:kern w:val="0"/>
          <w:sz w:val="31"/>
          <w:szCs w:val="31"/>
        </w:rPr>
        <w:t>年市级部门整体支出</w:t>
      </w:r>
      <w:r>
        <w:rPr>
          <w:rFonts w:hint="eastAsia" w:ascii="仿宋_GB2312" w:hAnsi="Times New Roman" w:eastAsia="仿宋_GB2312" w:cs="仿宋_GB2312"/>
          <w:color w:val="000000"/>
          <w:sz w:val="31"/>
          <w:szCs w:val="31"/>
        </w:rPr>
        <w:t>绩效评价指标体系》进行自我评价，仁和区分局</w:t>
      </w:r>
      <w:r>
        <w:rPr>
          <w:rFonts w:hint="eastAsia" w:ascii="仿宋_GB2312" w:hAnsi="宋体" w:eastAsia="仿宋_GB2312" w:cs="宋体"/>
          <w:color w:val="000000"/>
          <w:kern w:val="0"/>
          <w:sz w:val="32"/>
          <w:szCs w:val="32"/>
          <w:shd w:val="clear" w:color="auto" w:fill="FFFFFF"/>
        </w:rPr>
        <w:t>绩效目标设定合理，</w:t>
      </w:r>
      <w:r>
        <w:rPr>
          <w:rFonts w:hint="eastAsia" w:ascii="仿宋_GB2312" w:hAnsi="Times New Roman" w:eastAsia="仿宋_GB2312" w:cs="仿宋_GB2312"/>
          <w:color w:val="000000"/>
          <w:sz w:val="31"/>
          <w:szCs w:val="31"/>
        </w:rPr>
        <w:t>自评分</w:t>
      </w:r>
      <w:r>
        <w:rPr>
          <w:rFonts w:hint="eastAsia" w:ascii="仿宋_GB2312" w:hAnsi="Times New Roman" w:eastAsia="仿宋_GB2312" w:cs="仿宋_GB2312"/>
          <w:color w:val="000000"/>
          <w:sz w:val="31"/>
          <w:szCs w:val="31"/>
          <w:lang w:val="en-US" w:eastAsia="zh-CN"/>
        </w:rPr>
        <w:t>86</w:t>
      </w:r>
      <w:r>
        <w:rPr>
          <w:rFonts w:hint="eastAsia" w:ascii="仿宋_GB2312" w:hAnsi="Times New Roman" w:eastAsia="仿宋_GB2312" w:cs="仿宋_GB2312"/>
          <w:color w:val="000000"/>
          <w:sz w:val="31"/>
          <w:szCs w:val="31"/>
        </w:rPr>
        <w:t>分。</w:t>
      </w:r>
    </w:p>
    <w:p w14:paraId="0128181A">
      <w:pPr>
        <w:widowControl/>
        <w:adjustRightInd w:val="0"/>
        <w:snapToGrid w:val="0"/>
        <w:spacing w:line="578" w:lineRule="exact"/>
        <w:ind w:firstLine="643" w:firstLineChars="200"/>
        <w:contextualSpacing/>
        <w:jc w:val="left"/>
        <w:rPr>
          <w:rFonts w:ascii="Times New Roman" w:hAnsi="Times New Roman" w:eastAsia="楷体_GB2312" w:cs="Times New Roman"/>
          <w:b/>
          <w:bCs/>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（二）存在问题。</w:t>
      </w:r>
      <w:r>
        <w:rPr>
          <w:rFonts w:hint="eastAsia" w:ascii="Times New Roman" w:hAnsi="Times New Roman" w:eastAsia="仿宋_GB2312" w:cs="Times New Roman"/>
          <w:color w:val="000000"/>
          <w:kern w:val="0"/>
          <w:sz w:val="32"/>
          <w:szCs w:val="32"/>
          <w:shd w:val="clear" w:color="auto" w:fill="FFFFFF"/>
        </w:rPr>
        <w:t>项目资金支付不够及时</w:t>
      </w:r>
      <w:r>
        <w:rPr>
          <w:rFonts w:ascii="Times New Roman" w:hAnsi="Times New Roman" w:eastAsia="仿宋_GB2312" w:cs="Times New Roman"/>
          <w:w w:val="95"/>
          <w:kern w:val="0"/>
          <w:sz w:val="32"/>
          <w:szCs w:val="32"/>
        </w:rPr>
        <w:t>。</w:t>
      </w:r>
    </w:p>
    <w:p w14:paraId="4F86A9C5">
      <w:pPr>
        <w:widowControl/>
        <w:adjustRightInd w:val="0"/>
        <w:snapToGrid w:val="0"/>
        <w:spacing w:line="578" w:lineRule="exact"/>
        <w:ind w:firstLine="643" w:firstLineChars="200"/>
        <w:contextualSpacing/>
        <w:jc w:val="left"/>
        <w:rPr>
          <w:rFonts w:ascii="Times New Roman" w:hAnsi="Times New Roman" w:eastAsia="仿宋_GB2312" w:cs="Times New Roman"/>
          <w:kern w:val="0"/>
          <w:sz w:val="32"/>
          <w:szCs w:val="32"/>
          <w:lang w:val="en"/>
        </w:rPr>
      </w:pPr>
      <w:r>
        <w:rPr>
          <w:rFonts w:ascii="Times New Roman" w:hAnsi="Times New Roman" w:eastAsia="楷体_GB2312" w:cs="Times New Roman"/>
          <w:b/>
          <w:bCs/>
          <w:color w:val="000000"/>
          <w:kern w:val="0"/>
          <w:sz w:val="32"/>
          <w:szCs w:val="32"/>
          <w:shd w:val="clear" w:color="auto" w:fill="FFFFFF"/>
          <w:lang w:val="zh-CN"/>
        </w:rPr>
        <w:t>（三）改进建议。</w:t>
      </w:r>
      <w:r>
        <w:rPr>
          <w:rFonts w:hint="eastAsia" w:ascii="Times New Roman" w:hAnsi="Times New Roman" w:eastAsia="仿宋_GB2312" w:cs="Times New Roman"/>
          <w:color w:val="000000"/>
          <w:kern w:val="0"/>
          <w:sz w:val="32"/>
          <w:szCs w:val="32"/>
          <w:shd w:val="clear" w:color="auto" w:fill="FFFFFF"/>
        </w:rPr>
        <w:t>加强与市局和市级财政的汇报沟通，争取支持，按合同约定及时支付项目资金</w:t>
      </w:r>
    </w:p>
    <w:p w14:paraId="2996FDC5">
      <w:pPr>
        <w:spacing w:line="578" w:lineRule="exact"/>
        <w:contextualSpacing/>
        <w:rPr>
          <w:rFonts w:ascii="Times New Roman" w:hAnsi="Times New Roman" w:eastAsia="黑体" w:cs="Times New Roman"/>
          <w:sz w:val="32"/>
          <w:szCs w:val="32"/>
        </w:rPr>
      </w:pPr>
    </w:p>
    <w:p w14:paraId="69A26F28">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outlineLvl w:val="3"/>
        <w:rPr>
          <w:rFonts w:hint="eastAsia" w:ascii="Times New Roman" w:hAnsi="Times New Roman" w:eastAsia="仿宋_GB2312" w:cs="Times New Roman"/>
          <w:kern w:val="2"/>
          <w:sz w:val="32"/>
          <w:szCs w:val="32"/>
          <w:u w:val="none"/>
          <w:lang w:val="zh-CN" w:eastAsia="zh-CN" w:bidi="ar"/>
        </w:rPr>
      </w:pPr>
      <w:bookmarkStart w:id="163" w:name="_GoBack"/>
      <w:bookmarkEnd w:id="163"/>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2F270575">
      <w:pPr>
        <w:pStyle w:val="8"/>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3E20DEDB">
      <w:pPr>
        <w:pStyle w:val="6"/>
        <w:rPr>
          <w:rFonts w:hint="eastAsia" w:ascii="Times New Roman" w:hAnsi="Times New Roman" w:cs="宋体"/>
          <w:color w:val="FF0000"/>
          <w:kern w:val="0"/>
          <w:sz w:val="32"/>
          <w:szCs w:val="32"/>
          <w:highlight w:val="yellow"/>
          <w:shd w:val="clear" w:color="auto" w:fill="FFFFFF"/>
          <w:lang w:val="zh-CN"/>
        </w:rPr>
      </w:pPr>
    </w:p>
    <w:p w14:paraId="379386AB">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4C503F58">
      <w:pPr>
        <w:pStyle w:val="6"/>
        <w:outlineLvl w:val="1"/>
        <w:rPr>
          <w:rFonts w:hint="eastAsia" w:ascii="Times New Roman" w:hAnsi="Times New Roman" w:eastAsia="黑体" w:cs="黑体"/>
          <w:color w:val="auto"/>
          <w:sz w:val="32"/>
          <w:szCs w:val="32"/>
          <w:highlight w:val="none"/>
          <w:lang w:val="en-US" w:eastAsia="zh-CN"/>
        </w:rPr>
      </w:pPr>
      <w:bookmarkStart w:id="105" w:name="_Toc25300"/>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bookmarkEnd w:id="105"/>
    </w:p>
    <w:p w14:paraId="48D4BED4">
      <w:pPr>
        <w:pStyle w:val="39"/>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5BA16072">
      <w:pPr>
        <w:widowControl w:val="0"/>
        <w:spacing w:line="600" w:lineRule="exact"/>
        <w:jc w:val="center"/>
        <w:outlineLvl w:val="3"/>
        <w:rPr>
          <w:rFonts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zh-CN" w:eastAsia="zh-CN" w:bidi="ar-SA"/>
        </w:rPr>
        <w:t>专项地质灾害隐患排查</w:t>
      </w:r>
      <w:r>
        <w:rPr>
          <w:rFonts w:ascii="Times New Roman" w:hAnsi="Times New Roman" w:eastAsia="方正小标宋简体" w:cs="Times New Roman"/>
          <w:color w:val="auto"/>
          <w:kern w:val="2"/>
          <w:sz w:val="40"/>
          <w:szCs w:val="40"/>
          <w:lang w:val="zh-CN" w:eastAsia="zh-CN" w:bidi="ar-SA"/>
        </w:rPr>
        <w:t>项目</w:t>
      </w:r>
    </w:p>
    <w:p w14:paraId="6E17E14B">
      <w:pPr>
        <w:widowControl w:val="0"/>
        <w:spacing w:line="600" w:lineRule="exact"/>
        <w:jc w:val="center"/>
        <w:outlineLvl w:val="3"/>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支出绩效自评报告</w:t>
      </w:r>
    </w:p>
    <w:p w14:paraId="39771698">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41686136">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0856D25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5D3B7E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攀枝花市自然资源和规划局东区分局</w:t>
      </w:r>
      <w:r>
        <w:rPr>
          <w:rFonts w:hint="eastAsia" w:ascii="Times New Roman" w:hAnsi="Times New Roman" w:eastAsia="仿宋_GB2312" w:cs="Times New Roman"/>
          <w:sz w:val="32"/>
          <w:szCs w:val="32"/>
          <w:lang w:val="zh-CN"/>
        </w:rPr>
        <w:t>作为</w:t>
      </w:r>
      <w:r>
        <w:rPr>
          <w:rFonts w:ascii="Times New Roman" w:hAnsi="Times New Roman" w:eastAsia="仿宋_GB2312" w:cs="Times New Roman"/>
          <w:sz w:val="32"/>
          <w:szCs w:val="32"/>
          <w:lang w:val="zh-CN"/>
        </w:rPr>
        <w:t>东区</w:t>
      </w:r>
      <w:r>
        <w:rPr>
          <w:rFonts w:hint="eastAsia" w:ascii="Times New Roman" w:hAnsi="Times New Roman" w:eastAsia="仿宋_GB2312" w:cs="Times New Roman"/>
          <w:sz w:val="32"/>
          <w:szCs w:val="32"/>
          <w:lang w:val="zh-CN"/>
        </w:rPr>
        <w:t>地质灾害防治工作的牵头单位，负责组织实施地质灾害隐患排查、风险评估等工作。项目依据《攀枝花市地质灾害隐患排查工作专项方案》立项，符合省、市关于地质灾害防治工作的统一部署。项目资金严格按照财政专项资金管理办法执行，采用竞争性磋商方式确定服务单位，合同金额明确，支付条件清晰。资金分配坚持“公开、公平、公正”原则，通过竞争性磋商确定中标单位。</w:t>
      </w:r>
    </w:p>
    <w:p w14:paraId="048E315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1CAA7D7">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完成东区地质灾害风险隐患排查全覆盖</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提交正式成果报告1套，并通过专家评审</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项目实施周期内无安全事故</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项目经费控制在合同金额内</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成果资料完整、规范，满足合同要求</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项目申报内容与实际实施内容一致，绩效目标设置科学、合理，具备可操作性和可评价性。</w:t>
      </w:r>
    </w:p>
    <w:p w14:paraId="3C2A95B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317EDF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本次自评由地灾办牵头，会同办公室等相关股室，对照合同约定、资金支付条件、成果验收情况等，采用资料核查、合同比对、专家意见复核等方式进行综合评价。</w:t>
      </w:r>
    </w:p>
    <w:p w14:paraId="54DE349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00E6F74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6EC5ADD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项目资金计划为</w:t>
      </w:r>
      <w:r>
        <w:rPr>
          <w:rFonts w:hint="eastAsia" w:ascii="Times New Roman" w:hAnsi="Times New Roman" w:eastAsia="仿宋_GB2312" w:cs="Times New Roman"/>
          <w:sz w:val="32"/>
          <w:szCs w:val="32"/>
          <w:lang w:val="en-US" w:eastAsia="zh-CN"/>
        </w:rPr>
        <w:t>3.50</w:t>
      </w:r>
      <w:r>
        <w:rPr>
          <w:rFonts w:ascii="Times New Roman" w:hAnsi="Times New Roman" w:eastAsia="仿宋_GB2312" w:cs="Times New Roman"/>
          <w:sz w:val="32"/>
          <w:szCs w:val="32"/>
          <w:lang w:val="zh-CN"/>
        </w:rPr>
        <w:t>万元，来源为省级专项资金3.5</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lang w:val="zh-CN"/>
        </w:rPr>
        <w:t>万元。</w:t>
      </w:r>
      <w:r>
        <w:rPr>
          <w:rFonts w:ascii="Times New Roman" w:hAnsi="Times New Roman" w:eastAsia="仿宋_GB2312" w:cs="Times New Roman"/>
          <w:color w:val="0F1115"/>
          <w:sz w:val="32"/>
          <w:szCs w:val="32"/>
        </w:rPr>
        <w:t>资金申报经分局党组会审议通过，并按程序报市局备案，预算批复手续完备。</w:t>
      </w:r>
    </w:p>
    <w:p w14:paraId="197F6112">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357F81A7">
      <w:pPr>
        <w:suppressAutoHyphens/>
        <w:adjustRightInd w:val="0"/>
        <w:snapToGrid w:val="0"/>
        <w:spacing w:line="560" w:lineRule="exact"/>
        <w:ind w:firstLine="640" w:firstLineChars="20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1</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资金计划。</w:t>
      </w:r>
      <w:r>
        <w:rPr>
          <w:rFonts w:ascii="Times New Roman" w:hAnsi="Times New Roman" w:eastAsia="仿宋_GB2312" w:cs="Times New Roman"/>
          <w:sz w:val="32"/>
          <w:szCs w:val="32"/>
          <w:lang w:val="zh-CN"/>
        </w:rPr>
        <w:t>项目资金计划为</w:t>
      </w:r>
      <w:r>
        <w:rPr>
          <w:rFonts w:hint="eastAsia" w:ascii="Times New Roman" w:hAnsi="Times New Roman" w:eastAsia="仿宋_GB2312" w:cs="Times New Roman"/>
          <w:sz w:val="32"/>
          <w:szCs w:val="32"/>
          <w:lang w:val="en-US" w:eastAsia="zh-CN"/>
        </w:rPr>
        <w:t>3.50</w:t>
      </w:r>
      <w:r>
        <w:rPr>
          <w:rFonts w:ascii="Times New Roman" w:hAnsi="Times New Roman" w:eastAsia="仿宋_GB2312" w:cs="Times New Roman"/>
          <w:sz w:val="32"/>
          <w:szCs w:val="32"/>
          <w:lang w:val="zh-CN"/>
        </w:rPr>
        <w:t>万元，来源为省级专项资金3.5</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lang w:val="zh-CN"/>
        </w:rPr>
        <w:t>万元。</w:t>
      </w:r>
      <w:r>
        <w:rPr>
          <w:rFonts w:hint="eastAsia" w:ascii="Times New Roman" w:hAnsi="Times New Roman" w:eastAsia="仿宋_GB2312" w:cs="Times New Roman"/>
          <w:sz w:val="32"/>
          <w:szCs w:val="32"/>
          <w:lang w:val="en-US" w:eastAsia="zh-CN"/>
        </w:rPr>
        <w:t>2025年</w:t>
      </w:r>
      <w:r>
        <w:rPr>
          <w:rFonts w:hint="default" w:ascii="Times New Roman" w:hAnsi="Times New Roman" w:eastAsia="仿宋_GB2312" w:cs="Times New Roman"/>
          <w:sz w:val="32"/>
          <w:szCs w:val="32"/>
          <w:lang w:val="en-US" w:eastAsia="zh-CN"/>
        </w:rPr>
        <w:t>市财政批复下达资金</w:t>
      </w:r>
      <w:r>
        <w:rPr>
          <w:rFonts w:hint="eastAsia" w:ascii="Times New Roman" w:hAnsi="Times New Roman" w:eastAsia="仿宋_GB2312" w:cs="Times New Roman"/>
          <w:sz w:val="32"/>
          <w:szCs w:val="32"/>
          <w:lang w:val="en-US" w:eastAsia="zh-CN"/>
        </w:rPr>
        <w:t>3.50</w:t>
      </w:r>
      <w:r>
        <w:rPr>
          <w:rFonts w:hint="default" w:ascii="Times New Roman" w:hAnsi="Times New Roman" w:eastAsia="仿宋_GB2312" w:cs="Times New Roman"/>
          <w:sz w:val="32"/>
          <w:szCs w:val="32"/>
          <w:lang w:val="en-US" w:eastAsia="zh-CN"/>
        </w:rPr>
        <w:t>万元（攀财资环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62</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p>
    <w:p w14:paraId="005CC575">
      <w:pPr>
        <w:suppressAutoHyphens/>
        <w:adjustRightInd w:val="0"/>
        <w:snapToGrid w:val="0"/>
        <w:spacing w:line="560" w:lineRule="exact"/>
        <w:ind w:firstLine="640" w:firstLineChars="20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2</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lang w:val="zh-CN"/>
        </w:rPr>
        <w:t>目前省级补助资金3.5</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62</w:t>
      </w:r>
      <w:r>
        <w:rPr>
          <w:rFonts w:hint="default" w:ascii="Times New Roman" w:hAnsi="Times New Roman" w:eastAsia="仿宋_GB2312" w:cs="Times New Roman"/>
          <w:sz w:val="32"/>
          <w:szCs w:val="32"/>
          <w:lang w:val="en-US" w:eastAsia="zh-CN"/>
        </w:rPr>
        <w:t>号）</w:t>
      </w:r>
      <w:r>
        <w:rPr>
          <w:rFonts w:ascii="Times New Roman" w:hAnsi="Times New Roman" w:eastAsia="仿宋_GB2312" w:cs="Times New Roman"/>
          <w:sz w:val="32"/>
          <w:szCs w:val="32"/>
          <w:lang w:val="zh-CN"/>
        </w:rPr>
        <w:t>已到位。</w:t>
      </w:r>
      <w:r>
        <w:rPr>
          <w:rFonts w:hint="default" w:ascii="Times New Roman" w:hAnsi="Times New Roman" w:eastAsia="仿宋_GB2312" w:cs="Times New Roman"/>
          <w:sz w:val="32"/>
          <w:szCs w:val="32"/>
          <w:lang w:val="en-US" w:eastAsia="zh-CN"/>
        </w:rPr>
        <w:t>最终到位</w:t>
      </w:r>
      <w:r>
        <w:rPr>
          <w:rFonts w:hint="eastAsia" w:ascii="Times New Roman" w:hAnsi="Times New Roman" w:eastAsia="仿宋_GB2312" w:cs="Times New Roman"/>
          <w:sz w:val="32"/>
          <w:szCs w:val="32"/>
          <w:lang w:val="en-US" w:eastAsia="zh-CN"/>
        </w:rPr>
        <w:t>3.50</w:t>
      </w:r>
      <w:r>
        <w:rPr>
          <w:rFonts w:hint="default" w:ascii="Times New Roman" w:hAnsi="Times New Roman" w:eastAsia="仿宋_GB2312" w:cs="Times New Roman"/>
          <w:sz w:val="32"/>
          <w:szCs w:val="32"/>
          <w:lang w:val="en-US" w:eastAsia="zh-CN"/>
        </w:rPr>
        <w:t>万元</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到位率100%，</w:t>
      </w:r>
      <w:r>
        <w:rPr>
          <w:rFonts w:hint="default" w:ascii="Times New Roman" w:hAnsi="Times New Roman" w:eastAsia="仿宋_GB2312" w:cs="Times New Roman"/>
          <w:sz w:val="32"/>
          <w:szCs w:val="32"/>
          <w:lang w:val="zh-CN"/>
        </w:rPr>
        <w:t>到位及时。</w:t>
      </w:r>
    </w:p>
    <w:p w14:paraId="23B651D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3</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lang w:val="zh-CN"/>
        </w:rPr>
        <w:t>由于该项目持续到2025年底，排查单位于</w:t>
      </w:r>
      <w:r>
        <w:rPr>
          <w:rFonts w:hint="eastAsia" w:ascii="Times New Roman" w:hAnsi="Times New Roman" w:eastAsia="仿宋_GB2312" w:cs="Times New Roman"/>
          <w:sz w:val="32"/>
          <w:szCs w:val="32"/>
          <w:lang w:val="en-US" w:eastAsia="zh-CN"/>
        </w:rPr>
        <w:t>2026年</w:t>
      </w:r>
      <w:r>
        <w:rPr>
          <w:rFonts w:ascii="Times New Roman" w:hAnsi="Times New Roman" w:eastAsia="仿宋_GB2312" w:cs="Times New Roman"/>
          <w:sz w:val="32"/>
          <w:szCs w:val="32"/>
          <w:lang w:val="zh-CN"/>
        </w:rPr>
        <w:t>1月提交成果资料，已提供过党组会审议，尚未发生实际支出。</w:t>
      </w:r>
    </w:p>
    <w:p w14:paraId="32A17B2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40143EAC">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项目财务管理制度健全，实行专账核算，账务处理及时，凭证齐全，会计核算规范。资金支付严格执行审批程序，未发现挤占、挪用、虚列支出等问题。</w:t>
      </w:r>
    </w:p>
    <w:p w14:paraId="5767A8E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44622B5">
      <w:pPr>
        <w:adjustRightInd w:val="0"/>
        <w:snapToGrid w:val="0"/>
        <w:spacing w:line="600" w:lineRule="exact"/>
        <w:ind w:firstLine="643" w:firstLineChars="2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p>
    <w:p w14:paraId="184B48A0">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楷体_GB2312" w:cs="Times New Roman"/>
          <w:b/>
          <w:sz w:val="32"/>
          <w:szCs w:val="32"/>
          <w:lang w:val="zh-CN"/>
        </w:rPr>
      </w:pPr>
      <w:r>
        <w:rPr>
          <w:rFonts w:ascii="Times New Roman" w:hAnsi="Times New Roman" w:eastAsia="仿宋_GB2312" w:cs="Times New Roman"/>
          <w:sz w:val="32"/>
          <w:szCs w:val="32"/>
          <w:lang w:val="zh-CN"/>
        </w:rPr>
        <w:t>攀枝花市自然资源和规划局东区分局作为项目主办单位，负责项目全过程管理，包括采购组织、合同签订、成果验收、资金支付申请等</w:t>
      </w:r>
      <w:r>
        <w:rPr>
          <w:rFonts w:ascii="Times New Roman" w:hAnsi="Times New Roman" w:eastAsia="仿宋_GB2312" w:cs="Times New Roman"/>
          <w:b w:val="0"/>
          <w:bCs w:val="0"/>
          <w:i w:val="0"/>
          <w:iCs w:val="0"/>
          <w:caps w:val="0"/>
          <w:smallCaps w:val="0"/>
          <w:vanish w:val="0"/>
          <w:color w:val="0F1115"/>
          <w:spacing w:val="0"/>
          <w:sz w:val="32"/>
          <w:szCs w:val="32"/>
        </w:rPr>
        <w:t>。</w:t>
      </w:r>
    </w:p>
    <w:p w14:paraId="24BF88C6">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3" w:firstLineChars="2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w:t>
      </w:r>
      <w:r>
        <w:rPr>
          <w:rFonts w:hint="eastAsia" w:ascii="Times New Roman" w:hAnsi="Times New Roman" w:eastAsia="楷体_GB2312" w:cs="Times New Roman"/>
          <w:b/>
          <w:sz w:val="32"/>
          <w:szCs w:val="32"/>
          <w:lang w:val="zh-CN"/>
        </w:rPr>
        <w:t>二</w:t>
      </w:r>
      <w:r>
        <w:rPr>
          <w:rFonts w:ascii="Times New Roman" w:hAnsi="Times New Roman" w:eastAsia="楷体_GB2312" w:cs="Times New Roman"/>
          <w:b/>
          <w:sz w:val="32"/>
          <w:szCs w:val="32"/>
          <w:lang w:val="zh-CN"/>
        </w:rPr>
        <w:t>）项目管理情况。</w:t>
      </w:r>
    </w:p>
    <w:p w14:paraId="79100A28">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项目作业单位按要求完成排查任务并通过专家评审，流程闭环。项目严格执行政府采购及招投标相关规定，通过竞争性磋商方式确定服务单位，合同内容合法合规，成果验收程序完备。</w:t>
      </w:r>
    </w:p>
    <w:p w14:paraId="2A4EDC40">
      <w:pPr>
        <w:numPr>
          <w:ilvl w:val="0"/>
          <w:numId w:val="20"/>
        </w:num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项目监管情况。</w:t>
      </w:r>
    </w:p>
    <w:p w14:paraId="6BE92A52">
      <w:pPr>
        <w:numPr>
          <w:ilvl w:val="0"/>
          <w:numId w:val="0"/>
        </w:num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地灾办对项目实施过程进行全程跟踪监督，成果资料经专家评审通过，确保项目质量。资金支付申请前，已完成合同履约审核。</w:t>
      </w:r>
    </w:p>
    <w:p w14:paraId="3EDAF0BC">
      <w:pPr>
        <w:numPr>
          <w:ilvl w:val="0"/>
          <w:numId w:val="0"/>
        </w:num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15E278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分55分）</w:t>
      </w:r>
    </w:p>
    <w:p w14:paraId="311654DE">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kern w:val="0"/>
          <w:sz w:val="32"/>
          <w:szCs w:val="32"/>
          <w:lang w:val="en-US" w:eastAsia="zh-CN"/>
        </w:rPr>
        <w:t>2025</w:t>
      </w:r>
      <w:r>
        <w:rPr>
          <w:rFonts w:hint="default" w:ascii="Times New Roman" w:hAnsi="Times New Roman" w:eastAsia="仿宋_GB2312" w:cs="Times New Roman"/>
          <w:kern w:val="0"/>
          <w:sz w:val="32"/>
          <w:szCs w:val="32"/>
          <w:lang w:val="en-US" w:eastAsia="zh-CN"/>
        </w:rPr>
        <w:t>年度预算绩效资金为</w:t>
      </w:r>
      <w:r>
        <w:rPr>
          <w:rFonts w:hint="eastAsia" w:ascii="Times New Roman" w:hAnsi="Times New Roman" w:eastAsia="仿宋_GB2312" w:cs="Times New Roman"/>
          <w:kern w:val="0"/>
          <w:sz w:val="32"/>
          <w:szCs w:val="32"/>
          <w:lang w:val="en-US" w:eastAsia="zh-CN"/>
        </w:rPr>
        <w:t>3.50</w:t>
      </w:r>
      <w:r>
        <w:rPr>
          <w:rFonts w:hint="default" w:ascii="Times New Roman" w:hAnsi="Times New Roman" w:eastAsia="仿宋_GB2312" w:cs="Times New Roman"/>
          <w:kern w:val="0"/>
          <w:sz w:val="32"/>
          <w:szCs w:val="32"/>
          <w:lang w:val="en-US" w:eastAsia="zh-CN"/>
        </w:rPr>
        <w:t>万元，支付</w:t>
      </w:r>
      <w:r>
        <w:rPr>
          <w:rFonts w:hint="eastAsia" w:ascii="Times New Roman" w:hAnsi="Times New Roman" w:eastAsia="仿宋_GB2312" w:cs="Times New Roman"/>
          <w:kern w:val="0"/>
          <w:sz w:val="32"/>
          <w:szCs w:val="32"/>
          <w:lang w:val="en-US" w:eastAsia="zh-CN"/>
        </w:rPr>
        <w:t>0</w:t>
      </w:r>
      <w:r>
        <w:rPr>
          <w:rFonts w:hint="default" w:ascii="Times New Roman" w:hAnsi="Times New Roman" w:eastAsia="仿宋_GB2312" w:cs="Times New Roman"/>
          <w:kern w:val="0"/>
          <w:sz w:val="32"/>
          <w:szCs w:val="32"/>
          <w:lang w:val="en-US" w:eastAsia="zh-CN"/>
        </w:rPr>
        <w:t>万元，执行率为</w:t>
      </w:r>
      <w:r>
        <w:rPr>
          <w:rFonts w:hint="eastAsia" w:ascii="Times New Roman" w:hAnsi="Times New Roman" w:eastAsia="仿宋_GB2312" w:cs="Times New Roman"/>
          <w:kern w:val="0"/>
          <w:sz w:val="32"/>
          <w:szCs w:val="32"/>
          <w:lang w:val="en-US" w:eastAsia="zh-CN"/>
        </w:rPr>
        <w:t>0.00</w:t>
      </w:r>
      <w:r>
        <w:rPr>
          <w:rFonts w:hint="default" w:ascii="Times New Roman" w:hAnsi="Times New Roman" w:eastAsia="仿宋_GB2312" w:cs="Times New Roman"/>
          <w:kern w:val="0"/>
          <w:sz w:val="32"/>
          <w:szCs w:val="32"/>
          <w:lang w:val="en-US" w:eastAsia="zh-CN"/>
        </w:rPr>
        <w:t>%。（10分）</w:t>
      </w:r>
    </w:p>
    <w:p w14:paraId="61E93234">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lang w:val="zh-CN"/>
        </w:rPr>
        <w:t>数量</w:t>
      </w:r>
      <w:r>
        <w:rPr>
          <w:rFonts w:hint="eastAsia" w:ascii="Times New Roman" w:hAnsi="Times New Roman" w:eastAsia="仿宋_GB2312" w:cs="Times New Roman"/>
          <w:sz w:val="32"/>
          <w:szCs w:val="32"/>
          <w:lang w:val="zh-CN"/>
        </w:rPr>
        <w:t>指</w:t>
      </w:r>
      <w:r>
        <w:rPr>
          <w:rFonts w:ascii="Times New Roman" w:hAnsi="Times New Roman" w:eastAsia="仿宋_GB2312" w:cs="Times New Roman"/>
          <w:sz w:val="32"/>
          <w:szCs w:val="32"/>
          <w:lang w:val="zh-CN"/>
        </w:rPr>
        <w:t>标：完成东区2025年度地质灾害风险隐患专项排查任务1项</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28</w:t>
      </w:r>
      <w:r>
        <w:rPr>
          <w:rFonts w:hint="default" w:ascii="Times New Roman" w:hAnsi="Times New Roman" w:eastAsia="仿宋_GB2312" w:cs="Times New Roman"/>
          <w:kern w:val="0"/>
          <w:sz w:val="32"/>
          <w:szCs w:val="32"/>
          <w:lang w:val="en-US" w:eastAsia="zh-CN"/>
        </w:rPr>
        <w:t>分）</w:t>
      </w:r>
    </w:p>
    <w:p w14:paraId="2C4E0BE7">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lang w:val="zh-CN"/>
        </w:rPr>
        <w:t>质量</w:t>
      </w:r>
      <w:r>
        <w:rPr>
          <w:rFonts w:hint="eastAsia" w:ascii="Times New Roman" w:hAnsi="Times New Roman" w:eastAsia="仿宋_GB2312" w:cs="Times New Roman"/>
          <w:sz w:val="32"/>
          <w:szCs w:val="32"/>
          <w:lang w:val="zh-CN"/>
        </w:rPr>
        <w:t>指</w:t>
      </w:r>
      <w:r>
        <w:rPr>
          <w:rFonts w:ascii="Times New Roman" w:hAnsi="Times New Roman" w:eastAsia="仿宋_GB2312" w:cs="Times New Roman"/>
          <w:sz w:val="32"/>
          <w:szCs w:val="32"/>
          <w:lang w:val="zh-CN"/>
        </w:rPr>
        <w:t>标：提交成果报告1套，通过专家评审，质量合格</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（10分）</w:t>
      </w:r>
    </w:p>
    <w:p w14:paraId="04AC4DD0">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lang w:val="zh-CN"/>
        </w:rPr>
        <w:t>时效</w:t>
      </w:r>
      <w:r>
        <w:rPr>
          <w:rFonts w:hint="eastAsia" w:ascii="Times New Roman" w:hAnsi="Times New Roman" w:eastAsia="仿宋_GB2312" w:cs="Times New Roman"/>
          <w:sz w:val="32"/>
          <w:szCs w:val="32"/>
          <w:lang w:val="zh-CN"/>
        </w:rPr>
        <w:t>指</w:t>
      </w:r>
      <w:r>
        <w:rPr>
          <w:rFonts w:ascii="Times New Roman" w:hAnsi="Times New Roman" w:eastAsia="仿宋_GB2312" w:cs="Times New Roman"/>
          <w:sz w:val="32"/>
          <w:szCs w:val="32"/>
          <w:lang w:val="zh-CN"/>
        </w:rPr>
        <w:t>标：项目按合同约定时间完成，成果按期提交</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9</w:t>
      </w:r>
      <w:r>
        <w:rPr>
          <w:rFonts w:hint="default" w:ascii="Times New Roman" w:hAnsi="Times New Roman" w:eastAsia="仿宋_GB2312" w:cs="Times New Roman"/>
          <w:kern w:val="0"/>
          <w:sz w:val="32"/>
          <w:szCs w:val="32"/>
          <w:lang w:val="en-US" w:eastAsia="zh-CN"/>
        </w:rPr>
        <w:t>分）</w:t>
      </w:r>
    </w:p>
    <w:p w14:paraId="4FF0C73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w:t>
      </w:r>
      <w:r>
        <w:rPr>
          <w:rFonts w:hint="eastAsia" w:ascii="Times New Roman" w:hAnsi="Times New Roman" w:eastAsia="楷体_GB2312" w:cs="Times New Roman"/>
          <w:sz w:val="32"/>
          <w:szCs w:val="32"/>
          <w:lang w:val="en-US" w:eastAsia="zh-CN"/>
        </w:rPr>
        <w:t>4</w:t>
      </w:r>
      <w:r>
        <w:rPr>
          <w:rFonts w:hint="default" w:ascii="Times New Roman" w:hAnsi="Times New Roman" w:eastAsia="楷体_GB2312" w:cs="Times New Roman"/>
          <w:sz w:val="32"/>
          <w:szCs w:val="32"/>
          <w:lang w:val="en-US" w:eastAsia="zh-CN"/>
        </w:rPr>
        <w:t>5分）</w:t>
      </w:r>
    </w:p>
    <w:p w14:paraId="26DB4BCA">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lang w:val="zh-CN"/>
        </w:rPr>
        <w:t>社会效益</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：提升了东区地质灾害风险防控能力，保障人民群众生命财产安全</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15</w:t>
      </w:r>
      <w:r>
        <w:rPr>
          <w:rFonts w:hint="default" w:ascii="Times New Roman" w:hAnsi="Times New Roman" w:eastAsia="仿宋_GB2312" w:cs="Times New Roman"/>
          <w:kern w:val="0"/>
          <w:sz w:val="32"/>
          <w:szCs w:val="32"/>
          <w:lang w:val="en-US" w:eastAsia="zh-CN"/>
        </w:rPr>
        <w:t>分）</w:t>
      </w:r>
    </w:p>
    <w:p w14:paraId="0EECFF77">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lang w:val="zh-CN"/>
        </w:rPr>
        <w:t>生态效益</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：排查工作未对生态环境造成负面影响</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10</w:t>
      </w:r>
      <w:r>
        <w:rPr>
          <w:rFonts w:hint="default" w:ascii="Times New Roman" w:hAnsi="Times New Roman" w:eastAsia="仿宋_GB2312" w:cs="Times New Roman"/>
          <w:kern w:val="0"/>
          <w:sz w:val="32"/>
          <w:szCs w:val="32"/>
          <w:lang w:val="en-US" w:eastAsia="zh-CN"/>
        </w:rPr>
        <w:t>分）</w:t>
      </w:r>
    </w:p>
    <w:p w14:paraId="62DC2A69">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lang w:val="zh-CN"/>
        </w:rPr>
        <w:t>可持续效益</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：为后续地质灾害防治工作提供了基础数据支撑</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1F04D74B">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lang w:val="zh-CN"/>
        </w:rPr>
        <w:t>服务对象满意度</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：项目成果得到专家及相关部门认可，满意度较高。</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4F6084F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5A6B9EB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253F47B4">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zh-CN"/>
        </w:rPr>
        <w:t>本项目立项依据充分，实施程序规范，成果质量合格，资金使用合规，绩效目标全面完成。综合评定为“</w:t>
      </w:r>
      <w:r>
        <w:rPr>
          <w:rFonts w:ascii="Times New Roman" w:hAnsi="Times New Roman" w:eastAsia="仿宋_GB2312" w:cs="Times New Roman"/>
          <w:sz w:val="32"/>
          <w:szCs w:val="32"/>
          <w:lang w:val="zh-CN"/>
        </w:rPr>
        <w:t>良</w:t>
      </w:r>
      <w:r>
        <w:rPr>
          <w:rFonts w:hint="eastAsia" w:ascii="Times New Roman" w:hAnsi="Times New Roman" w:eastAsia="仿宋_GB2312" w:cs="Times New Roman"/>
          <w:sz w:val="32"/>
          <w:szCs w:val="32"/>
          <w:lang w:val="zh-CN"/>
        </w:rPr>
        <w:t>”。</w:t>
      </w:r>
    </w:p>
    <w:p w14:paraId="5AB3B13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700F666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项目资金支付进度受</w:t>
      </w:r>
      <w:r>
        <w:rPr>
          <w:rFonts w:ascii="Times New Roman" w:hAnsi="Times New Roman" w:eastAsia="仿宋_GB2312" w:cs="Times New Roman"/>
          <w:sz w:val="32"/>
          <w:szCs w:val="32"/>
          <w:lang w:val="zh-CN"/>
        </w:rPr>
        <w:t>财政局资金安排影响</w:t>
      </w:r>
      <w:r>
        <w:rPr>
          <w:rFonts w:hint="eastAsia" w:ascii="Times New Roman" w:hAnsi="Times New Roman" w:eastAsia="仿宋_GB2312" w:cs="Times New Roman"/>
          <w:sz w:val="32"/>
          <w:szCs w:val="32"/>
          <w:lang w:val="zh-CN"/>
        </w:rPr>
        <w:t>，存在一定滞后，尚未实现“合同履约完成即支付”的及时性目标</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3C2CB6C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5A326A0">
      <w:pPr>
        <w:adjustRightInd w:val="0"/>
        <w:snapToGrid w:val="0"/>
        <w:spacing w:line="600" w:lineRule="exact"/>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建议进一步优化资金支付审批流程，缩短支付周期，提升财政资金使用效率，确保项目单位资金及时回笼，增强服务单位履约积极性。</w:t>
      </w:r>
    </w:p>
    <w:p w14:paraId="6D0D81F2">
      <w:pPr>
        <w:rPr>
          <w:rFonts w:ascii="Times New Roman" w:hAnsi="Times New Roman" w:eastAsia="仿宋_GB2312" w:cs="Times New Roman"/>
          <w:sz w:val="32"/>
          <w:szCs w:val="32"/>
        </w:rPr>
      </w:pPr>
    </w:p>
    <w:p w14:paraId="5E2B332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50B2BDF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4F82E76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106"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1A817F12">
      <w:pPr>
        <w:spacing w:line="600" w:lineRule="exact"/>
        <w:rPr>
          <w:rFonts w:ascii="Times New Roman" w:hAnsi="Times New Roman" w:eastAsia="黑体" w:cs="Times New Roman"/>
          <w:sz w:val="32"/>
          <w:szCs w:val="32"/>
        </w:rPr>
      </w:pPr>
      <w:r>
        <w:rPr>
          <w:rFonts w:ascii="Times New Roman" w:hAnsi="Times New Roman" w:eastAsia="黑体" w:cs="Times New Roman"/>
          <w:sz w:val="32"/>
          <w:szCs w:val="32"/>
        </w:rPr>
        <w:t>附件5</w:t>
      </w:r>
    </w:p>
    <w:p w14:paraId="68C924D9">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2AC1F04E">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0C6CFDD0">
      <w:pPr>
        <w:widowControl w:val="0"/>
        <w:spacing w:line="600" w:lineRule="exact"/>
        <w:ind w:firstLine="883"/>
        <w:jc w:val="both"/>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测量质量监督检查基础测绘</w:t>
      </w:r>
      <w:r>
        <w:rPr>
          <w:rFonts w:hint="eastAsia" w:eastAsia="仿宋_GB2312" w:cs="Times New Roman"/>
          <w:color w:val="auto"/>
          <w:kern w:val="2"/>
          <w:sz w:val="32"/>
          <w:szCs w:val="32"/>
          <w:lang w:val="zh-CN" w:eastAsia="zh-CN" w:bidi="ar-SA"/>
        </w:rPr>
        <w:t>“十四五”规划</w:t>
      </w:r>
      <w:r>
        <w:rPr>
          <w:rFonts w:hint="eastAsia" w:ascii="Times New Roman" w:hAnsi="Times New Roman" w:eastAsia="仿宋_GB2312" w:cs="Times New Roman"/>
          <w:color w:val="auto"/>
          <w:kern w:val="2"/>
          <w:sz w:val="32"/>
          <w:szCs w:val="32"/>
          <w:lang w:val="zh-CN" w:eastAsia="zh-CN" w:bidi="ar-SA"/>
        </w:rPr>
        <w:t>编制</w:t>
      </w:r>
      <w:r>
        <w:rPr>
          <w:rFonts w:ascii="Times New Roman" w:hAnsi="Times New Roman" w:eastAsia="仿宋_GB2312" w:cs="Times New Roman"/>
          <w:color w:val="auto"/>
          <w:kern w:val="2"/>
          <w:sz w:val="32"/>
          <w:szCs w:val="32"/>
          <w:lang w:val="zh-CN" w:eastAsia="zh-CN" w:bidi="ar-SA"/>
        </w:rPr>
        <w:t>）</w:t>
      </w:r>
    </w:p>
    <w:p w14:paraId="652E22D2">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00DA9F5">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683550A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2D5AF05F">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仿宋_GB2312" w:hAnsi="仿宋" w:eastAsia="仿宋_GB2312" w:cs="仿宋"/>
          <w:bCs/>
          <w:color w:val="000000"/>
          <w:sz w:val="32"/>
          <w:szCs w:val="32"/>
        </w:rPr>
        <w:t>根据</w:t>
      </w:r>
      <w:r>
        <w:rPr>
          <w:rFonts w:hint="eastAsia" w:ascii="仿宋_GB2312" w:hAnsi="Times New Roman" w:eastAsia="仿宋_GB2312" w:cs="Times New Roman"/>
          <w:sz w:val="32"/>
          <w:szCs w:val="32"/>
        </w:rPr>
        <w:t>《四川省测绘地理信息局关于全面开展市县基础测绘“十四五”规划编制工作的通知》</w:t>
      </w:r>
      <w:r>
        <w:rPr>
          <w:rFonts w:hint="eastAsia" w:ascii="仿宋_GB2312"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经2021年第5次局务会议同意，</w:t>
      </w:r>
      <w:r>
        <w:rPr>
          <w:rFonts w:hint="eastAsia" w:ascii="Times New Roman" w:hAnsi="Times New Roman" w:eastAsia="仿宋_GB2312" w:cs="Times New Roman"/>
          <w:sz w:val="32"/>
          <w:szCs w:val="32"/>
        </w:rPr>
        <w:t>2021年5月市自然</w:t>
      </w:r>
      <w:r>
        <w:rPr>
          <w:rFonts w:hint="eastAsia" w:eastAsia="仿宋_GB2312" w:cs="Times New Roman"/>
          <w:sz w:val="32"/>
          <w:szCs w:val="32"/>
          <w:lang w:eastAsia="zh-CN"/>
        </w:rPr>
        <w:t>资源</w:t>
      </w:r>
      <w:r>
        <w:rPr>
          <w:rFonts w:hint="eastAsia" w:ascii="Times New Roman" w:hAnsi="Times New Roman" w:eastAsia="仿宋_GB2312" w:cs="Times New Roman"/>
          <w:sz w:val="32"/>
          <w:szCs w:val="32"/>
        </w:rPr>
        <w:t>和规划局通过竞争性谈判采购方式，确定自然资源部第六地形测量队（四川省第三测绘工程院）为攀枝花市基础测绘“十四五”规划编制的技术单位。</w:t>
      </w:r>
      <w:r>
        <w:rPr>
          <w:rFonts w:hint="eastAsia" w:ascii="Times New Roman" w:hAnsi="Times New Roman" w:eastAsia="仿宋_GB2312" w:cs="Times New Roman"/>
          <w:sz w:val="32"/>
          <w:szCs w:val="32"/>
          <w:lang w:val="en-US" w:eastAsia="zh-CN"/>
        </w:rPr>
        <w:t>2021年5月31日签订攀枝花市基础测绘“十四五”规划（包含米易县、盐边县）项目服务合同，</w:t>
      </w:r>
      <w:r>
        <w:rPr>
          <w:rFonts w:hint="eastAsia" w:ascii="仿宋_GB2312" w:hAnsi="Times New Roman" w:eastAsia="仿宋_GB2312" w:cs="Times New Roman"/>
          <w:sz w:val="32"/>
          <w:szCs w:val="32"/>
          <w:lang w:val="en-US" w:eastAsia="zh-CN"/>
        </w:rPr>
        <w:t>合同</w:t>
      </w:r>
      <w:r>
        <w:rPr>
          <w:rFonts w:hint="eastAsia" w:ascii="仿宋_GB2312" w:hAnsi="Times New Roman" w:eastAsia="仿宋_GB2312" w:cs="Times New Roman"/>
          <w:sz w:val="32"/>
          <w:szCs w:val="32"/>
        </w:rPr>
        <w:t>金额28万元</w:t>
      </w: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rPr>
        <w:t>按照所需经费财政分级承担原则，其中市级承担14万元（占总金额50%），米易县、盐边县各自承担7万元（各占总金额25%）。</w:t>
      </w:r>
    </w:p>
    <w:p w14:paraId="5EA1C6B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3BCAC5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按照《自然资源部办公厅关于印发</w:t>
      </w:r>
      <w:r>
        <w:rPr>
          <w:rFonts w:hint="eastAsia" w:eastAsia="仿宋_GB2312" w:cs="Times New Roman"/>
          <w:sz w:val="32"/>
          <w:szCs w:val="32"/>
          <w:lang w:val="zh-CN"/>
        </w:rPr>
        <w:t>〈</w:t>
      </w:r>
      <w:r>
        <w:rPr>
          <w:rFonts w:ascii="Times New Roman" w:hAnsi="Times New Roman" w:eastAsia="仿宋_GB2312" w:cs="Times New Roman"/>
          <w:sz w:val="32"/>
          <w:szCs w:val="32"/>
          <w:lang w:val="zh-CN"/>
        </w:rPr>
        <w:t>全国基础测绘“十四五”规划编制指南＞的函》（自然资办函〔2019〕1914号）及四川省测绘地理信息局《关于全面开展市县基础测绘“十四五”规划编制工作的通知》（川测发〔2020〕8号）要求，结合攀枝花市、米易县、盐边县基础条件、发展目标、重点任务、重大项目及经济社会发展实际要求等，深入研究“十四五”期间基础测绘面临的新形势、新问题，准确把握履行自然资源管理“两统一”职责对基础测绘的新需求，有针对性</w:t>
      </w:r>
      <w:r>
        <w:rPr>
          <w:rFonts w:hint="eastAsia" w:ascii="Times New Roman" w:hAnsi="Times New Roman" w:eastAsia="仿宋_GB2312" w:cs="Times New Roman"/>
          <w:sz w:val="32"/>
          <w:szCs w:val="32"/>
          <w:lang w:val="zh-CN"/>
        </w:rPr>
        <w:t>地</w:t>
      </w:r>
      <w:r>
        <w:rPr>
          <w:rFonts w:ascii="Times New Roman" w:hAnsi="Times New Roman" w:eastAsia="仿宋_GB2312" w:cs="Times New Roman"/>
          <w:sz w:val="32"/>
          <w:szCs w:val="32"/>
          <w:lang w:val="zh-CN"/>
        </w:rPr>
        <w:t>编制攀枝花市基础测绘“十四五”规划（包含米易县、盐边县）</w:t>
      </w:r>
      <w:r>
        <w:rPr>
          <w:rFonts w:hint="eastAsia" w:ascii="Times New Roman" w:hAnsi="Times New Roman" w:eastAsia="仿宋_GB2312" w:cs="Times New Roman"/>
          <w:sz w:val="32"/>
          <w:szCs w:val="32"/>
          <w:lang w:val="zh-CN"/>
        </w:rPr>
        <w:t>。</w:t>
      </w:r>
    </w:p>
    <w:p w14:paraId="293EF8A3">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 xml:space="preserve">2. </w:t>
      </w:r>
      <w:r>
        <w:rPr>
          <w:rFonts w:hint="eastAsia" w:ascii="Times New Roman" w:hAnsi="Times New Roman" w:eastAsia="仿宋_GB2312" w:cs="Times New Roman"/>
          <w:sz w:val="32"/>
          <w:szCs w:val="32"/>
          <w:lang w:val="en-US" w:eastAsia="zh-CN"/>
        </w:rPr>
        <w:t>按程序广泛征求政府相关部门意见，根据意见和建议修改完善后，形成规划送审稿</w:t>
      </w:r>
      <w:r>
        <w:rPr>
          <w:rFonts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2021年6月30日前，完成规划送审稿报批。</w:t>
      </w:r>
    </w:p>
    <w:p w14:paraId="622E382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 申报内容与实际相符，申报目标合理可行。</w:t>
      </w:r>
    </w:p>
    <w:p w14:paraId="6712EC9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6B7CAC90">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由项目参与人员，按照职责分工，根据项目实际情况，采用定量和定性相结合的方法，对绩效各项指标进行分析评价，撰写自评报告，总结问题并提出相关建议。</w:t>
      </w:r>
    </w:p>
    <w:p w14:paraId="24C1828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5BB7007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5E4F72F2">
      <w:pPr>
        <w:adjustRightInd w:val="0"/>
        <w:snapToGrid w:val="0"/>
        <w:spacing w:line="600" w:lineRule="exact"/>
        <w:ind w:firstLine="720"/>
        <w:rPr>
          <w:rFonts w:hint="eastAsia" w:ascii="仿宋_GB2312" w:hAnsi="仿宋" w:eastAsia="仿宋_GB2312" w:cs="仿宋"/>
          <w:bCs/>
          <w:color w:val="000000"/>
          <w:sz w:val="32"/>
          <w:szCs w:val="32"/>
          <w:lang w:val="zh-CN"/>
        </w:rPr>
      </w:pPr>
      <w:r>
        <w:rPr>
          <w:rFonts w:hint="eastAsia" w:ascii="仿宋_GB2312" w:hAnsi="仿宋" w:eastAsia="仿宋_GB2312" w:cs="仿宋"/>
          <w:bCs/>
          <w:color w:val="000000"/>
          <w:sz w:val="32"/>
          <w:szCs w:val="32"/>
        </w:rPr>
        <w:t>按照市领导对《攀枝花市自然资源和规划局关于申请解决攀枝花市本级基础测绘“十四五”规划编制专项工作经费的请示》（以下简称《请示》）的批示和《攀枝花市财政局关于攀枝花市本级基础测绘“十四五”规划编制专项工作经费的请示》精神，</w:t>
      </w:r>
      <w:r>
        <w:rPr>
          <w:rFonts w:hint="eastAsia" w:ascii="Times New Roman" w:hAnsi="Times New Roman" w:eastAsia="仿宋_GB2312" w:cs="Times New Roman"/>
          <w:sz w:val="32"/>
          <w:szCs w:val="32"/>
          <w:lang w:val="zh-CN"/>
        </w:rPr>
        <w:t>同意我局牵头同意编制全市基础测绘“十四五”规划，按照基础测绘领域事权与财权的划分，市级承担50%，两县各自承担25%。所需经费在2021年预算安排保障的测绘类工作经费中统筹解决。</w:t>
      </w:r>
    </w:p>
    <w:p w14:paraId="091B4B4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5101F5C9">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仿宋_GB2312" w:hAnsi="Times New Roman" w:eastAsia="仿宋_GB2312" w:cs="Times New Roman"/>
          <w:sz w:val="32"/>
          <w:szCs w:val="32"/>
        </w:rPr>
        <w:t>按照所需经费财政分级承担原则，其中市级承担14万元（占总金额50%），米易县、盐边县各自承担7万元（各占总金额25%）。</w:t>
      </w:r>
    </w:p>
    <w:p w14:paraId="09AEFDC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2021年11月15日，市财政局下达2021年地理测绘经费（攀财资环资</w:t>
      </w:r>
      <w:r>
        <w:rPr>
          <w:rFonts w:ascii="Times New Roman" w:hAnsi="Times New Roman" w:eastAsia="仿宋_GB2312" w:cs="Times New Roman"/>
          <w:sz w:val="32"/>
          <w:szCs w:val="32"/>
          <w:lang w:val="zh-CN"/>
        </w:rPr>
        <w:t>〔202</w:t>
      </w: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61</w:t>
      </w:r>
      <w:r>
        <w:rPr>
          <w:rFonts w:ascii="Times New Roman" w:hAnsi="Times New Roman" w:eastAsia="仿宋_GB2312" w:cs="Times New Roman"/>
          <w:sz w:val="32"/>
          <w:szCs w:val="32"/>
          <w:lang w:val="zh-CN"/>
        </w:rPr>
        <w:t>号</w:t>
      </w:r>
      <w:r>
        <w:rPr>
          <w:rFonts w:hint="eastAsia" w:ascii="Times New Roman" w:hAnsi="Times New Roman" w:eastAsia="仿宋_GB2312" w:cs="Times New Roman"/>
          <w:sz w:val="32"/>
          <w:szCs w:val="32"/>
          <w:lang w:val="en-US" w:eastAsia="zh-CN"/>
        </w:rPr>
        <w:t>）32万元，包含“十四五”规划编制项目经费14万元，2021年底被全部收回。2025年全额进行支付。</w:t>
      </w:r>
    </w:p>
    <w:p w14:paraId="29548B6C">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en-US" w:eastAsia="zh-CN"/>
        </w:rPr>
        <w:t>经项目技术服务单位申请，按照合同约定，2025年一次性支付了14万元。</w:t>
      </w:r>
    </w:p>
    <w:p w14:paraId="1345604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568F12E0">
      <w:pPr>
        <w:adjustRightInd w:val="0"/>
        <w:snapToGrid w:val="0"/>
        <w:spacing w:line="56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攀枝花市自然资源和规划局财务管理制度健全，严格执行财务管理制度，账务处理及时，会计核算规范。</w:t>
      </w:r>
    </w:p>
    <w:p w14:paraId="1AEA2C6E">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0D1B154">
      <w:pPr>
        <w:numPr>
          <w:ilvl w:val="0"/>
          <w:numId w:val="21"/>
        </w:numPr>
        <w:spacing w:line="600" w:lineRule="exact"/>
        <w:ind w:firstLine="643" w:firstLineChars="2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r>
        <w:rPr>
          <w:rFonts w:hint="eastAsia" w:ascii="Times New Roman" w:hAnsi="Times New Roman" w:eastAsia="仿宋_GB2312" w:cs="Times New Roman"/>
          <w:sz w:val="32"/>
          <w:szCs w:val="32"/>
          <w:lang w:val="en-US" w:eastAsia="zh-CN"/>
        </w:rPr>
        <w:t>项目由测绘科负责，</w:t>
      </w:r>
      <w:r>
        <w:rPr>
          <w:rFonts w:hint="eastAsia" w:ascii="Times New Roman" w:hAnsi="Times New Roman" w:eastAsia="仿宋_GB2312" w:cs="Times New Roman"/>
          <w:sz w:val="32"/>
          <w:szCs w:val="32"/>
          <w:lang w:val="zh-CN"/>
        </w:rPr>
        <w:t>经局务会审议通过后，</w:t>
      </w:r>
      <w:r>
        <w:rPr>
          <w:rFonts w:hint="eastAsia" w:ascii="Times New Roman" w:hAnsi="Times New Roman" w:eastAsia="仿宋_GB2312" w:cs="Times New Roman"/>
          <w:sz w:val="32"/>
          <w:szCs w:val="32"/>
          <w:lang w:val="en-US" w:eastAsia="zh-CN"/>
        </w:rPr>
        <w:t>采用询价的方式选取招标代理机构开展</w:t>
      </w:r>
      <w:r>
        <w:rPr>
          <w:rFonts w:hint="eastAsia" w:ascii="Times New Roman" w:hAnsi="Times New Roman" w:eastAsia="仿宋_GB2312" w:cs="Times New Roman"/>
          <w:sz w:val="32"/>
          <w:szCs w:val="32"/>
          <w:lang w:val="zh-CN"/>
        </w:rPr>
        <w:t>采购工作，包括：通过竞争性谈判方式确定中标单位，组织合同拟定、评审与签订，参与采购项目验收，办理支付等事项。</w:t>
      </w:r>
    </w:p>
    <w:p w14:paraId="6D52313C">
      <w:pPr>
        <w:spacing w:line="600" w:lineRule="exact"/>
        <w:ind w:firstLine="642"/>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仿宋_GB2312" w:hAnsi="Times New Roman" w:eastAsia="仿宋_GB2312" w:cs="Times New Roman"/>
          <w:sz w:val="32"/>
          <w:szCs w:val="32"/>
        </w:rPr>
        <w:t>根据</w:t>
      </w:r>
      <w:r>
        <w:rPr>
          <w:rFonts w:hint="eastAsia" w:ascii="仿宋_GB2312" w:hAnsi="仿宋" w:eastAsia="仿宋_GB2312" w:cs="仿宋"/>
          <w:bCs/>
          <w:color w:val="000000"/>
          <w:sz w:val="32"/>
          <w:szCs w:val="32"/>
        </w:rPr>
        <w:t>《攀枝花市自然资源和规划局采购管理办法》第三章第十二条“</w:t>
      </w:r>
      <w:r>
        <w:rPr>
          <w:rFonts w:hint="eastAsia" w:ascii="Times New Roman" w:hAnsi="Times New Roman" w:eastAsia="仿宋_GB2312" w:cs="Times New Roman"/>
          <w:sz w:val="32"/>
          <w:szCs w:val="32"/>
        </w:rPr>
        <w:t>未纳入集中采购目录的采购项目，可以自行采购，也可以委托集中采购机构或社会中介机构代理采购</w:t>
      </w:r>
      <w:r>
        <w:rPr>
          <w:rFonts w:hint="eastAsia" w:ascii="仿宋_GB2312" w:hAnsi="仿宋" w:eastAsia="仿宋_GB2312" w:cs="仿宋"/>
          <w:bCs/>
          <w:color w:val="000000"/>
          <w:sz w:val="32"/>
          <w:szCs w:val="32"/>
        </w:rPr>
        <w:t>”“采购</w:t>
      </w:r>
      <w:r>
        <w:rPr>
          <w:rFonts w:hint="eastAsia" w:ascii="仿宋_GB2312" w:hAnsi="仿宋" w:eastAsia="仿宋_GB2312" w:cs="仿宋"/>
          <w:bCs/>
          <w:color w:val="000000"/>
          <w:sz w:val="32"/>
          <w:szCs w:val="32"/>
          <w:lang w:eastAsia="zh-CN"/>
        </w:rPr>
        <w:t>5万—30万</w:t>
      </w:r>
      <w:r>
        <w:rPr>
          <w:rFonts w:hint="eastAsia" w:ascii="仿宋_GB2312" w:hAnsi="仿宋" w:eastAsia="仿宋_GB2312" w:cs="仿宋"/>
          <w:bCs/>
          <w:color w:val="000000"/>
          <w:sz w:val="32"/>
          <w:szCs w:val="32"/>
        </w:rPr>
        <w:t>元以内货物或服务提请局务会审议”规定，因</w:t>
      </w:r>
      <w:r>
        <w:rPr>
          <w:rFonts w:hint="eastAsia" w:ascii="仿宋_GB2312" w:hAnsi="Times New Roman" w:eastAsia="仿宋_GB2312" w:cs="Times New Roman"/>
          <w:sz w:val="32"/>
          <w:szCs w:val="32"/>
        </w:rPr>
        <w:t>询价后估算全市基础测绘“十四五”规划编制金额共需28万元左右（不超过30万元），其中市级承担14万元。拟“采用竞争性谈判方式确定中标单位”，落实采购程序，开展采购工作。</w:t>
      </w:r>
    </w:p>
    <w:p w14:paraId="610B4AE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en-US" w:eastAsia="zh-CN"/>
        </w:rPr>
        <w:t>2021年4月30日，市自然资源和规划局2021年第5次局务会审议并同意了关于开展攀枝花市基础测绘“十四五”规划编制采购工作的请示。2021年5月31日，市自然资源和规划局测绘科、财务科、法规科、法律顾问、分管领导和主要领导对《攀枝花市基础测绘“十四五”规划（包含米易县、盐边县）项目服务合同》进行了审查会签。</w:t>
      </w:r>
    </w:p>
    <w:p w14:paraId="05A7947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7BC1DE0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1054007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项目完成攀枝花市基础测绘“十四五”规划（包含米易县、盐边县）文本的编制</w:t>
      </w:r>
      <w:r>
        <w:rPr>
          <w:rFonts w:hint="eastAsia" w:ascii="Times New Roman" w:hAnsi="Times New Roman" w:eastAsia="仿宋_GB2312" w:cs="Times New Roman"/>
          <w:sz w:val="32"/>
          <w:szCs w:val="32"/>
        </w:rPr>
        <w:t>。2021年8月</w:t>
      </w:r>
      <w:r>
        <w:rPr>
          <w:rFonts w:hint="eastAsia" w:ascii="Times New Roman" w:hAnsi="Times New Roman" w:eastAsia="仿宋_GB2312" w:cs="Times New Roman"/>
          <w:sz w:val="32"/>
          <w:szCs w:val="32"/>
          <w:lang w:val="en-US" w:eastAsia="zh-CN"/>
        </w:rPr>
        <w:t>31日</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规划文本通过</w:t>
      </w:r>
      <w:r>
        <w:rPr>
          <w:rFonts w:hint="eastAsia" w:ascii="Times New Roman" w:hAnsi="Times New Roman" w:eastAsia="仿宋_GB2312" w:cs="Times New Roman"/>
          <w:sz w:val="32"/>
          <w:szCs w:val="32"/>
        </w:rPr>
        <w:t>专家论证</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2022年4月29日，经市政府同意，</w:t>
      </w:r>
      <w:r>
        <w:rPr>
          <w:rFonts w:hint="eastAsia" w:ascii="Times New Roman" w:hAnsi="Times New Roman" w:eastAsia="仿宋_GB2312" w:cs="Times New Roman"/>
          <w:sz w:val="32"/>
          <w:szCs w:val="32"/>
        </w:rPr>
        <w:t>以市自然资源和规划局、市发展改革委名义联合印发</w:t>
      </w:r>
      <w:r>
        <w:rPr>
          <w:rFonts w:hint="eastAsia" w:ascii="Times New Roman" w:hAnsi="Times New Roman" w:eastAsia="仿宋_GB2312" w:cs="Times New Roman"/>
          <w:sz w:val="32"/>
          <w:szCs w:val="32"/>
          <w:lang w:val="en-US" w:eastAsia="zh-CN"/>
        </w:rPr>
        <w:t>实施</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项目提交规划文本纸质版30份、电子光盘3张（含PDF、DOC文件）。</w:t>
      </w:r>
    </w:p>
    <w:p w14:paraId="7283012B">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D027FCF">
      <w:pPr>
        <w:numPr>
          <w:ilvl w:val="0"/>
          <w:numId w:val="0"/>
        </w:numPr>
        <w:spacing w:line="520" w:lineRule="exact"/>
        <w:ind w:firstLine="640" w:firstLineChars="200"/>
        <w:textAlignment w:val="baseline"/>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该项目程序合规，</w:t>
      </w:r>
      <w:r>
        <w:rPr>
          <w:rFonts w:hint="eastAsia" w:ascii="Times New Roman" w:hAnsi="Times New Roman" w:eastAsia="仿宋_GB2312" w:cs="Times New Roman"/>
          <w:sz w:val="32"/>
          <w:szCs w:val="32"/>
          <w:lang w:eastAsia="zh-CN"/>
        </w:rPr>
        <w:t>编制单位资质符合法定要求，编制要求</w:t>
      </w:r>
      <w:r>
        <w:rPr>
          <w:rFonts w:hint="eastAsia" w:ascii="Times New Roman" w:hAnsi="Times New Roman" w:eastAsia="仿宋_GB2312" w:cs="Times New Roman"/>
          <w:sz w:val="32"/>
          <w:szCs w:val="32"/>
          <w:lang w:val="en-US" w:eastAsia="zh-CN"/>
        </w:rPr>
        <w:t>科学准确</w:t>
      </w:r>
      <w:r>
        <w:rPr>
          <w:rFonts w:hint="eastAsia" w:ascii="Times New Roman" w:hAnsi="Times New Roman" w:eastAsia="仿宋_GB2312" w:cs="Times New Roman"/>
          <w:sz w:val="32"/>
          <w:szCs w:val="32"/>
          <w:lang w:eastAsia="zh-CN"/>
        </w:rPr>
        <w:t>。规划</w:t>
      </w:r>
      <w:r>
        <w:rPr>
          <w:rFonts w:hint="eastAsia" w:ascii="Times New Roman" w:hAnsi="Times New Roman" w:eastAsia="仿宋_GB2312" w:cs="Times New Roman"/>
          <w:sz w:val="32"/>
          <w:szCs w:val="32"/>
          <w:lang w:val="en-US" w:eastAsia="zh-CN"/>
        </w:rPr>
        <w:t>文本编制</w:t>
      </w:r>
      <w:r>
        <w:rPr>
          <w:rFonts w:hint="eastAsia" w:ascii="Times New Roman" w:hAnsi="Times New Roman" w:eastAsia="仿宋_GB2312" w:cs="Times New Roman"/>
          <w:sz w:val="32"/>
          <w:szCs w:val="32"/>
          <w:lang w:eastAsia="zh-CN"/>
        </w:rPr>
        <w:t>程序规范，文本格式标准、结构合理、逻辑清晰、内容完整，符合《四川省市县基础测绘“十四五”规划编制指南》相关要求，能够有效指导我市未来五年基础测绘工作，</w:t>
      </w:r>
      <w:r>
        <w:rPr>
          <w:rFonts w:hint="eastAsia" w:ascii="Times New Roman" w:hAnsi="Times New Roman" w:eastAsia="仿宋_GB2312" w:cs="Times New Roman"/>
          <w:sz w:val="32"/>
          <w:szCs w:val="32"/>
          <w:lang w:val="en-US" w:eastAsia="zh-CN"/>
        </w:rPr>
        <w:t>得到局内各科室和市级各部门的认同</w:t>
      </w:r>
      <w:r>
        <w:rPr>
          <w:rFonts w:hint="eastAsia" w:ascii="Times New Roman" w:hAnsi="Times New Roman" w:eastAsia="仿宋_GB2312" w:cs="Times New Roman"/>
          <w:sz w:val="32"/>
          <w:szCs w:val="32"/>
          <w:lang w:eastAsia="zh-CN"/>
        </w:rPr>
        <w:t>。</w:t>
      </w:r>
    </w:p>
    <w:p w14:paraId="55A53C97">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72C8BDF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E8BE834">
      <w:pPr>
        <w:adjustRightInd w:val="0"/>
        <w:snapToGrid w:val="0"/>
        <w:spacing w:line="600" w:lineRule="exact"/>
        <w:ind w:firstLine="720"/>
        <w:rPr>
          <w:rFonts w:ascii="Times New Roman" w:hAnsi="Times New Roman" w:eastAsia="仿宋_GB2312" w:cs="Times New Roman"/>
          <w:sz w:val="32"/>
          <w:szCs w:val="32"/>
          <w:bdr w:val="single" w:color="auto" w:sz="4" w:space="0"/>
          <w:lang w:val="zh-CN"/>
        </w:rPr>
      </w:pPr>
      <w:r>
        <w:rPr>
          <w:rFonts w:hint="default" w:ascii="Times New Roman" w:hAnsi="Times New Roman" w:eastAsia="仿宋_GB2312" w:cs="Times New Roman"/>
          <w:sz w:val="32"/>
          <w:szCs w:val="32"/>
          <w:lang w:val="en-US" w:eastAsia="zh-CN"/>
        </w:rPr>
        <w:t>经综合评价，各项指标均达到预期目标，本项目自评得分为</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0分。</w:t>
      </w:r>
    </w:p>
    <w:p w14:paraId="5570DD9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6870A24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未发现相关</w:t>
      </w:r>
      <w:r>
        <w:rPr>
          <w:rFonts w:ascii="Times New Roman" w:hAnsi="Times New Roman" w:eastAsia="仿宋_GB2312" w:cs="Times New Roman"/>
          <w:sz w:val="32"/>
          <w:szCs w:val="32"/>
          <w:lang w:val="zh-CN"/>
        </w:rPr>
        <w:t>问题。</w:t>
      </w:r>
    </w:p>
    <w:p w14:paraId="08634DA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6EB66E79">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暂无相关</w:t>
      </w:r>
      <w:r>
        <w:rPr>
          <w:rFonts w:ascii="Times New Roman" w:hAnsi="Times New Roman" w:eastAsia="仿宋_GB2312" w:cs="Times New Roman"/>
          <w:sz w:val="32"/>
          <w:szCs w:val="32"/>
          <w:lang w:val="zh-CN"/>
        </w:rPr>
        <w:t>建议。</w:t>
      </w:r>
    </w:p>
    <w:p w14:paraId="491A57F7">
      <w:pPr>
        <w:rPr>
          <w:rFonts w:ascii="Times New Roman" w:hAnsi="Times New Roman" w:eastAsia="仿宋_GB2312" w:cs="Times New Roman"/>
          <w:sz w:val="32"/>
          <w:szCs w:val="32"/>
        </w:rPr>
      </w:pPr>
    </w:p>
    <w:p w14:paraId="4C11F8B5">
      <w:pPr>
        <w:widowControl/>
        <w:jc w:val="center"/>
        <w:outlineLvl w:val="0"/>
        <w:rPr>
          <w:rFonts w:hint="eastAsia" w:ascii="Times New Roman" w:hAnsi="Times New Roman" w:eastAsia="黑体"/>
          <w:color w:val="auto"/>
          <w:sz w:val="44"/>
          <w:szCs w:val="44"/>
          <w:highlight w:val="none"/>
        </w:rPr>
      </w:pPr>
    </w:p>
    <w:p w14:paraId="51DE8779">
      <w:pPr>
        <w:widowControl/>
        <w:jc w:val="center"/>
        <w:outlineLvl w:val="0"/>
        <w:rPr>
          <w:rFonts w:hint="eastAsia" w:ascii="Times New Roman" w:hAnsi="Times New Roman" w:eastAsia="黑体"/>
          <w:color w:val="auto"/>
          <w:sz w:val="44"/>
          <w:szCs w:val="44"/>
          <w:highlight w:val="none"/>
        </w:rPr>
      </w:pPr>
    </w:p>
    <w:p w14:paraId="10B099C8">
      <w:pPr>
        <w:widowControl/>
        <w:jc w:val="center"/>
        <w:outlineLvl w:val="0"/>
        <w:rPr>
          <w:rFonts w:hint="eastAsia" w:ascii="Times New Roman" w:hAnsi="Times New Roman" w:eastAsia="黑体"/>
          <w:color w:val="auto"/>
          <w:sz w:val="44"/>
          <w:szCs w:val="44"/>
          <w:highlight w:val="none"/>
        </w:rPr>
      </w:pPr>
    </w:p>
    <w:p w14:paraId="23817C58">
      <w:pPr>
        <w:widowControl/>
        <w:jc w:val="center"/>
        <w:outlineLvl w:val="0"/>
        <w:rPr>
          <w:rFonts w:hint="eastAsia" w:ascii="Times New Roman" w:hAnsi="Times New Roman" w:eastAsia="黑体"/>
          <w:color w:val="auto"/>
          <w:sz w:val="44"/>
          <w:szCs w:val="44"/>
          <w:highlight w:val="none"/>
        </w:rPr>
      </w:pPr>
    </w:p>
    <w:p w14:paraId="3D6F852E">
      <w:pPr>
        <w:widowControl/>
        <w:jc w:val="center"/>
        <w:outlineLvl w:val="0"/>
        <w:rPr>
          <w:rFonts w:hint="eastAsia" w:ascii="Times New Roman" w:hAnsi="Times New Roman" w:eastAsia="黑体"/>
          <w:color w:val="auto"/>
          <w:sz w:val="44"/>
          <w:szCs w:val="44"/>
          <w:highlight w:val="none"/>
        </w:rPr>
      </w:pPr>
    </w:p>
    <w:p w14:paraId="468B8E19">
      <w:pPr>
        <w:widowControl/>
        <w:jc w:val="center"/>
        <w:outlineLvl w:val="0"/>
        <w:rPr>
          <w:rFonts w:hint="eastAsia" w:ascii="Times New Roman" w:hAnsi="Times New Roman" w:eastAsia="黑体"/>
          <w:color w:val="auto"/>
          <w:sz w:val="44"/>
          <w:szCs w:val="44"/>
          <w:highlight w:val="none"/>
        </w:rPr>
      </w:pPr>
    </w:p>
    <w:p w14:paraId="211E6B12">
      <w:pPr>
        <w:widowControl/>
        <w:jc w:val="center"/>
        <w:outlineLvl w:val="0"/>
        <w:rPr>
          <w:rFonts w:hint="eastAsia" w:ascii="Times New Roman" w:hAnsi="Times New Roman" w:eastAsia="黑体"/>
          <w:color w:val="auto"/>
          <w:sz w:val="44"/>
          <w:szCs w:val="44"/>
          <w:highlight w:val="none"/>
        </w:rPr>
      </w:pPr>
    </w:p>
    <w:p w14:paraId="769EFEB9">
      <w:pPr>
        <w:widowControl/>
        <w:jc w:val="center"/>
        <w:outlineLvl w:val="0"/>
        <w:rPr>
          <w:rFonts w:hint="eastAsia" w:ascii="Times New Roman" w:hAnsi="Times New Roman" w:eastAsia="黑体"/>
          <w:color w:val="auto"/>
          <w:sz w:val="44"/>
          <w:szCs w:val="44"/>
          <w:highlight w:val="none"/>
        </w:rPr>
      </w:pPr>
    </w:p>
    <w:p w14:paraId="239EFD59">
      <w:pPr>
        <w:widowControl/>
        <w:jc w:val="center"/>
        <w:outlineLvl w:val="0"/>
        <w:rPr>
          <w:rFonts w:hint="eastAsia" w:ascii="Times New Roman" w:hAnsi="Times New Roman" w:eastAsia="黑体"/>
          <w:color w:val="auto"/>
          <w:sz w:val="44"/>
          <w:szCs w:val="44"/>
          <w:highlight w:val="none"/>
        </w:rPr>
      </w:pPr>
    </w:p>
    <w:p w14:paraId="600E508A">
      <w:pPr>
        <w:widowControl/>
        <w:jc w:val="center"/>
        <w:outlineLvl w:val="0"/>
        <w:rPr>
          <w:rFonts w:hint="eastAsia" w:ascii="Times New Roman" w:hAnsi="Times New Roman" w:eastAsia="黑体"/>
          <w:color w:val="auto"/>
          <w:sz w:val="44"/>
          <w:szCs w:val="44"/>
          <w:highlight w:val="none"/>
        </w:rPr>
      </w:pPr>
    </w:p>
    <w:p w14:paraId="14327FF5">
      <w:pPr>
        <w:widowControl/>
        <w:jc w:val="center"/>
        <w:outlineLvl w:val="0"/>
        <w:rPr>
          <w:rFonts w:hint="eastAsia" w:ascii="Times New Roman" w:hAnsi="Times New Roman" w:eastAsia="黑体"/>
          <w:color w:val="auto"/>
          <w:sz w:val="44"/>
          <w:szCs w:val="44"/>
          <w:highlight w:val="none"/>
        </w:rPr>
      </w:pPr>
    </w:p>
    <w:p w14:paraId="01C71313">
      <w:pPr>
        <w:widowControl/>
        <w:jc w:val="center"/>
        <w:outlineLvl w:val="0"/>
        <w:rPr>
          <w:rFonts w:hint="eastAsia" w:ascii="Times New Roman" w:hAnsi="Times New Roman" w:eastAsia="黑体"/>
          <w:color w:val="auto"/>
          <w:sz w:val="44"/>
          <w:szCs w:val="44"/>
          <w:highlight w:val="none"/>
        </w:rPr>
      </w:pPr>
    </w:p>
    <w:p w14:paraId="3533132B">
      <w:pPr>
        <w:widowControl/>
        <w:jc w:val="center"/>
        <w:outlineLvl w:val="0"/>
        <w:rPr>
          <w:rFonts w:hint="eastAsia" w:ascii="Times New Roman" w:hAnsi="Times New Roman" w:eastAsia="黑体"/>
          <w:color w:val="auto"/>
          <w:sz w:val="44"/>
          <w:szCs w:val="44"/>
          <w:highlight w:val="none"/>
        </w:rPr>
      </w:pPr>
    </w:p>
    <w:p w14:paraId="33ED6EAB">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5625C04C">
      <w:pPr>
        <w:widowControl w:val="0"/>
        <w:spacing w:line="600" w:lineRule="exact"/>
        <w:ind w:firstLine="883"/>
        <w:jc w:val="both"/>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测量质量监督检查基础测绘</w:t>
      </w:r>
      <w:r>
        <w:rPr>
          <w:rFonts w:hint="eastAsia" w:eastAsia="仿宋_GB2312" w:cs="Times New Roman"/>
          <w:color w:val="auto"/>
          <w:kern w:val="2"/>
          <w:sz w:val="32"/>
          <w:szCs w:val="32"/>
          <w:lang w:val="zh-CN" w:eastAsia="zh-CN" w:bidi="ar-SA"/>
        </w:rPr>
        <w:t>“十四五”规划</w:t>
      </w:r>
      <w:r>
        <w:rPr>
          <w:rFonts w:hint="eastAsia" w:ascii="Times New Roman" w:hAnsi="Times New Roman" w:eastAsia="仿宋_GB2312" w:cs="Times New Roman"/>
          <w:color w:val="auto"/>
          <w:kern w:val="2"/>
          <w:sz w:val="32"/>
          <w:szCs w:val="32"/>
          <w:lang w:val="zh-CN" w:eastAsia="zh-CN" w:bidi="ar-SA"/>
        </w:rPr>
        <w:t>编制</w:t>
      </w:r>
      <w:r>
        <w:rPr>
          <w:rFonts w:ascii="Times New Roman" w:hAnsi="Times New Roman" w:eastAsia="仿宋_GB2312" w:cs="Times New Roman"/>
          <w:color w:val="auto"/>
          <w:kern w:val="2"/>
          <w:sz w:val="32"/>
          <w:szCs w:val="32"/>
          <w:lang w:val="zh-CN" w:eastAsia="zh-CN" w:bidi="ar-SA"/>
        </w:rPr>
        <w:t>）</w:t>
      </w:r>
    </w:p>
    <w:p w14:paraId="7F8D8FE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8A585CE">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3894429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5E49E36">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仿宋_GB2312" w:hAnsi="仿宋" w:eastAsia="仿宋_GB2312" w:cs="仿宋"/>
          <w:bCs/>
          <w:color w:val="000000"/>
          <w:sz w:val="32"/>
          <w:szCs w:val="32"/>
        </w:rPr>
        <w:t>根据</w:t>
      </w:r>
      <w:r>
        <w:rPr>
          <w:rFonts w:hint="eastAsia" w:ascii="仿宋_GB2312" w:hAnsi="Times New Roman" w:eastAsia="仿宋_GB2312" w:cs="Times New Roman"/>
          <w:sz w:val="32"/>
          <w:szCs w:val="32"/>
        </w:rPr>
        <w:t>《四川省测绘地理信息局关于全面开展市县基础测绘“十四五”规划编制工作的通知》</w:t>
      </w:r>
      <w:r>
        <w:rPr>
          <w:rFonts w:hint="eastAsia" w:ascii="仿宋_GB2312"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经2021年第5次局务会议同意，</w:t>
      </w:r>
      <w:r>
        <w:rPr>
          <w:rFonts w:hint="eastAsia" w:ascii="Times New Roman" w:hAnsi="Times New Roman" w:eastAsia="仿宋_GB2312" w:cs="Times New Roman"/>
          <w:sz w:val="32"/>
          <w:szCs w:val="32"/>
        </w:rPr>
        <w:t>2021年5月市自然</w:t>
      </w:r>
      <w:r>
        <w:rPr>
          <w:rFonts w:hint="eastAsia" w:eastAsia="仿宋_GB2312" w:cs="Times New Roman"/>
          <w:sz w:val="32"/>
          <w:szCs w:val="32"/>
          <w:lang w:eastAsia="zh-CN"/>
        </w:rPr>
        <w:t>资源</w:t>
      </w:r>
      <w:r>
        <w:rPr>
          <w:rFonts w:hint="eastAsia" w:ascii="Times New Roman" w:hAnsi="Times New Roman" w:eastAsia="仿宋_GB2312" w:cs="Times New Roman"/>
          <w:sz w:val="32"/>
          <w:szCs w:val="32"/>
        </w:rPr>
        <w:t>和规划局通过竞争性谈判采购方式，确定自然资源部第六地形测量队（四川省第三测绘工程院）为攀枝花市基础测绘“十四五”规划编制的技术单位。</w:t>
      </w:r>
      <w:r>
        <w:rPr>
          <w:rFonts w:hint="eastAsia" w:ascii="Times New Roman" w:hAnsi="Times New Roman" w:eastAsia="仿宋_GB2312" w:cs="Times New Roman"/>
          <w:sz w:val="32"/>
          <w:szCs w:val="32"/>
          <w:lang w:val="en-US" w:eastAsia="zh-CN"/>
        </w:rPr>
        <w:t>2021年5月31日签订攀枝花市基础测绘“十四五”规划（包含米易县、盐边县）项目服务合同，</w:t>
      </w:r>
      <w:r>
        <w:rPr>
          <w:rFonts w:hint="eastAsia" w:ascii="仿宋_GB2312" w:hAnsi="Times New Roman" w:eastAsia="仿宋_GB2312" w:cs="Times New Roman"/>
          <w:sz w:val="32"/>
          <w:szCs w:val="32"/>
          <w:lang w:val="en-US" w:eastAsia="zh-CN"/>
        </w:rPr>
        <w:t>合同</w:t>
      </w:r>
      <w:r>
        <w:rPr>
          <w:rFonts w:hint="eastAsia" w:ascii="仿宋_GB2312" w:hAnsi="Times New Roman" w:eastAsia="仿宋_GB2312" w:cs="Times New Roman"/>
          <w:sz w:val="32"/>
          <w:szCs w:val="32"/>
        </w:rPr>
        <w:t>金额28万元</w:t>
      </w: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rPr>
        <w:t>按照所需经费财政分级承担原则，其中市级承担14万元（占总金额50%），米易县、盐边县各自承担7万元（各占总金额25%）。</w:t>
      </w:r>
    </w:p>
    <w:p w14:paraId="3345F33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2AFD8032">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按照《自然资源部办公厅关于印发</w:t>
      </w:r>
      <w:r>
        <w:rPr>
          <w:rFonts w:hint="eastAsia" w:eastAsia="仿宋_GB2312" w:cs="Times New Roman"/>
          <w:sz w:val="32"/>
          <w:szCs w:val="32"/>
          <w:lang w:val="zh-CN"/>
        </w:rPr>
        <w:t>〈</w:t>
      </w:r>
      <w:r>
        <w:rPr>
          <w:rFonts w:ascii="Times New Roman" w:hAnsi="Times New Roman" w:eastAsia="仿宋_GB2312" w:cs="Times New Roman"/>
          <w:sz w:val="32"/>
          <w:szCs w:val="32"/>
          <w:lang w:val="zh-CN"/>
        </w:rPr>
        <w:t>全国基础测绘“十四五”规划编制指南＞的函》（自然资办函〔2019〕1914号）及四川省测绘地理信息局《关于全面开展市县基础测绘“十四五”规划编制工作的通知》（川测发〔2020〕8号）要求，结合攀枝花市、米易县、盐边县基础条件、发展目标、重点任务、重大项目及经济社会发展实际要求等，深入研究“十四五”期间基础测绘面临的新形势、新问题，准确把握履行自然资源管理“两统一”职责对基础测绘的新需求，有针对性</w:t>
      </w:r>
      <w:r>
        <w:rPr>
          <w:rFonts w:hint="eastAsia" w:ascii="Times New Roman" w:hAnsi="Times New Roman" w:eastAsia="仿宋_GB2312" w:cs="Times New Roman"/>
          <w:sz w:val="32"/>
          <w:szCs w:val="32"/>
          <w:lang w:val="zh-CN"/>
        </w:rPr>
        <w:t>地</w:t>
      </w:r>
      <w:r>
        <w:rPr>
          <w:rFonts w:ascii="Times New Roman" w:hAnsi="Times New Roman" w:eastAsia="仿宋_GB2312" w:cs="Times New Roman"/>
          <w:sz w:val="32"/>
          <w:szCs w:val="32"/>
          <w:lang w:val="zh-CN"/>
        </w:rPr>
        <w:t>编制攀枝花市基础测绘“十四五”规划（包含米易县、盐边县）</w:t>
      </w:r>
      <w:r>
        <w:rPr>
          <w:rFonts w:hint="eastAsia" w:ascii="Times New Roman" w:hAnsi="Times New Roman" w:eastAsia="仿宋_GB2312" w:cs="Times New Roman"/>
          <w:sz w:val="32"/>
          <w:szCs w:val="32"/>
          <w:lang w:val="zh-CN"/>
        </w:rPr>
        <w:t>。</w:t>
      </w:r>
    </w:p>
    <w:p w14:paraId="2C0C1938">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 xml:space="preserve">2. </w:t>
      </w:r>
      <w:r>
        <w:rPr>
          <w:rFonts w:hint="eastAsia" w:ascii="Times New Roman" w:hAnsi="Times New Roman" w:eastAsia="仿宋_GB2312" w:cs="Times New Roman"/>
          <w:sz w:val="32"/>
          <w:szCs w:val="32"/>
          <w:lang w:val="en-US" w:eastAsia="zh-CN"/>
        </w:rPr>
        <w:t>按程序广泛征求政府相关部门意见，根据意见和建议修改完善后，形成规划送审稿</w:t>
      </w:r>
      <w:r>
        <w:rPr>
          <w:rFonts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2021年6月30日前，完成规划送审稿报批。</w:t>
      </w:r>
    </w:p>
    <w:p w14:paraId="226E33B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 申报内容与实际相符，申报目标合理可行。</w:t>
      </w:r>
    </w:p>
    <w:p w14:paraId="40F8C02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1FDFA27E">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由项目参与人员，按照职责分工，根据项目实际情况，采用定量和定性相结合的方法，对绩效各项指标进行分析评价，撰写自评报告，总结问题并提出相关建议。</w:t>
      </w:r>
    </w:p>
    <w:p w14:paraId="2767F99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6823524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3E0AE1BD">
      <w:pPr>
        <w:adjustRightInd w:val="0"/>
        <w:snapToGrid w:val="0"/>
        <w:spacing w:line="600" w:lineRule="exact"/>
        <w:ind w:firstLine="720"/>
        <w:rPr>
          <w:rFonts w:hint="eastAsia" w:ascii="仿宋_GB2312" w:hAnsi="仿宋" w:eastAsia="仿宋_GB2312" w:cs="仿宋"/>
          <w:bCs/>
          <w:color w:val="000000"/>
          <w:sz w:val="32"/>
          <w:szCs w:val="32"/>
          <w:lang w:val="zh-CN"/>
        </w:rPr>
      </w:pPr>
      <w:r>
        <w:rPr>
          <w:rFonts w:hint="eastAsia" w:ascii="仿宋_GB2312" w:hAnsi="仿宋" w:eastAsia="仿宋_GB2312" w:cs="仿宋"/>
          <w:bCs/>
          <w:color w:val="000000"/>
          <w:sz w:val="32"/>
          <w:szCs w:val="32"/>
        </w:rPr>
        <w:t>按照市领导对《攀枝花市自然资源和规划局关于申请解决攀枝花市本级基础测绘“十四五”规划编制专项工作经费的请示》（以下简称《请示》）的批示和《攀枝花市财政局关于攀枝花市本级基础测绘“十四五”规划编制专项工作经费的请示》精神，</w:t>
      </w:r>
      <w:r>
        <w:rPr>
          <w:rFonts w:hint="eastAsia" w:ascii="Times New Roman" w:hAnsi="Times New Roman" w:eastAsia="仿宋_GB2312" w:cs="Times New Roman"/>
          <w:sz w:val="32"/>
          <w:szCs w:val="32"/>
          <w:lang w:val="zh-CN"/>
        </w:rPr>
        <w:t>同意我局牵头同意编制全市基础测绘“十四五”规划，按照基础测绘领域事权与财权的划分，市级承担50%，两县各自承担25%。所需经费在2021年预算安排保障的测绘类工作经费中统筹解决。</w:t>
      </w:r>
    </w:p>
    <w:p w14:paraId="4EDC2BD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20209C56">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仿宋_GB2312" w:hAnsi="Times New Roman" w:eastAsia="仿宋_GB2312" w:cs="Times New Roman"/>
          <w:sz w:val="32"/>
          <w:szCs w:val="32"/>
        </w:rPr>
        <w:t>按照所需经费财政分级承担原则，其中市级承担14万元（占总金额50%），米易县、盐边县各自承担7万元（各占总金额25%）。</w:t>
      </w:r>
    </w:p>
    <w:p w14:paraId="353E4462">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2021年11月15日，市财政局下达2021年地理测绘经费（攀财资环资</w:t>
      </w:r>
      <w:r>
        <w:rPr>
          <w:rFonts w:ascii="Times New Roman" w:hAnsi="Times New Roman" w:eastAsia="仿宋_GB2312" w:cs="Times New Roman"/>
          <w:sz w:val="32"/>
          <w:szCs w:val="32"/>
          <w:lang w:val="zh-CN"/>
        </w:rPr>
        <w:t>〔202</w:t>
      </w: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61</w:t>
      </w:r>
      <w:r>
        <w:rPr>
          <w:rFonts w:ascii="Times New Roman" w:hAnsi="Times New Roman" w:eastAsia="仿宋_GB2312" w:cs="Times New Roman"/>
          <w:sz w:val="32"/>
          <w:szCs w:val="32"/>
          <w:lang w:val="zh-CN"/>
        </w:rPr>
        <w:t>号</w:t>
      </w:r>
      <w:r>
        <w:rPr>
          <w:rFonts w:hint="eastAsia" w:ascii="Times New Roman" w:hAnsi="Times New Roman" w:eastAsia="仿宋_GB2312" w:cs="Times New Roman"/>
          <w:sz w:val="32"/>
          <w:szCs w:val="32"/>
          <w:lang w:val="en-US" w:eastAsia="zh-CN"/>
        </w:rPr>
        <w:t>）32万元，包含“十四五”规划编制项目经费14万元，2021年底被全部收回。2025年全额进行支付。</w:t>
      </w:r>
    </w:p>
    <w:p w14:paraId="4DCEE4C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en-US" w:eastAsia="zh-CN"/>
        </w:rPr>
        <w:t>经项目技术服务单位申请，按照合同约定，2025年一次性支付了14万元。</w:t>
      </w:r>
    </w:p>
    <w:p w14:paraId="2DE77F0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35176751">
      <w:pPr>
        <w:adjustRightInd w:val="0"/>
        <w:snapToGrid w:val="0"/>
        <w:spacing w:line="56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攀枝花市自然资源和规划局财务管理制度健全，严格执行财务管理制度，账务处理及时，会计核算规范。</w:t>
      </w:r>
    </w:p>
    <w:p w14:paraId="7511A2B7">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794CC167">
      <w:pPr>
        <w:numPr>
          <w:ilvl w:val="0"/>
          <w:numId w:val="21"/>
        </w:numPr>
        <w:spacing w:line="600" w:lineRule="exact"/>
        <w:ind w:firstLine="643" w:firstLineChars="2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r>
        <w:rPr>
          <w:rFonts w:hint="eastAsia" w:ascii="Times New Roman" w:hAnsi="Times New Roman" w:eastAsia="仿宋_GB2312" w:cs="Times New Roman"/>
          <w:sz w:val="32"/>
          <w:szCs w:val="32"/>
          <w:lang w:val="en-US" w:eastAsia="zh-CN"/>
        </w:rPr>
        <w:t>项目由测绘科负责，</w:t>
      </w:r>
      <w:r>
        <w:rPr>
          <w:rFonts w:hint="eastAsia" w:ascii="Times New Roman" w:hAnsi="Times New Roman" w:eastAsia="仿宋_GB2312" w:cs="Times New Roman"/>
          <w:sz w:val="32"/>
          <w:szCs w:val="32"/>
          <w:lang w:val="zh-CN"/>
        </w:rPr>
        <w:t>经局务会审议通过后，</w:t>
      </w:r>
      <w:r>
        <w:rPr>
          <w:rFonts w:hint="eastAsia" w:ascii="Times New Roman" w:hAnsi="Times New Roman" w:eastAsia="仿宋_GB2312" w:cs="Times New Roman"/>
          <w:sz w:val="32"/>
          <w:szCs w:val="32"/>
          <w:lang w:val="en-US" w:eastAsia="zh-CN"/>
        </w:rPr>
        <w:t>采用询价的方式选取招标代理机构开展</w:t>
      </w:r>
      <w:r>
        <w:rPr>
          <w:rFonts w:hint="eastAsia" w:ascii="Times New Roman" w:hAnsi="Times New Roman" w:eastAsia="仿宋_GB2312" w:cs="Times New Roman"/>
          <w:sz w:val="32"/>
          <w:szCs w:val="32"/>
          <w:lang w:val="zh-CN"/>
        </w:rPr>
        <w:t>采购工作，包括：通过竞争性谈判方式确定中标单位，组织合同拟定、评审与签订，参与采购项目验收，办理支付等事项。</w:t>
      </w:r>
    </w:p>
    <w:p w14:paraId="35E49499">
      <w:pPr>
        <w:spacing w:line="600" w:lineRule="exact"/>
        <w:ind w:firstLine="642"/>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仿宋_GB2312" w:hAnsi="Times New Roman" w:eastAsia="仿宋_GB2312" w:cs="Times New Roman"/>
          <w:sz w:val="32"/>
          <w:szCs w:val="32"/>
        </w:rPr>
        <w:t>根据</w:t>
      </w:r>
      <w:r>
        <w:rPr>
          <w:rFonts w:hint="eastAsia" w:ascii="仿宋_GB2312" w:hAnsi="仿宋" w:eastAsia="仿宋_GB2312" w:cs="仿宋"/>
          <w:bCs/>
          <w:color w:val="000000"/>
          <w:sz w:val="32"/>
          <w:szCs w:val="32"/>
        </w:rPr>
        <w:t>《攀枝花市自然资源和规划局采购管理办法》第三章第十二条“</w:t>
      </w:r>
      <w:r>
        <w:rPr>
          <w:rFonts w:hint="eastAsia" w:ascii="Times New Roman" w:hAnsi="Times New Roman" w:eastAsia="仿宋_GB2312" w:cs="Times New Roman"/>
          <w:sz w:val="32"/>
          <w:szCs w:val="32"/>
        </w:rPr>
        <w:t>未纳入集中采购目录的采购项目，可以自行采购，也可以委托集中采购机构或社会中介机构代理采购</w:t>
      </w:r>
      <w:r>
        <w:rPr>
          <w:rFonts w:hint="eastAsia" w:ascii="仿宋_GB2312" w:hAnsi="仿宋" w:eastAsia="仿宋_GB2312" w:cs="仿宋"/>
          <w:bCs/>
          <w:color w:val="000000"/>
          <w:sz w:val="32"/>
          <w:szCs w:val="32"/>
        </w:rPr>
        <w:t>”“采购</w:t>
      </w:r>
      <w:r>
        <w:rPr>
          <w:rFonts w:hint="eastAsia" w:ascii="仿宋_GB2312" w:hAnsi="仿宋" w:eastAsia="仿宋_GB2312" w:cs="仿宋"/>
          <w:bCs/>
          <w:color w:val="000000"/>
          <w:sz w:val="32"/>
          <w:szCs w:val="32"/>
          <w:lang w:eastAsia="zh-CN"/>
        </w:rPr>
        <w:t>5万—30万</w:t>
      </w:r>
      <w:r>
        <w:rPr>
          <w:rFonts w:hint="eastAsia" w:ascii="仿宋_GB2312" w:hAnsi="仿宋" w:eastAsia="仿宋_GB2312" w:cs="仿宋"/>
          <w:bCs/>
          <w:color w:val="000000"/>
          <w:sz w:val="32"/>
          <w:szCs w:val="32"/>
        </w:rPr>
        <w:t>元以内货物或服务提请局务会审议”规定，因</w:t>
      </w:r>
      <w:r>
        <w:rPr>
          <w:rFonts w:hint="eastAsia" w:ascii="仿宋_GB2312" w:hAnsi="Times New Roman" w:eastAsia="仿宋_GB2312" w:cs="Times New Roman"/>
          <w:sz w:val="32"/>
          <w:szCs w:val="32"/>
        </w:rPr>
        <w:t>询价后估算全市基础测绘“十四五”规划编制金额共需28万元左右（不超过30万元），其中市级承担14万元。拟“采用竞争性谈判方式确定中标单位”，落实采购程序，开展采购工作。</w:t>
      </w:r>
    </w:p>
    <w:p w14:paraId="02C75B8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en-US" w:eastAsia="zh-CN"/>
        </w:rPr>
        <w:t>2021年4月30日，市自然资源和规划局2021年第5次局务会审议并同意了关于开展攀枝花市基础测绘“十四五”规划编制采购工作的请示。2021年5月31日，市自然资源和规划局测绘科、财务科、法规科、法律顾问、分管领导和主要领导对《攀枝花市基础测绘“十四五”规划（包含米易县、盐边县）项目服务合同》进行了审查会签。</w:t>
      </w:r>
    </w:p>
    <w:p w14:paraId="01E5892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EAF4EE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0CB2CA0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项目完成攀枝花市基础测绘“十四五”规划（包含米易县、盐边县）文本的编制</w:t>
      </w:r>
      <w:r>
        <w:rPr>
          <w:rFonts w:hint="eastAsia" w:ascii="Times New Roman" w:hAnsi="Times New Roman" w:eastAsia="仿宋_GB2312" w:cs="Times New Roman"/>
          <w:sz w:val="32"/>
          <w:szCs w:val="32"/>
        </w:rPr>
        <w:t>。2021年8月</w:t>
      </w:r>
      <w:r>
        <w:rPr>
          <w:rFonts w:hint="eastAsia" w:ascii="Times New Roman" w:hAnsi="Times New Roman" w:eastAsia="仿宋_GB2312" w:cs="Times New Roman"/>
          <w:sz w:val="32"/>
          <w:szCs w:val="32"/>
          <w:lang w:val="en-US" w:eastAsia="zh-CN"/>
        </w:rPr>
        <w:t>31日</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规划文本通过</w:t>
      </w:r>
      <w:r>
        <w:rPr>
          <w:rFonts w:hint="eastAsia" w:ascii="Times New Roman" w:hAnsi="Times New Roman" w:eastAsia="仿宋_GB2312" w:cs="Times New Roman"/>
          <w:sz w:val="32"/>
          <w:szCs w:val="32"/>
        </w:rPr>
        <w:t>专家论证</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2022年4月29日，经市政府同意，</w:t>
      </w:r>
      <w:r>
        <w:rPr>
          <w:rFonts w:hint="eastAsia" w:ascii="Times New Roman" w:hAnsi="Times New Roman" w:eastAsia="仿宋_GB2312" w:cs="Times New Roman"/>
          <w:sz w:val="32"/>
          <w:szCs w:val="32"/>
        </w:rPr>
        <w:t>以市自然资源和规划局、市发展改革委名义联合印发</w:t>
      </w:r>
      <w:r>
        <w:rPr>
          <w:rFonts w:hint="eastAsia" w:ascii="Times New Roman" w:hAnsi="Times New Roman" w:eastAsia="仿宋_GB2312" w:cs="Times New Roman"/>
          <w:sz w:val="32"/>
          <w:szCs w:val="32"/>
          <w:lang w:val="en-US" w:eastAsia="zh-CN"/>
        </w:rPr>
        <w:t>实施</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项目提交规划文本纸质版30份、电子光盘3张（含PDF、DOC文件）。</w:t>
      </w:r>
    </w:p>
    <w:p w14:paraId="036524BA">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5748B8FB">
      <w:pPr>
        <w:numPr>
          <w:ilvl w:val="0"/>
          <w:numId w:val="0"/>
        </w:numPr>
        <w:spacing w:line="520" w:lineRule="exact"/>
        <w:ind w:firstLine="640" w:firstLineChars="200"/>
        <w:textAlignment w:val="baseline"/>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该项目程序合规，</w:t>
      </w:r>
      <w:r>
        <w:rPr>
          <w:rFonts w:hint="eastAsia" w:ascii="Times New Roman" w:hAnsi="Times New Roman" w:eastAsia="仿宋_GB2312" w:cs="Times New Roman"/>
          <w:sz w:val="32"/>
          <w:szCs w:val="32"/>
          <w:lang w:eastAsia="zh-CN"/>
        </w:rPr>
        <w:t>编制单位资质符合法定要求，编制要求</w:t>
      </w:r>
      <w:r>
        <w:rPr>
          <w:rFonts w:hint="eastAsia" w:ascii="Times New Roman" w:hAnsi="Times New Roman" w:eastAsia="仿宋_GB2312" w:cs="Times New Roman"/>
          <w:sz w:val="32"/>
          <w:szCs w:val="32"/>
          <w:lang w:val="en-US" w:eastAsia="zh-CN"/>
        </w:rPr>
        <w:t>科学准确</w:t>
      </w:r>
      <w:r>
        <w:rPr>
          <w:rFonts w:hint="eastAsia" w:ascii="Times New Roman" w:hAnsi="Times New Roman" w:eastAsia="仿宋_GB2312" w:cs="Times New Roman"/>
          <w:sz w:val="32"/>
          <w:szCs w:val="32"/>
          <w:lang w:eastAsia="zh-CN"/>
        </w:rPr>
        <w:t>。规划</w:t>
      </w:r>
      <w:r>
        <w:rPr>
          <w:rFonts w:hint="eastAsia" w:ascii="Times New Roman" w:hAnsi="Times New Roman" w:eastAsia="仿宋_GB2312" w:cs="Times New Roman"/>
          <w:sz w:val="32"/>
          <w:szCs w:val="32"/>
          <w:lang w:val="en-US" w:eastAsia="zh-CN"/>
        </w:rPr>
        <w:t>文本编制</w:t>
      </w:r>
      <w:r>
        <w:rPr>
          <w:rFonts w:hint="eastAsia" w:ascii="Times New Roman" w:hAnsi="Times New Roman" w:eastAsia="仿宋_GB2312" w:cs="Times New Roman"/>
          <w:sz w:val="32"/>
          <w:szCs w:val="32"/>
          <w:lang w:eastAsia="zh-CN"/>
        </w:rPr>
        <w:t>程序规范，文本格式标准、结构合理、逻辑清晰、内容完整，符合《四川省市县基础测绘“十四五”规划编制指南》相关要求，能够有效指导我市未来五年基础测绘工作，</w:t>
      </w:r>
      <w:r>
        <w:rPr>
          <w:rFonts w:hint="eastAsia" w:ascii="Times New Roman" w:hAnsi="Times New Roman" w:eastAsia="仿宋_GB2312" w:cs="Times New Roman"/>
          <w:sz w:val="32"/>
          <w:szCs w:val="32"/>
          <w:lang w:val="en-US" w:eastAsia="zh-CN"/>
        </w:rPr>
        <w:t>得到局内各科室和市级各部门的认同</w:t>
      </w:r>
      <w:r>
        <w:rPr>
          <w:rFonts w:hint="eastAsia" w:ascii="Times New Roman" w:hAnsi="Times New Roman" w:eastAsia="仿宋_GB2312" w:cs="Times New Roman"/>
          <w:sz w:val="32"/>
          <w:szCs w:val="32"/>
          <w:lang w:eastAsia="zh-CN"/>
        </w:rPr>
        <w:t>。</w:t>
      </w:r>
    </w:p>
    <w:p w14:paraId="5776669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E87C32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09BA261">
      <w:pPr>
        <w:adjustRightInd w:val="0"/>
        <w:snapToGrid w:val="0"/>
        <w:spacing w:line="600" w:lineRule="exact"/>
        <w:ind w:firstLine="720"/>
        <w:rPr>
          <w:rFonts w:ascii="Times New Roman" w:hAnsi="Times New Roman" w:eastAsia="仿宋_GB2312" w:cs="Times New Roman"/>
          <w:sz w:val="32"/>
          <w:szCs w:val="32"/>
          <w:bdr w:val="single" w:color="auto" w:sz="4" w:space="0"/>
          <w:lang w:val="zh-CN"/>
        </w:rPr>
      </w:pPr>
      <w:r>
        <w:rPr>
          <w:rFonts w:hint="default" w:ascii="Times New Roman" w:hAnsi="Times New Roman" w:eastAsia="仿宋_GB2312" w:cs="Times New Roman"/>
          <w:sz w:val="32"/>
          <w:szCs w:val="32"/>
          <w:lang w:val="en-US" w:eastAsia="zh-CN"/>
        </w:rPr>
        <w:t>经综合评价，各项指标均达到预期目标，本项目自评得分为</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0分。</w:t>
      </w:r>
    </w:p>
    <w:p w14:paraId="7EBFD21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1A5119B3">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未发现相关</w:t>
      </w:r>
      <w:r>
        <w:rPr>
          <w:rFonts w:ascii="Times New Roman" w:hAnsi="Times New Roman" w:eastAsia="仿宋_GB2312" w:cs="Times New Roman"/>
          <w:sz w:val="32"/>
          <w:szCs w:val="32"/>
          <w:lang w:val="zh-CN"/>
        </w:rPr>
        <w:t>问题。</w:t>
      </w:r>
    </w:p>
    <w:p w14:paraId="7E80A14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27F89425">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暂无相关</w:t>
      </w:r>
      <w:r>
        <w:rPr>
          <w:rFonts w:ascii="Times New Roman" w:hAnsi="Times New Roman" w:eastAsia="仿宋_GB2312" w:cs="Times New Roman"/>
          <w:sz w:val="32"/>
          <w:szCs w:val="32"/>
          <w:lang w:val="zh-CN"/>
        </w:rPr>
        <w:t>建议。</w:t>
      </w:r>
    </w:p>
    <w:p w14:paraId="073AAA1A">
      <w:pPr>
        <w:rPr>
          <w:rFonts w:ascii="Times New Roman" w:hAnsi="Times New Roman" w:eastAsia="仿宋_GB2312" w:cs="Times New Roman"/>
          <w:sz w:val="32"/>
          <w:szCs w:val="32"/>
        </w:rPr>
      </w:pPr>
    </w:p>
    <w:p w14:paraId="53B762E6">
      <w:pPr>
        <w:widowControl/>
        <w:jc w:val="center"/>
        <w:outlineLvl w:val="0"/>
        <w:rPr>
          <w:rFonts w:hint="eastAsia" w:ascii="Times New Roman" w:hAnsi="Times New Roman" w:eastAsia="黑体"/>
          <w:color w:val="auto"/>
          <w:sz w:val="44"/>
          <w:szCs w:val="44"/>
          <w:highlight w:val="none"/>
        </w:rPr>
      </w:pPr>
    </w:p>
    <w:p w14:paraId="7ADF12D5">
      <w:pPr>
        <w:widowControl/>
        <w:jc w:val="center"/>
        <w:outlineLvl w:val="0"/>
        <w:rPr>
          <w:rFonts w:hint="eastAsia" w:ascii="Times New Roman" w:hAnsi="Times New Roman" w:eastAsia="黑体"/>
          <w:color w:val="auto"/>
          <w:sz w:val="44"/>
          <w:szCs w:val="44"/>
          <w:highlight w:val="none"/>
        </w:rPr>
      </w:pPr>
    </w:p>
    <w:p w14:paraId="6AE62149">
      <w:pPr>
        <w:widowControl/>
        <w:jc w:val="center"/>
        <w:outlineLvl w:val="0"/>
        <w:rPr>
          <w:rFonts w:hint="eastAsia" w:ascii="Times New Roman" w:hAnsi="Times New Roman" w:eastAsia="黑体"/>
          <w:color w:val="auto"/>
          <w:sz w:val="44"/>
          <w:szCs w:val="44"/>
          <w:highlight w:val="none"/>
        </w:rPr>
      </w:pPr>
    </w:p>
    <w:p w14:paraId="14462422">
      <w:pPr>
        <w:widowControl/>
        <w:jc w:val="center"/>
        <w:outlineLvl w:val="0"/>
        <w:rPr>
          <w:rFonts w:hint="eastAsia" w:ascii="Times New Roman" w:hAnsi="Times New Roman" w:eastAsia="黑体"/>
          <w:color w:val="auto"/>
          <w:sz w:val="44"/>
          <w:szCs w:val="44"/>
          <w:highlight w:val="none"/>
        </w:rPr>
      </w:pPr>
    </w:p>
    <w:p w14:paraId="45634178">
      <w:pPr>
        <w:widowControl/>
        <w:jc w:val="center"/>
        <w:outlineLvl w:val="0"/>
        <w:rPr>
          <w:rFonts w:hint="eastAsia" w:ascii="Times New Roman" w:hAnsi="Times New Roman" w:eastAsia="黑体"/>
          <w:color w:val="auto"/>
          <w:sz w:val="44"/>
          <w:szCs w:val="44"/>
          <w:highlight w:val="none"/>
        </w:rPr>
      </w:pPr>
    </w:p>
    <w:p w14:paraId="3ADB60A8">
      <w:pPr>
        <w:widowControl/>
        <w:jc w:val="center"/>
        <w:outlineLvl w:val="0"/>
        <w:rPr>
          <w:rFonts w:hint="eastAsia" w:ascii="Times New Roman" w:hAnsi="Times New Roman" w:eastAsia="黑体"/>
          <w:color w:val="auto"/>
          <w:sz w:val="44"/>
          <w:szCs w:val="44"/>
          <w:highlight w:val="none"/>
        </w:rPr>
      </w:pPr>
    </w:p>
    <w:p w14:paraId="33C42A2F">
      <w:pPr>
        <w:widowControl/>
        <w:jc w:val="center"/>
        <w:outlineLvl w:val="0"/>
        <w:rPr>
          <w:rFonts w:hint="eastAsia" w:ascii="Times New Roman" w:hAnsi="Times New Roman" w:eastAsia="黑体"/>
          <w:color w:val="auto"/>
          <w:sz w:val="44"/>
          <w:szCs w:val="44"/>
          <w:highlight w:val="none"/>
        </w:rPr>
      </w:pPr>
    </w:p>
    <w:p w14:paraId="7A293F84">
      <w:pPr>
        <w:widowControl/>
        <w:jc w:val="center"/>
        <w:outlineLvl w:val="0"/>
        <w:rPr>
          <w:rFonts w:hint="eastAsia" w:ascii="Times New Roman" w:hAnsi="Times New Roman" w:eastAsia="黑体"/>
          <w:color w:val="auto"/>
          <w:sz w:val="44"/>
          <w:szCs w:val="44"/>
          <w:highlight w:val="none"/>
        </w:rPr>
      </w:pPr>
    </w:p>
    <w:p w14:paraId="00560A42">
      <w:pPr>
        <w:widowControl/>
        <w:jc w:val="center"/>
        <w:outlineLvl w:val="0"/>
        <w:rPr>
          <w:rFonts w:hint="eastAsia" w:ascii="Times New Roman" w:hAnsi="Times New Roman" w:eastAsia="黑体"/>
          <w:color w:val="auto"/>
          <w:sz w:val="44"/>
          <w:szCs w:val="44"/>
          <w:highlight w:val="none"/>
        </w:rPr>
      </w:pPr>
    </w:p>
    <w:p w14:paraId="552A8998">
      <w:pPr>
        <w:widowControl/>
        <w:jc w:val="center"/>
        <w:outlineLvl w:val="0"/>
        <w:rPr>
          <w:rFonts w:hint="eastAsia" w:ascii="Times New Roman" w:hAnsi="Times New Roman" w:eastAsia="黑体"/>
          <w:color w:val="auto"/>
          <w:sz w:val="44"/>
          <w:szCs w:val="44"/>
          <w:highlight w:val="none"/>
        </w:rPr>
      </w:pPr>
    </w:p>
    <w:p w14:paraId="5A79FFEC">
      <w:pPr>
        <w:widowControl/>
        <w:jc w:val="center"/>
        <w:outlineLvl w:val="0"/>
        <w:rPr>
          <w:rFonts w:hint="eastAsia" w:ascii="Times New Roman" w:hAnsi="Times New Roman" w:eastAsia="黑体"/>
          <w:color w:val="auto"/>
          <w:sz w:val="44"/>
          <w:szCs w:val="44"/>
          <w:highlight w:val="none"/>
        </w:rPr>
      </w:pPr>
    </w:p>
    <w:p w14:paraId="74A6F986">
      <w:pPr>
        <w:widowControl/>
        <w:jc w:val="center"/>
        <w:outlineLvl w:val="0"/>
        <w:rPr>
          <w:rFonts w:hint="eastAsia" w:ascii="Times New Roman" w:hAnsi="Times New Roman" w:eastAsia="黑体"/>
          <w:color w:val="auto"/>
          <w:sz w:val="44"/>
          <w:szCs w:val="44"/>
          <w:highlight w:val="none"/>
        </w:rPr>
      </w:pPr>
    </w:p>
    <w:p w14:paraId="3818A0E0">
      <w:pPr>
        <w:widowControl/>
        <w:jc w:val="center"/>
        <w:outlineLvl w:val="0"/>
        <w:rPr>
          <w:rFonts w:hint="eastAsia" w:ascii="Times New Roman" w:hAnsi="Times New Roman" w:eastAsia="黑体"/>
          <w:color w:val="auto"/>
          <w:sz w:val="44"/>
          <w:szCs w:val="44"/>
          <w:highlight w:val="none"/>
        </w:rPr>
      </w:pPr>
    </w:p>
    <w:p w14:paraId="20D9CB1D">
      <w:pPr>
        <w:widowControl/>
        <w:jc w:val="center"/>
        <w:outlineLvl w:val="0"/>
        <w:rPr>
          <w:rFonts w:hint="eastAsia" w:ascii="Times New Roman" w:hAnsi="Times New Roman" w:eastAsia="黑体"/>
          <w:color w:val="auto"/>
          <w:sz w:val="44"/>
          <w:szCs w:val="44"/>
          <w:highlight w:val="none"/>
        </w:rPr>
        <w:sectPr>
          <w:footerReference r:id="rId9" w:type="first"/>
          <w:footerReference r:id="rId8" w:type="default"/>
          <w:pgSz w:w="11906" w:h="16838"/>
          <w:pgMar w:top="1440" w:right="1800" w:bottom="1440" w:left="1800" w:header="851" w:footer="992" w:gutter="0"/>
          <w:pgNumType w:fmt="decimal" w:start="1"/>
          <w:cols w:space="425" w:num="1"/>
          <w:docGrid w:type="lines" w:linePitch="312" w:charSpace="0"/>
        </w:sectPr>
      </w:pPr>
    </w:p>
    <w:p w14:paraId="7CCECA76">
      <w:pPr>
        <w:spacing w:line="600" w:lineRule="exact"/>
        <w:rPr>
          <w:rFonts w:ascii="Times New Roman" w:hAnsi="Times New Roman" w:eastAsia="方正小标宋简体" w:cs="Times New Roman"/>
          <w:color w:val="auto"/>
          <w:kern w:val="2"/>
          <w:sz w:val="40"/>
          <w:szCs w:val="40"/>
          <w:lang w:val="en-US" w:eastAsia="zh-CN" w:bidi="ar-SA"/>
        </w:rPr>
      </w:pPr>
    </w:p>
    <w:p w14:paraId="65D8DA13">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3F63250F">
      <w:pPr>
        <w:widowControl w:val="0"/>
        <w:spacing w:line="600" w:lineRule="exact"/>
        <w:ind w:firstLine="883"/>
        <w:jc w:val="both"/>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攀枝花市“十五五”基础测绘规划编制项目</w:t>
      </w:r>
      <w:r>
        <w:rPr>
          <w:rFonts w:ascii="Times New Roman" w:hAnsi="Times New Roman" w:eastAsia="仿宋_GB2312" w:cs="Times New Roman"/>
          <w:color w:val="auto"/>
          <w:kern w:val="2"/>
          <w:sz w:val="32"/>
          <w:szCs w:val="32"/>
          <w:lang w:val="zh-CN" w:eastAsia="zh-CN" w:bidi="ar-SA"/>
        </w:rPr>
        <w:t>）</w:t>
      </w:r>
    </w:p>
    <w:p w14:paraId="64BB7BC4">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70D461B2">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1C51BF2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2A19740">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sz w:val="32"/>
          <w:szCs w:val="32"/>
          <w:lang w:val="zh-CN"/>
        </w:rPr>
      </w:pPr>
      <w:r>
        <w:rPr>
          <w:rFonts w:hint="default" w:ascii="Times New Roman" w:hAnsi="Times New Roman" w:eastAsia="方正仿宋_GBK" w:cs="Times New Roman"/>
          <w:bCs/>
          <w:color w:val="000000"/>
          <w:sz w:val="32"/>
          <w:szCs w:val="32"/>
          <w:lang w:val="en-US" w:eastAsia="zh-CN"/>
        </w:rPr>
        <w:t>根据《四川省测绘地理信息局 四川省自然资源厅关于开展“十五五”基础测绘规划编制工作的通知》（川测发〔2025〕18号），</w:t>
      </w:r>
      <w:r>
        <w:rPr>
          <w:rFonts w:hint="eastAsia" w:ascii="Times New Roman" w:hAnsi="Times New Roman" w:eastAsia="仿宋_GB2312" w:cs="Times New Roman"/>
          <w:sz w:val="32"/>
          <w:szCs w:val="32"/>
          <w:lang w:val="en-US" w:eastAsia="zh-CN"/>
        </w:rPr>
        <w:t>2025年11月14日经2025年第12次局务会议同意，2025年11月24日通过竞争性谈判确定了供应商，2025年11月28日与</w:t>
      </w:r>
      <w:r>
        <w:rPr>
          <w:rFonts w:hint="eastAsia" w:ascii="Times New Roman" w:hAnsi="Times New Roman" w:eastAsia="仿宋_GB2312" w:cs="Times New Roman"/>
          <w:sz w:val="32"/>
          <w:szCs w:val="32"/>
          <w:lang w:val="zh-CN"/>
        </w:rPr>
        <w:t>自然资源部第三大地</w:t>
      </w:r>
      <w:r>
        <w:rPr>
          <w:rFonts w:hint="eastAsia" w:ascii="Times New Roman" w:hAnsi="Times New Roman" w:eastAsia="仿宋_GB2312" w:cs="Times New Roman"/>
          <w:sz w:val="32"/>
          <w:szCs w:val="32"/>
          <w:lang w:val="en-US" w:eastAsia="zh-CN"/>
        </w:rPr>
        <w:t>测量队签订了攀枝花市“十五五”基础测绘规划编制服务项目技术服务合同（项目编号</w:t>
      </w:r>
      <w:r>
        <w:rPr>
          <w:rFonts w:hint="eastAsia"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SQJT-PZH2025-0054号），合同金额为13.70万元。2026年1月</w:t>
      </w:r>
      <w:r>
        <w:rPr>
          <w:rFonts w:hint="default" w:ascii="Times New Roman" w:hAnsi="Times New Roman" w:eastAsia="仿宋_GB2312" w:cs="Times New Roman"/>
          <w:sz w:val="32"/>
          <w:szCs w:val="32"/>
          <w:lang w:val="en-US" w:eastAsia="zh-CN"/>
        </w:rPr>
        <w:t>完成相关科室和两县等部门的资料收集和需求调研，</w:t>
      </w:r>
      <w:r>
        <w:rPr>
          <w:rFonts w:hint="eastAsia" w:ascii="Times New Roman" w:hAnsi="Times New Roman" w:eastAsia="仿宋_GB2312" w:cs="Times New Roman"/>
          <w:sz w:val="32"/>
          <w:szCs w:val="32"/>
          <w:lang w:val="en-US" w:eastAsia="zh-CN"/>
        </w:rPr>
        <w:t>目前</w:t>
      </w:r>
      <w:r>
        <w:rPr>
          <w:rFonts w:hint="default" w:ascii="Times New Roman" w:hAnsi="Times New Roman" w:eastAsia="仿宋_GB2312" w:cs="Times New Roman"/>
          <w:sz w:val="32"/>
          <w:szCs w:val="32"/>
          <w:lang w:val="en-US" w:eastAsia="zh-CN"/>
        </w:rPr>
        <w:t>正在开展规划文本初稿编制</w:t>
      </w:r>
      <w:r>
        <w:rPr>
          <w:rFonts w:hint="eastAsia" w:ascii="Times New Roman" w:hAnsi="Times New Roman" w:eastAsia="仿宋_GB2312" w:cs="Times New Roman"/>
          <w:sz w:val="32"/>
          <w:szCs w:val="32"/>
          <w:lang w:val="en-US" w:eastAsia="zh-CN"/>
        </w:rPr>
        <w:t>。</w:t>
      </w:r>
    </w:p>
    <w:p w14:paraId="7D1FEAB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7AA4DF6">
      <w:pPr>
        <w:adjustRightInd w:val="0"/>
        <w:snapToGrid w:val="0"/>
        <w:spacing w:line="600" w:lineRule="exact"/>
        <w:ind w:firstLine="720"/>
        <w:rPr>
          <w:rFonts w:hint="eastAsia"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项目主要内容</w:t>
      </w:r>
      <w:r>
        <w:rPr>
          <w:rFonts w:hint="eastAsia" w:ascii="Times New Roman" w:hAnsi="Times New Roman" w:eastAsia="仿宋_GB2312" w:cs="Times New Roman"/>
          <w:sz w:val="32"/>
          <w:szCs w:val="32"/>
          <w:lang w:val="en-US" w:eastAsia="zh-CN"/>
        </w:rPr>
        <w:t>为</w:t>
      </w:r>
      <w:r>
        <w:rPr>
          <w:rFonts w:hint="eastAsia" w:ascii="Times New Roman" w:hAnsi="Times New Roman" w:eastAsia="仿宋_GB2312" w:cs="Times New Roman"/>
          <w:sz w:val="32"/>
          <w:szCs w:val="32"/>
          <w:lang w:val="zh-CN"/>
        </w:rPr>
        <w:t>编制攀枝花市“十五五”基础测绘规划，主要包括资料收集分析、实地需求调研、“十四五”规划总结</w:t>
      </w:r>
      <w:r>
        <w:rPr>
          <w:rFonts w:hint="eastAsia" w:ascii="Times New Roman" w:hAnsi="Times New Roman" w:eastAsia="仿宋_GB2312" w:cs="Times New Roman"/>
          <w:sz w:val="32"/>
          <w:szCs w:val="32"/>
          <w:lang w:val="en-US" w:eastAsia="zh-CN"/>
        </w:rPr>
        <w:t>和</w:t>
      </w:r>
      <w:r>
        <w:rPr>
          <w:rFonts w:hint="eastAsia" w:ascii="Times New Roman" w:hAnsi="Times New Roman" w:eastAsia="仿宋_GB2312" w:cs="Times New Roman"/>
          <w:sz w:val="32"/>
          <w:szCs w:val="32"/>
          <w:lang w:val="zh-CN"/>
        </w:rPr>
        <w:t>“十五五”规划</w:t>
      </w:r>
      <w:r>
        <w:rPr>
          <w:rFonts w:hint="eastAsia" w:ascii="Times New Roman" w:hAnsi="Times New Roman" w:eastAsia="仿宋_GB2312" w:cs="Times New Roman"/>
          <w:sz w:val="32"/>
          <w:szCs w:val="32"/>
          <w:lang w:val="en-US" w:eastAsia="zh-CN"/>
        </w:rPr>
        <w:t>文本</w:t>
      </w:r>
      <w:r>
        <w:rPr>
          <w:rFonts w:hint="eastAsia" w:ascii="Times New Roman" w:hAnsi="Times New Roman" w:eastAsia="仿宋_GB2312" w:cs="Times New Roman"/>
          <w:sz w:val="32"/>
          <w:szCs w:val="32"/>
          <w:lang w:val="zh-CN"/>
        </w:rPr>
        <w:t>编制</w:t>
      </w:r>
      <w:r>
        <w:rPr>
          <w:rFonts w:hint="eastAsia" w:ascii="Times New Roman" w:hAnsi="Times New Roman" w:eastAsia="仿宋_GB2312" w:cs="Times New Roman"/>
          <w:sz w:val="32"/>
          <w:szCs w:val="32"/>
          <w:lang w:val="en-US" w:eastAsia="zh-CN"/>
        </w:rPr>
        <w:t>等工作</w:t>
      </w:r>
      <w:r>
        <w:rPr>
          <w:rFonts w:hint="eastAsia" w:ascii="Times New Roman" w:hAnsi="Times New Roman" w:eastAsia="仿宋_GB2312" w:cs="Times New Roman"/>
          <w:sz w:val="32"/>
          <w:szCs w:val="32"/>
          <w:lang w:val="zh-CN"/>
        </w:rPr>
        <w:t>。</w:t>
      </w:r>
    </w:p>
    <w:p w14:paraId="3AD841B6">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 项目应实现的具体绩效目标</w:t>
      </w:r>
      <w:r>
        <w:rPr>
          <w:rFonts w:hint="eastAsia" w:ascii="Times New Roman" w:hAnsi="Times New Roman" w:eastAsia="仿宋_GB2312" w:cs="Times New Roman"/>
          <w:sz w:val="32"/>
          <w:szCs w:val="32"/>
          <w:lang w:val="en-US" w:eastAsia="zh-CN"/>
        </w:rPr>
        <w:t>为</w:t>
      </w:r>
      <w:r>
        <w:rPr>
          <w:rFonts w:hint="eastAsia" w:ascii="Times New Roman" w:hAnsi="Times New Roman" w:eastAsia="仿宋_GB2312" w:cs="Times New Roman"/>
          <w:sz w:val="32"/>
          <w:szCs w:val="32"/>
          <w:lang w:val="zh-CN"/>
        </w:rPr>
        <w:t>编制攀枝花市“十五五”基础测绘规划</w:t>
      </w:r>
      <w:r>
        <w:rPr>
          <w:rFonts w:hint="eastAsia" w:ascii="Times New Roman" w:hAnsi="Times New Roman" w:eastAsia="仿宋_GB2312" w:cs="Times New Roman"/>
          <w:sz w:val="32"/>
          <w:szCs w:val="32"/>
          <w:lang w:val="en-US" w:eastAsia="zh-CN"/>
        </w:rPr>
        <w:t>文本1本、规划文本质量、完成时限以及经济效益、社会效益和服务满意度等。项目</w:t>
      </w:r>
      <w:r>
        <w:rPr>
          <w:rFonts w:hint="default" w:ascii="Times New Roman" w:hAnsi="Times New Roman" w:eastAsia="仿宋_GB2312" w:cs="Times New Roman"/>
          <w:sz w:val="32"/>
          <w:szCs w:val="32"/>
          <w:lang w:val="en-US" w:eastAsia="zh-CN"/>
        </w:rPr>
        <w:t>预计</w:t>
      </w:r>
      <w:r>
        <w:rPr>
          <w:rFonts w:hint="eastAsia" w:ascii="Times New Roman" w:hAnsi="Times New Roman" w:eastAsia="仿宋_GB2312" w:cs="Times New Roman"/>
          <w:sz w:val="32"/>
          <w:szCs w:val="32"/>
          <w:lang w:val="en-US" w:eastAsia="zh-CN"/>
        </w:rPr>
        <w:t>2026</w:t>
      </w:r>
      <w:r>
        <w:rPr>
          <w:rFonts w:hint="default"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en-US" w:eastAsia="zh-CN"/>
        </w:rPr>
        <w:t>年初完成</w:t>
      </w:r>
      <w:r>
        <w:rPr>
          <w:rFonts w:hint="default" w:ascii="Times New Roman" w:hAnsi="Times New Roman" w:eastAsia="仿宋_GB2312" w:cs="Times New Roman"/>
          <w:sz w:val="32"/>
          <w:szCs w:val="32"/>
          <w:lang w:val="en-US" w:eastAsia="zh-CN"/>
        </w:rPr>
        <w:t>规划文本初稿编制</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6月前完成规划文本论证报批、正式印发等工作。</w:t>
      </w:r>
    </w:p>
    <w:p w14:paraId="6D79D06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 申报内容与实际相符，申报目标合理可行。</w:t>
      </w:r>
    </w:p>
    <w:p w14:paraId="56DA5D8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2F28C022">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en-US" w:eastAsia="zh-CN"/>
        </w:rPr>
        <w:t>由项目参与人员，按照职责分工，根据项目实际情况，采用定量和定性相结合的方法，对绩效各项指标进行分析评价，撰写自评报告，总结问题并提出相关建议。</w:t>
      </w:r>
    </w:p>
    <w:p w14:paraId="7E41952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00CB19E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6AD709AD">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根据</w:t>
      </w:r>
      <w:r>
        <w:rPr>
          <w:rFonts w:hint="eastAsia" w:ascii="Times New Roman" w:hAnsi="Times New Roman" w:eastAsia="仿宋_GB2312" w:cs="Times New Roman"/>
          <w:sz w:val="32"/>
          <w:szCs w:val="32"/>
          <w:lang w:val="zh-CN" w:eastAsia="zh-CN"/>
        </w:rPr>
        <w:t>《攀枝花市财政局</w:t>
      </w:r>
      <w:r>
        <w:rPr>
          <w:rFonts w:hint="eastAsia" w:ascii="Times New Roman" w:hAnsi="Times New Roman" w:eastAsia="仿宋_GB2312" w:cs="Times New Roman"/>
          <w:sz w:val="32"/>
          <w:szCs w:val="32"/>
          <w:lang w:val="en-US" w:eastAsia="zh-CN"/>
        </w:rPr>
        <w:t>关于下达攀枝花市“十五五”基础测绘规划编制工作资金的通知</w:t>
      </w:r>
      <w:r>
        <w:rPr>
          <w:rFonts w:hint="eastAsia" w:ascii="Times New Roman" w:hAnsi="Times New Roman" w:eastAsia="仿宋_GB2312" w:cs="Times New Roman"/>
          <w:sz w:val="32"/>
          <w:szCs w:val="32"/>
          <w:lang w:val="zh-CN" w:eastAsia="zh-CN"/>
        </w:rPr>
        <w:t>》（攀财资环资</w:t>
      </w:r>
      <w:r>
        <w:rPr>
          <w:rFonts w:hint="eastAsia" w:ascii="Times New Roman" w:hAnsi="Times New Roman" w:eastAsia="仿宋_GB2312" w:cs="Times New Roman"/>
          <w:sz w:val="32"/>
          <w:szCs w:val="32"/>
          <w:lang w:val="en-US" w:eastAsia="zh-CN"/>
        </w:rPr>
        <w:t>〔2025〕</w:t>
      </w:r>
      <w:r>
        <w:rPr>
          <w:rFonts w:hint="eastAsia" w:ascii="Times New Roman" w:hAnsi="Times New Roman" w:eastAsia="仿宋_GB2312" w:cs="Times New Roman"/>
          <w:sz w:val="32"/>
          <w:szCs w:val="32"/>
          <w:lang w:val="zh-CN" w:eastAsia="zh-CN"/>
        </w:rPr>
        <w:t>75号），</w:t>
      </w:r>
      <w:r>
        <w:rPr>
          <w:rFonts w:hint="eastAsia" w:ascii="Times New Roman" w:hAnsi="Times New Roman" w:eastAsia="仿宋_GB2312" w:cs="Times New Roman"/>
          <w:sz w:val="32"/>
          <w:szCs w:val="32"/>
          <w:lang w:val="en-US" w:eastAsia="zh-CN"/>
        </w:rPr>
        <w:t>按照省自然资源厅要求开展攀枝花市“十五五”基础测绘规划编制，2025年安排5万元开展采购工作，后期按照合同金额安排尾款。</w:t>
      </w:r>
    </w:p>
    <w:p w14:paraId="7AB0A10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2E9F07A6">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en-US" w:eastAsia="zh-CN"/>
        </w:rPr>
        <w:t>本项目资金来源为市级财政资金。规划编制技术服务费13.7万元，合同签订后支付5万元，规划文本成果通过专家评审后支付8.7万元。</w:t>
      </w:r>
    </w:p>
    <w:p w14:paraId="09F70E71">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市财政局2025年安排5万元开展采购工作，后期按照合同金额安排尾款。</w:t>
      </w:r>
    </w:p>
    <w:p w14:paraId="7E6EA8A9">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en-US" w:eastAsia="zh-CN"/>
        </w:rPr>
        <w:t>经供应商申请，按合同约定，2025年12月支付5万元。</w:t>
      </w:r>
    </w:p>
    <w:p w14:paraId="1C0FD3A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655E89A3">
      <w:pPr>
        <w:adjustRightInd w:val="0"/>
        <w:snapToGrid w:val="0"/>
        <w:spacing w:line="56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攀枝花市自然资源和规划局财务管理制度健全，严格执行财务管理制度，账务处理及时，会计核算规范。</w:t>
      </w:r>
    </w:p>
    <w:p w14:paraId="1639399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03C5D22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en-US" w:eastAsia="zh-CN"/>
        </w:rPr>
        <w:t>项目由测绘科负责，</w:t>
      </w:r>
      <w:r>
        <w:rPr>
          <w:rFonts w:hint="eastAsia" w:ascii="Times New Roman" w:hAnsi="Times New Roman" w:eastAsia="仿宋_GB2312" w:cs="Times New Roman"/>
          <w:sz w:val="32"/>
          <w:szCs w:val="32"/>
          <w:lang w:val="zh-CN"/>
        </w:rPr>
        <w:t>经局务会审议通过后，</w:t>
      </w:r>
      <w:r>
        <w:rPr>
          <w:rFonts w:hint="eastAsia" w:ascii="Times New Roman" w:hAnsi="Times New Roman" w:eastAsia="仿宋_GB2312" w:cs="Times New Roman"/>
          <w:sz w:val="32"/>
          <w:szCs w:val="32"/>
          <w:lang w:val="en-US" w:eastAsia="zh-CN"/>
        </w:rPr>
        <w:t>采用询价的方式选取招标代理机构开展</w:t>
      </w:r>
      <w:r>
        <w:rPr>
          <w:rFonts w:hint="eastAsia" w:ascii="Times New Roman" w:hAnsi="Times New Roman" w:eastAsia="仿宋_GB2312" w:cs="Times New Roman"/>
          <w:sz w:val="32"/>
          <w:szCs w:val="32"/>
          <w:lang w:val="zh-CN"/>
        </w:rPr>
        <w:t>采购工作，包括：通过竞争性谈判方式确定中标单位，组织合同拟定、评审与签订，参与采购项目验收，办理支付等事项。</w:t>
      </w:r>
    </w:p>
    <w:p w14:paraId="31F4DA7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（二）项目管理情况。</w:t>
      </w:r>
      <w:r>
        <w:rPr>
          <w:rFonts w:hint="default" w:ascii="Times New Roman" w:hAnsi="Times New Roman" w:eastAsia="仿宋_GB2312" w:cs="Times New Roman"/>
          <w:sz w:val="32"/>
          <w:szCs w:val="32"/>
          <w:lang w:val="en-US" w:eastAsia="zh-CN"/>
        </w:rPr>
        <w:t>经咨询多家省内基础测绘规划编制单位，通过对比测算，</w:t>
      </w:r>
      <w:r>
        <w:rPr>
          <w:rFonts w:hint="default" w:ascii="Times New Roman" w:hAnsi="Times New Roman" w:eastAsia="仿宋_GB2312" w:cs="Times New Roman"/>
          <w:sz w:val="32"/>
          <w:szCs w:val="32"/>
          <w:lang w:val="zh-CN"/>
        </w:rPr>
        <w:t>攀枝花市“十</w:t>
      </w:r>
      <w:r>
        <w:rPr>
          <w:rFonts w:hint="default" w:ascii="Times New Roman" w:hAnsi="Times New Roman" w:eastAsia="仿宋_GB2312" w:cs="Times New Roman"/>
          <w:sz w:val="32"/>
          <w:szCs w:val="32"/>
          <w:lang w:val="en-US" w:eastAsia="zh-CN"/>
        </w:rPr>
        <w:t>五</w:t>
      </w:r>
      <w:r>
        <w:rPr>
          <w:rFonts w:hint="default" w:ascii="Times New Roman" w:hAnsi="Times New Roman" w:eastAsia="仿宋_GB2312" w:cs="Times New Roman"/>
          <w:sz w:val="32"/>
          <w:szCs w:val="32"/>
          <w:lang w:val="zh-CN"/>
        </w:rPr>
        <w:t>五”基础测绘规划编制</w:t>
      </w:r>
      <w:r>
        <w:rPr>
          <w:rFonts w:hint="default" w:ascii="Times New Roman" w:hAnsi="Times New Roman" w:eastAsia="仿宋_GB2312" w:cs="Times New Roman"/>
          <w:sz w:val="32"/>
          <w:szCs w:val="32"/>
          <w:lang w:val="en-US" w:eastAsia="zh-CN"/>
        </w:rPr>
        <w:t>经费预计为14</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。拟</w:t>
      </w:r>
      <w:r>
        <w:rPr>
          <w:rFonts w:hint="default" w:ascii="Times New Roman" w:hAnsi="Times New Roman" w:eastAsia="仿宋_GB2312" w:cs="Times New Roman"/>
          <w:sz w:val="32"/>
          <w:szCs w:val="32"/>
          <w:lang w:val="zh-CN"/>
        </w:rPr>
        <w:t>采用竞争性谈判方式采购</w:t>
      </w:r>
      <w:r>
        <w:rPr>
          <w:rFonts w:hint="eastAsia" w:ascii="Times New Roman" w:hAnsi="Times New Roman" w:eastAsia="仿宋_GB2312" w:cs="Times New Roman"/>
          <w:sz w:val="32"/>
          <w:szCs w:val="32"/>
          <w:lang w:val="en-US" w:eastAsia="zh-CN"/>
        </w:rPr>
        <w:t>基础测绘规划编制服务单位</w:t>
      </w:r>
      <w:r>
        <w:rPr>
          <w:rFonts w:hint="default" w:ascii="Times New Roman" w:hAnsi="Times New Roman" w:eastAsia="仿宋_GB2312" w:cs="Times New Roman"/>
          <w:sz w:val="32"/>
          <w:szCs w:val="32"/>
          <w:lang w:val="zh-CN"/>
        </w:rPr>
        <w:t>。</w:t>
      </w:r>
    </w:p>
    <w:p w14:paraId="5D8F2781">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楷体_GB2312" w:cs="Times New Roman"/>
          <w:b/>
          <w:sz w:val="32"/>
          <w:szCs w:val="32"/>
          <w:lang w:val="zh-CN"/>
        </w:rPr>
        <w:t>（三）项目监管情况。</w:t>
      </w:r>
      <w:r>
        <w:rPr>
          <w:rFonts w:ascii="Times New Roman" w:hAnsi="Times New Roman" w:eastAsia="仿宋_GB2312" w:cs="Times New Roman"/>
          <w:sz w:val="32"/>
          <w:szCs w:val="32"/>
          <w:lang w:val="zh-CN"/>
        </w:rPr>
        <w:t>说明项目主管部门为加强项目管理所采取的监管手段、监管程序、监管工作开展情况及实现的效果等。</w:t>
      </w:r>
      <w:r>
        <w:rPr>
          <w:rFonts w:hint="eastAsia" w:ascii="Times New Roman" w:hAnsi="Times New Roman" w:eastAsia="仿宋_GB2312" w:cs="Times New Roman"/>
          <w:sz w:val="32"/>
          <w:szCs w:val="32"/>
          <w:lang w:val="en-US" w:eastAsia="zh-CN"/>
        </w:rPr>
        <w:t>2025年11月14日，市自然资源和规划局2025年第12次局务会审议并同意了关于开展攀枝花市“十五五”基础测绘规划编制采购工作的请示。2025年11月28日，市自然资源和规划局测绘科、财务科、法规科、法律顾问和分管领导对《攀枝花市“十五五”基础测绘规划编制服务项目技术服务合同》进行了审查会签。</w:t>
      </w:r>
    </w:p>
    <w:p w14:paraId="76E110C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7DD4607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4E3C4AEC">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en-US" w:eastAsia="zh-CN"/>
        </w:rPr>
        <w:t>2026年1月</w:t>
      </w:r>
      <w:r>
        <w:rPr>
          <w:rFonts w:hint="default" w:ascii="Times New Roman" w:hAnsi="Times New Roman" w:eastAsia="仿宋_GB2312" w:cs="Times New Roman"/>
          <w:sz w:val="32"/>
          <w:szCs w:val="32"/>
          <w:lang w:val="en-US" w:eastAsia="zh-CN"/>
        </w:rPr>
        <w:t>完成相关科室和两县等部门的资料收集和需求调研，</w:t>
      </w:r>
      <w:r>
        <w:rPr>
          <w:rFonts w:hint="eastAsia" w:ascii="Times New Roman" w:hAnsi="Times New Roman" w:eastAsia="仿宋_GB2312" w:cs="Times New Roman"/>
          <w:sz w:val="32"/>
          <w:szCs w:val="32"/>
          <w:lang w:val="en-US" w:eastAsia="zh-CN"/>
        </w:rPr>
        <w:t>目前</w:t>
      </w:r>
      <w:r>
        <w:rPr>
          <w:rFonts w:hint="default" w:ascii="Times New Roman" w:hAnsi="Times New Roman" w:eastAsia="仿宋_GB2312" w:cs="Times New Roman"/>
          <w:sz w:val="32"/>
          <w:szCs w:val="32"/>
          <w:lang w:val="en-US" w:eastAsia="zh-CN"/>
        </w:rPr>
        <w:t>正在开展规划文本初稿编制</w:t>
      </w:r>
      <w:r>
        <w:rPr>
          <w:rFonts w:hint="eastAsia" w:ascii="Times New Roman" w:hAnsi="Times New Roman" w:eastAsia="仿宋_GB2312" w:cs="Times New Roman"/>
          <w:sz w:val="32"/>
          <w:szCs w:val="32"/>
          <w:lang w:val="en-US" w:eastAsia="zh-CN"/>
        </w:rPr>
        <w:t>。根据合同约定，项目服务内容包括资料收集分析、实地需求调研、“十四五”规划总结、“十五五”规划编制，约定7个月内完成规划文本编制工作。</w:t>
      </w:r>
    </w:p>
    <w:p w14:paraId="3E8FE5A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6BAE99E8">
      <w:pPr>
        <w:spacing w:line="540" w:lineRule="exact"/>
        <w:ind w:firstLine="640" w:firstLineChars="200"/>
        <w:outlineLvl w:val="0"/>
        <w:rPr>
          <w:rFonts w:ascii="Times New Roman" w:hAnsi="Times New Roman" w:eastAsia="仿宋_GB2312" w:cs="Times New Roman"/>
          <w:sz w:val="32"/>
          <w:szCs w:val="32"/>
          <w:lang w:val="zh-CN"/>
        </w:rPr>
      </w:pPr>
      <w:bookmarkStart w:id="107" w:name="_Toc1706"/>
      <w:r>
        <w:rPr>
          <w:rFonts w:hint="eastAsia" w:ascii="Times New Roman" w:hAnsi="Times New Roman" w:eastAsia="仿宋_GB2312" w:cs="Times New Roman"/>
          <w:sz w:val="32"/>
          <w:szCs w:val="32"/>
          <w:lang w:val="zh-CN"/>
        </w:rPr>
        <w:t>《攀枝花市“十五五”基础测绘规划》可成为攀枝花市“十五五”期间测绘地理信息事业转型升级发展的指导性文件，能有效指导市级层面基础测绘建设，为区（县）基础测绘建设提供政策指引和工作要求</w:t>
      </w:r>
      <w:r>
        <w:rPr>
          <w:rFonts w:hint="eastAsia" w:ascii="Times New Roman" w:hAnsi="Times New Roman" w:eastAsia="仿宋_GB2312" w:cs="Times New Roman"/>
          <w:sz w:val="32"/>
          <w:szCs w:val="32"/>
          <w:lang w:val="zh-CN" w:eastAsia="zh-CN"/>
        </w:rPr>
        <w:t>，</w:t>
      </w:r>
      <w:r>
        <w:rPr>
          <w:rFonts w:hint="eastAsia" w:ascii="Times New Roman" w:hAnsi="Times New Roman" w:eastAsia="仿宋_GB2312" w:cs="Times New Roman"/>
          <w:sz w:val="32"/>
          <w:szCs w:val="32"/>
          <w:lang w:val="en-US" w:eastAsia="zh-CN"/>
        </w:rPr>
        <w:t>同时规划文本能满足报批、备案要求</w:t>
      </w:r>
      <w:r>
        <w:rPr>
          <w:rFonts w:hint="eastAsia" w:ascii="Times New Roman" w:hAnsi="Times New Roman" w:eastAsia="仿宋_GB2312" w:cs="Times New Roman"/>
          <w:sz w:val="32"/>
          <w:szCs w:val="32"/>
          <w:lang w:val="zh-CN"/>
        </w:rPr>
        <w:t>。</w:t>
      </w:r>
      <w:bookmarkEnd w:id="107"/>
    </w:p>
    <w:p w14:paraId="1FBE8C81">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710B381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7C6FE684">
      <w:pPr>
        <w:adjustRightInd w:val="0"/>
        <w:snapToGrid w:val="0"/>
        <w:spacing w:line="600" w:lineRule="exact"/>
        <w:ind w:firstLine="720"/>
        <w:rPr>
          <w:rFonts w:ascii="Times New Roman" w:hAnsi="Times New Roman" w:eastAsia="仿宋_GB2312" w:cs="Times New Roman"/>
          <w:sz w:val="32"/>
          <w:szCs w:val="32"/>
          <w:bdr w:val="single" w:color="auto" w:sz="4" w:space="0"/>
          <w:lang w:val="zh-CN"/>
        </w:rPr>
      </w:pPr>
      <w:r>
        <w:rPr>
          <w:rFonts w:hint="default" w:ascii="Times New Roman" w:hAnsi="Times New Roman" w:eastAsia="仿宋_GB2312" w:cs="Times New Roman"/>
          <w:sz w:val="32"/>
          <w:szCs w:val="32"/>
          <w:lang w:val="en-US" w:eastAsia="zh-CN"/>
        </w:rPr>
        <w:t>经综合评价，各项指标均达到预期目标，本项目自评得分为</w:t>
      </w:r>
      <w:r>
        <w:rPr>
          <w:rFonts w:hint="eastAsia" w:ascii="Times New Roman" w:hAnsi="Times New Roman" w:eastAsia="仿宋_GB2312" w:cs="Times New Roman"/>
          <w:sz w:val="32"/>
          <w:szCs w:val="32"/>
          <w:lang w:val="en-US" w:eastAsia="zh-CN"/>
        </w:rPr>
        <w:t>89</w:t>
      </w:r>
      <w:r>
        <w:rPr>
          <w:rFonts w:hint="default" w:ascii="Times New Roman" w:hAnsi="Times New Roman" w:eastAsia="仿宋_GB2312" w:cs="Times New Roman"/>
          <w:sz w:val="32"/>
          <w:szCs w:val="32"/>
          <w:lang w:val="en-US" w:eastAsia="zh-CN"/>
        </w:rPr>
        <w:t>分。</w:t>
      </w:r>
    </w:p>
    <w:p w14:paraId="273BFF8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6E7E446A">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未发现相关</w:t>
      </w:r>
      <w:r>
        <w:rPr>
          <w:rFonts w:ascii="Times New Roman" w:hAnsi="Times New Roman" w:eastAsia="仿宋_GB2312" w:cs="Times New Roman"/>
          <w:sz w:val="32"/>
          <w:szCs w:val="32"/>
          <w:lang w:val="zh-CN"/>
        </w:rPr>
        <w:t>问题。</w:t>
      </w:r>
    </w:p>
    <w:p w14:paraId="45626C4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659AE076">
      <w:pPr>
        <w:adjustRightInd w:val="0"/>
        <w:snapToGrid w:val="0"/>
        <w:spacing w:line="60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暂无相关</w:t>
      </w:r>
      <w:r>
        <w:rPr>
          <w:rFonts w:ascii="Times New Roman" w:hAnsi="Times New Roman" w:eastAsia="仿宋_GB2312" w:cs="Times New Roman"/>
          <w:sz w:val="32"/>
          <w:szCs w:val="32"/>
          <w:lang w:val="zh-CN"/>
        </w:rPr>
        <w:t>建议。</w:t>
      </w:r>
    </w:p>
    <w:p w14:paraId="2AD8B094">
      <w:pPr>
        <w:widowControl/>
        <w:jc w:val="center"/>
        <w:outlineLvl w:val="0"/>
        <w:rPr>
          <w:rFonts w:hint="eastAsia" w:ascii="Times New Roman" w:hAnsi="Times New Roman" w:eastAsia="黑体"/>
          <w:color w:val="auto"/>
          <w:sz w:val="44"/>
          <w:szCs w:val="44"/>
          <w:highlight w:val="none"/>
        </w:rPr>
        <w:sectPr>
          <w:pgSz w:w="11906" w:h="16838"/>
          <w:pgMar w:top="1440" w:right="1800" w:bottom="1440" w:left="1800" w:header="851" w:footer="992" w:gutter="0"/>
          <w:pgNumType w:fmt="decimal" w:start="1"/>
          <w:cols w:space="425" w:num="1"/>
          <w:docGrid w:type="lines" w:linePitch="312" w:charSpace="0"/>
        </w:sectPr>
      </w:pPr>
    </w:p>
    <w:p w14:paraId="47A0BD19">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67E6AC61">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029B4B25">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《兰谱路历史文化街区（城市原点片区）城市设计</w:t>
      </w:r>
      <w:r>
        <w:rPr>
          <w:rFonts w:hint="eastAsia"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望江片区—大梯道—二街坊片区城市设计》</w:t>
      </w:r>
      <w:r>
        <w:rPr>
          <w:rFonts w:ascii="Times New Roman" w:hAnsi="Times New Roman" w:eastAsia="仿宋_GB2312" w:cs="Times New Roman"/>
          <w:color w:val="auto"/>
          <w:kern w:val="2"/>
          <w:sz w:val="32"/>
          <w:szCs w:val="32"/>
          <w:lang w:val="zh-CN" w:eastAsia="zh-CN" w:bidi="ar-SA"/>
        </w:rPr>
        <w:t>）</w:t>
      </w:r>
    </w:p>
    <w:p w14:paraId="3FA8DB1D">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33E407D1">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7D0C2F9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3709985">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说明项目主管部门（单位）在该项目管理中的职能。</w:t>
      </w:r>
      <w:r>
        <w:rPr>
          <w:rFonts w:hint="eastAsia" w:ascii="Times New Roman" w:hAnsi="Times New Roman" w:eastAsia="仿宋_GB2312" w:cs="Times New Roman"/>
          <w:sz w:val="32"/>
          <w:szCs w:val="32"/>
          <w:lang w:val="zh-CN"/>
        </w:rPr>
        <w:t>详细规划管理科在</w:t>
      </w:r>
      <w:r>
        <w:rPr>
          <w:rFonts w:hint="eastAsia" w:ascii="Times New Roman" w:hAnsi="Times New Roman" w:eastAsia="仿宋_GB2312" w:cs="Times New Roman"/>
          <w:sz w:val="32"/>
          <w:szCs w:val="32"/>
          <w:lang w:val="en-US" w:eastAsia="zh-CN"/>
        </w:rPr>
        <w:t>2025</w:t>
      </w:r>
      <w:r>
        <w:rPr>
          <w:rFonts w:hint="eastAsia" w:ascii="Times New Roman" w:hAnsi="Times New Roman" w:eastAsia="仿宋_GB2312" w:cs="Times New Roman"/>
          <w:sz w:val="32"/>
          <w:szCs w:val="32"/>
          <w:lang w:val="zh-CN"/>
        </w:rPr>
        <w:t>年度工作中负责组织</w:t>
      </w:r>
      <w:r>
        <w:rPr>
          <w:rFonts w:hint="eastAsia" w:ascii="Times New Roman" w:hAnsi="Times New Roman" w:eastAsia="仿宋_GB2312" w:cs="Times New Roman"/>
          <w:sz w:val="32"/>
          <w:szCs w:val="32"/>
          <w:lang w:val="en-US" w:eastAsia="zh-CN"/>
        </w:rPr>
        <w:t>中心城区</w:t>
      </w:r>
      <w:r>
        <w:rPr>
          <w:rFonts w:hint="eastAsia" w:ascii="Times New Roman" w:hAnsi="Times New Roman" w:eastAsia="仿宋_GB2312" w:cs="Times New Roman"/>
          <w:sz w:val="32"/>
          <w:szCs w:val="32"/>
          <w:lang w:val="zh-CN"/>
        </w:rPr>
        <w:t>详细规划、</w:t>
      </w:r>
      <w:r>
        <w:rPr>
          <w:rFonts w:hint="eastAsia" w:ascii="Times New Roman" w:hAnsi="Times New Roman" w:eastAsia="仿宋_GB2312" w:cs="Times New Roman"/>
          <w:sz w:val="32"/>
          <w:szCs w:val="32"/>
          <w:lang w:val="en-US" w:eastAsia="zh-CN"/>
        </w:rPr>
        <w:t>城市设计的</w:t>
      </w:r>
      <w:r>
        <w:rPr>
          <w:rFonts w:hint="eastAsia" w:ascii="Times New Roman" w:hAnsi="Times New Roman" w:eastAsia="仿宋_GB2312" w:cs="Times New Roman"/>
          <w:sz w:val="32"/>
          <w:szCs w:val="32"/>
          <w:lang w:val="zh-CN"/>
        </w:rPr>
        <w:t>编制、审查、报批等工作。为深入贯彻市委、市政府关于大力实施共富共美城市有机更新三年攻坚行动的决策部署，经市政府同意，市自然资源和规划局会同东区人民政府开展了城市原点片区（兰谱路片区）城市更新片区策划相关工作。</w:t>
      </w:r>
    </w:p>
    <w:p w14:paraId="5006BFD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项目立项、资金申报的依据。</w:t>
      </w:r>
      <w:r>
        <w:rPr>
          <w:rFonts w:hint="eastAsia" w:ascii="Times New Roman" w:hAnsi="Times New Roman" w:eastAsia="仿宋_GB2312" w:cs="Times New Roman"/>
          <w:sz w:val="32"/>
          <w:szCs w:val="32"/>
          <w:lang w:val="zh-CN"/>
        </w:rPr>
        <w:t>按照中华人民共和国住房和城乡建设部《城市设计管理办法》第十七条“城市、县人民政府城乡规划主管部门负责组织编制本行政区域内总体城市设计、重点地区的城市设计，并报本级人民政府审批。”的工作要求，行政区域内重点地区的城市设计应当由市自然资源和规划局组织开展。</w:t>
      </w:r>
    </w:p>
    <w:p w14:paraId="37F9E764">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按照《攀枝花市自然资源和规划局财务管理办法》规定，规范使用资金。</w:t>
      </w:r>
    </w:p>
    <w:p w14:paraId="4D28728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4. 资金分配的原则及考虑因素。</w:t>
      </w:r>
      <w:r>
        <w:rPr>
          <w:rFonts w:hint="eastAsia" w:ascii="Times New Roman" w:hAnsi="Times New Roman" w:eastAsia="仿宋_GB2312" w:cs="Times New Roman"/>
          <w:sz w:val="32"/>
          <w:szCs w:val="32"/>
          <w:lang w:val="zh-CN"/>
        </w:rPr>
        <w:t>资金来源为财政资金，按照市财政局确定的重点区域城市设计经费保障机制，纳入市委、市政府重点城市更新项目的城市设计所需经费，实行市、区共担，由市本级与项目属地政府（东区人民政府）按35%：65%比例分级承担。</w:t>
      </w:r>
    </w:p>
    <w:p w14:paraId="3F689F8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0EFAB29C">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为深入贯彻市委、市政府关于大力实施共富共美城市有机更新三年攻坚行动的决策部署，</w:t>
      </w:r>
      <w:r>
        <w:rPr>
          <w:rFonts w:hint="eastAsia" w:ascii="Times New Roman" w:hAnsi="Times New Roman" w:eastAsia="仿宋_GB2312" w:cs="Times New Roman"/>
          <w:sz w:val="32"/>
          <w:szCs w:val="32"/>
          <w:lang w:val="en-US" w:eastAsia="zh-CN"/>
        </w:rPr>
        <w:t>经市政府同意，选取兰谱路历史文化街区（城市原点片区）（约8公顷）、望江片区—大梯道—二街坊片区（约15公顷）两个重点城市更新片区开展城市设计。通过系统城市设计，明确片区功能细分、场景设计、公共空间、重要界面、建筑群体、建筑风貌、交通组织、地下空间、环境景观等方面内容，并利用具象化、可视化的效果图表达，直观呈现项目实施后的效果，梳理总结形成城市设计指引，提出具体规划管控措施，指导具体方案设计和项目实施，切实完善片区功能和提升生活品质，增强城市活力。</w:t>
      </w:r>
    </w:p>
    <w:p w14:paraId="20C1AD5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6E9D7A4D">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工作的通知》（攀财绩〔2025〕3号）要求，积极组织开展项目自评工作，通过与项目相关人员座谈或讨论等方法了解项目经费情况，收集相关资料，综合分析相关情况后，对项目决策、项目实施、完成效果、项目效果、社会效益及经济效益等进行评估。</w:t>
      </w:r>
    </w:p>
    <w:p w14:paraId="2CA6AD03">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18DB818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41304446">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项目经费纳入财政预算，我单位按照申请事项和具体工作开展情况确定，根据使用进度向财政申请相应资金及时支付。</w:t>
      </w:r>
    </w:p>
    <w:p w14:paraId="0CB5D2F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6881A2A6">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项目由财政资金保障（由</w:t>
      </w:r>
      <w:r>
        <w:rPr>
          <w:rFonts w:hint="eastAsia" w:ascii="Times New Roman" w:hAnsi="Times New Roman" w:eastAsia="仿宋_GB2312" w:cs="Times New Roman"/>
          <w:sz w:val="32"/>
          <w:szCs w:val="32"/>
          <w:lang w:val="en-US" w:eastAsia="zh-CN"/>
        </w:rPr>
        <w:t>市级财政和东区政府按</w:t>
      </w:r>
      <w:r>
        <w:rPr>
          <w:rFonts w:hint="eastAsia" w:ascii="Times New Roman" w:hAnsi="Times New Roman" w:eastAsia="仿宋_GB2312" w:cs="Times New Roman"/>
          <w:sz w:val="32"/>
          <w:szCs w:val="32"/>
          <w:lang w:val="zh-CN"/>
        </w:rPr>
        <w:t>35%：65%比例分级承担）。</w:t>
      </w:r>
    </w:p>
    <w:p w14:paraId="7E6F9228">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资金到位及时。</w:t>
      </w:r>
    </w:p>
    <w:p w14:paraId="723575BA">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资金支付范围、支付标准、支付进度、支付依据合规合法、与预算相符。</w:t>
      </w:r>
    </w:p>
    <w:p w14:paraId="72E4BCC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2CBB7972">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按照《攀枝花市自然资源和规划局财务管理办法》规定，严格执行财务管理制度，及时财务处理，规范会计核算。</w:t>
      </w:r>
    </w:p>
    <w:p w14:paraId="05919E6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042E1D58">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由详细规划管理科负责项目实施，资金支出严格执行相关规章制度，票据真实有效，会计核算规范。</w:t>
      </w:r>
    </w:p>
    <w:p w14:paraId="279AB2A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27F8A73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62C265F3">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城市原点片区城市设计、望江大梯道片区城市设计已向市委、市政府主要领导专题汇报，按照工作安排，现城市原点片区城市设计已通过市规委会审议，望江大梯道片区设计思路待市委分管领导同意后</w:t>
      </w:r>
      <w:r>
        <w:rPr>
          <w:rFonts w:hint="eastAsia" w:eastAsia="仿宋_GB2312" w:cs="Times New Roman"/>
          <w:sz w:val="32"/>
          <w:szCs w:val="32"/>
          <w:lang w:val="zh-CN"/>
        </w:rPr>
        <w:t>再</w:t>
      </w:r>
      <w:r>
        <w:rPr>
          <w:rFonts w:hint="eastAsia" w:ascii="Times New Roman" w:hAnsi="Times New Roman" w:eastAsia="仿宋_GB2312" w:cs="Times New Roman"/>
          <w:sz w:val="32"/>
          <w:szCs w:val="32"/>
          <w:lang w:val="zh-CN"/>
        </w:rPr>
        <w:t>向市委主要领导汇报。</w:t>
      </w:r>
    </w:p>
    <w:p w14:paraId="5C6B42B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22CECC8D">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梳理总结形成</w:t>
      </w:r>
      <w:r>
        <w:rPr>
          <w:rFonts w:hint="eastAsia" w:ascii="Times New Roman" w:hAnsi="Times New Roman" w:eastAsia="仿宋_GB2312" w:cs="Times New Roman"/>
          <w:sz w:val="32"/>
          <w:szCs w:val="32"/>
          <w:lang w:val="en-US" w:eastAsia="zh-CN"/>
        </w:rPr>
        <w:t>了</w:t>
      </w:r>
      <w:r>
        <w:rPr>
          <w:rFonts w:hint="eastAsia" w:ascii="Times New Roman" w:hAnsi="Times New Roman" w:eastAsia="仿宋_GB2312" w:cs="Times New Roman"/>
          <w:sz w:val="32"/>
          <w:szCs w:val="32"/>
          <w:lang w:val="zh-CN"/>
        </w:rPr>
        <w:t>城市设计指引，提出了具体</w:t>
      </w:r>
      <w:r>
        <w:rPr>
          <w:rFonts w:hint="eastAsia" w:ascii="Times New Roman" w:hAnsi="Times New Roman" w:eastAsia="仿宋_GB2312" w:cs="Times New Roman"/>
          <w:sz w:val="32"/>
          <w:szCs w:val="32"/>
          <w:lang w:val="en-US" w:eastAsia="zh-CN"/>
        </w:rPr>
        <w:t>的</w:t>
      </w:r>
      <w:r>
        <w:rPr>
          <w:rFonts w:hint="eastAsia" w:ascii="Times New Roman" w:hAnsi="Times New Roman" w:eastAsia="仿宋_GB2312" w:cs="Times New Roman"/>
          <w:sz w:val="32"/>
          <w:szCs w:val="32"/>
          <w:lang w:val="zh-CN"/>
        </w:rPr>
        <w:t>规划管控措施，为指导两个城市更新重点片区项目实施提供了依据和指引，切实完善片区功能和提升生活品质，增强城市活力。</w:t>
      </w:r>
    </w:p>
    <w:p w14:paraId="2240DFA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0C2F863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677762DB">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zh-CN"/>
        </w:rPr>
        <w:t>经评价，该项目预算合理，资金管理较好，资金使用总体规范，整体工作发展态势良好，达到预期目标</w:t>
      </w:r>
      <w:r>
        <w:rPr>
          <w:rFonts w:hint="eastAsia" w:eastAsia="仿宋_GB2312" w:cs="Times New Roman"/>
          <w:sz w:val="32"/>
          <w:szCs w:val="32"/>
          <w:lang w:val="zh-CN"/>
        </w:rPr>
        <w:t>。</w:t>
      </w:r>
    </w:p>
    <w:p w14:paraId="1C42D98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31C90617">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无。</w:t>
      </w:r>
    </w:p>
    <w:p w14:paraId="12104E5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7591960">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无。</w:t>
      </w:r>
    </w:p>
    <w:p w14:paraId="2320A0E3">
      <w:pPr>
        <w:rPr>
          <w:rFonts w:hint="eastAsia" w:ascii="Times New Roman" w:hAnsi="Times New Roman" w:eastAsia="黑体"/>
          <w:color w:val="auto"/>
          <w:sz w:val="44"/>
          <w:szCs w:val="44"/>
          <w:highlight w:val="none"/>
        </w:rPr>
      </w:pPr>
    </w:p>
    <w:p w14:paraId="62505D31">
      <w:pPr>
        <w:rPr>
          <w:rFonts w:hint="eastAsia" w:ascii="Times New Roman" w:hAnsi="Times New Roman" w:eastAsia="黑体"/>
          <w:color w:val="auto"/>
          <w:sz w:val="44"/>
          <w:szCs w:val="44"/>
          <w:highlight w:val="none"/>
        </w:rPr>
      </w:pPr>
    </w:p>
    <w:p w14:paraId="414A157A">
      <w:pPr>
        <w:rPr>
          <w:rFonts w:ascii="Times New Roman" w:hAnsi="Times New Roman" w:eastAsia="黑体" w:cs="Times New Roman"/>
          <w:sz w:val="32"/>
          <w:szCs w:val="32"/>
        </w:rPr>
      </w:pPr>
      <w:r>
        <w:rPr>
          <w:rFonts w:hint="eastAsia" w:ascii="Times New Roman" w:hAnsi="Times New Roman" w:eastAsia="黑体"/>
          <w:color w:val="auto"/>
          <w:sz w:val="44"/>
          <w:szCs w:val="44"/>
          <w:highlight w:val="none"/>
        </w:rPr>
        <w:br w:type="page"/>
      </w:r>
    </w:p>
    <w:p w14:paraId="22530544">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564EB181">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4E79E377">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en-US" w:eastAsia="zh-CN" w:bidi="ar-SA"/>
        </w:rPr>
        <w:t>《攀枝花市炳草岗片区（炳草岗一单元）国土空间详细规划》编制项目</w:t>
      </w:r>
      <w:r>
        <w:rPr>
          <w:rFonts w:ascii="Times New Roman" w:hAnsi="Times New Roman" w:eastAsia="仿宋_GB2312" w:cs="Times New Roman"/>
          <w:color w:val="auto"/>
          <w:kern w:val="2"/>
          <w:sz w:val="32"/>
          <w:szCs w:val="32"/>
          <w:lang w:val="zh-CN" w:eastAsia="zh-CN" w:bidi="ar-SA"/>
        </w:rPr>
        <w:t>）</w:t>
      </w:r>
    </w:p>
    <w:p w14:paraId="1F4F0717">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A249CE4">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4B2525B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54D7FEC">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仿宋_GB2312" w:cs="Times New Roman"/>
          <w:b w:val="0"/>
          <w:bCs w:val="0"/>
          <w:sz w:val="32"/>
          <w:szCs w:val="32"/>
          <w:lang w:val="zh-CN"/>
        </w:rPr>
        <w:t>1.</w:t>
      </w:r>
      <w:r>
        <w:rPr>
          <w:rFonts w:ascii="Times New Roman" w:hAnsi="Times New Roman" w:eastAsia="仿宋_GB2312" w:cs="Times New Roman"/>
          <w:b w:val="0"/>
          <w:bCs w:val="0"/>
          <w:sz w:val="32"/>
          <w:szCs w:val="32"/>
          <w:lang w:val="zh-CN"/>
        </w:rPr>
        <w:t>项目主管部门（单位）在该项目管理中的职能。</w:t>
      </w:r>
      <w:r>
        <w:rPr>
          <w:rFonts w:hint="eastAsia" w:ascii="Times New Roman" w:hAnsi="Times New Roman" w:eastAsia="仿宋_GB2312" w:cs="Times New Roman"/>
          <w:sz w:val="32"/>
          <w:szCs w:val="32"/>
          <w:lang w:val="en-US" w:eastAsia="zh-CN"/>
        </w:rPr>
        <w:t>按照三定方案，详细规划管理科负责组织中心城区范围内控制性详细规划编制、审查、报批、调整、实施评估及数据成果管理等工作。为保障炳草岗片区未来发展需要，市自然资源和规划局联合东区人民政府，拟开展《攀枝花市炳草岗片区（炳草岗一单元）国土空间详细规划》编制工作，规划编制范围为攀枝花市中心城区城镇开发边界内炳草岗片区（炳草岗一单元）的全部区域，面积约409.62公顷。</w:t>
      </w:r>
    </w:p>
    <w:p w14:paraId="0FC471C5">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b w:val="0"/>
          <w:bCs w:val="0"/>
          <w:sz w:val="32"/>
          <w:szCs w:val="32"/>
          <w:lang w:val="zh-CN"/>
        </w:rPr>
        <w:t>2. 项目立项、资金申报的依据。</w:t>
      </w:r>
      <w:r>
        <w:rPr>
          <w:rFonts w:hint="eastAsia" w:ascii="仿宋_GB2312" w:hAnsi="宋体" w:eastAsia="仿宋_GB2312" w:cs="仿宋_GB2312"/>
          <w:kern w:val="0"/>
          <w:sz w:val="32"/>
          <w:szCs w:val="32"/>
          <w:lang w:val="en-US" w:eastAsia="zh-CN" w:bidi="ar"/>
        </w:rPr>
        <w:t>按照《中华人民共和国城乡规划法》《四川省城乡规划条例》《四川省城市控制性详细规划管理办法》等相关规定，“城市人民政府城乡规划主管部门根据城市总体规划的要求，组织编制城市的控制性详细规划……”，因此，详细规划的修编依法由市自然资源和规划局组织开展。同时。按照《中共中央 国务院关于建立国土空间规划体系并监督实施的若干意见》和省自然资源厅《关于转发〈自然资源部关于加强国土空间详细规划工作的通知〉的通知》（川自然资发〔2023〕22号）精神，“三区三线”划定后，各地</w:t>
      </w:r>
      <w:r>
        <w:rPr>
          <w:rFonts w:hint="default" w:ascii="仿宋_GB2312" w:hAnsi="宋体" w:eastAsia="仿宋_GB2312" w:cs="仿宋_GB2312"/>
          <w:kern w:val="0"/>
          <w:sz w:val="32"/>
          <w:szCs w:val="32"/>
          <w:lang w:val="en-US" w:eastAsia="zh-CN" w:bidi="ar"/>
        </w:rPr>
        <w:t>要区分紧迫程度、做好计划安排，逐步实现详细规划全覆盖。</w:t>
      </w:r>
    </w:p>
    <w:p w14:paraId="21A20BE6">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仿宋_GB2312" w:cs="Times New Roman"/>
          <w:b w:val="0"/>
          <w:bCs w:val="0"/>
          <w:sz w:val="32"/>
          <w:szCs w:val="32"/>
          <w:lang w:val="zh-CN"/>
        </w:rPr>
        <w:t>3.</w:t>
      </w:r>
      <w:r>
        <w:rPr>
          <w:rFonts w:ascii="Times New Roman" w:hAnsi="Times New Roman" w:eastAsia="仿宋_GB2312" w:cs="Times New Roman"/>
          <w:b w:val="0"/>
          <w:bCs w:val="0"/>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en-US" w:eastAsia="zh-CN"/>
        </w:rPr>
        <w:t>经中共攀枝花市自然资源和规划局党组2023年第26次（扩大）会议审议，同意开展《攀枝花市炳草岗片区（炳草岗一单元）国土空间详细规划》编制工作，编制经费由东区政府保障。</w:t>
      </w:r>
    </w:p>
    <w:p w14:paraId="274B435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4. 资金分配的原则及考虑因素。</w:t>
      </w:r>
      <w:r>
        <w:rPr>
          <w:rFonts w:hint="eastAsia" w:ascii="Times New Roman" w:hAnsi="Times New Roman" w:eastAsia="仿宋_GB2312" w:cs="Times New Roman"/>
          <w:sz w:val="32"/>
          <w:szCs w:val="32"/>
          <w:lang w:val="zh-CN"/>
        </w:rPr>
        <w:t>资金来源为财政资金，财政资金由</w:t>
      </w:r>
      <w:r>
        <w:rPr>
          <w:rFonts w:hint="eastAsia" w:ascii="Times New Roman" w:hAnsi="Times New Roman" w:eastAsia="仿宋_GB2312" w:cs="Times New Roman"/>
          <w:sz w:val="32"/>
          <w:szCs w:val="32"/>
          <w:lang w:val="en-US" w:eastAsia="zh-CN"/>
        </w:rPr>
        <w:t>东</w:t>
      </w:r>
      <w:r>
        <w:rPr>
          <w:rFonts w:hint="eastAsia" w:ascii="Times New Roman" w:hAnsi="Times New Roman" w:eastAsia="仿宋_GB2312" w:cs="Times New Roman"/>
          <w:sz w:val="32"/>
          <w:szCs w:val="32"/>
          <w:lang w:val="zh-CN"/>
        </w:rPr>
        <w:t>区财政资金承担。</w:t>
      </w:r>
    </w:p>
    <w:p w14:paraId="3AF4D05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765E676">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为保障炳草岗片区未来发展需要，拟开展《攀枝花市炳草岗片区（炳草岗一单元）国土空间详细规划》编制工作，规划编制范围为攀枝花市中心城区城镇开发边界内炳草岗片区（炳草岗一单元）的全部区域，面积约409.62公顷。合理优化城市空间布局及功能结构，统筹推动城市更新、棚改土地利用、完整居住社区建设、基础设施完善等工作，提升存量土地节约集约利用水平和空间整体价值、社会经济发展。</w:t>
      </w:r>
    </w:p>
    <w:p w14:paraId="01E2819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申报内容与实际相符，目标合理可行。</w:t>
      </w:r>
    </w:p>
    <w:p w14:paraId="2EAC529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462689B">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按照攀枝花市财政局《关于开展市本级预算绩效自评的通知》（攀财绩〔202</w:t>
      </w:r>
      <w:r>
        <w:rPr>
          <w:rFonts w:hint="eastAsia"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val="zh-CN"/>
        </w:rPr>
        <w:t>号）要求，积极组织开展项目自评工作，通过与项目相关人员座谈或讨论等方法了解项目经费情况，收集相关资料，综合分析相关情况后，对项目决策、项目实施、完成效果、项目效果、社会效益及经济效益等进行评估</w:t>
      </w:r>
      <w:r>
        <w:rPr>
          <w:rFonts w:hint="eastAsia" w:eastAsia="仿宋_GB2312" w:cs="Times New Roman"/>
          <w:sz w:val="32"/>
          <w:szCs w:val="32"/>
          <w:lang w:val="zh-CN"/>
        </w:rPr>
        <w:t>。</w:t>
      </w:r>
    </w:p>
    <w:p w14:paraId="5BB757B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66CBC05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4121030A">
      <w:pPr>
        <w:adjustRightInd w:val="0"/>
        <w:snapToGrid w:val="0"/>
        <w:spacing w:line="600" w:lineRule="exact"/>
        <w:ind w:firstLine="720"/>
        <w:rPr>
          <w:rFonts w:hint="eastAsia" w:ascii="Times New Roman" w:hAnsi="Times New Roman" w:eastAsia="仿宋_GB2312" w:cs="Times New Roman"/>
          <w:color w:val="auto"/>
          <w:sz w:val="32"/>
          <w:szCs w:val="32"/>
          <w:lang w:val="zh-CN"/>
        </w:rPr>
      </w:pPr>
      <w:r>
        <w:rPr>
          <w:rFonts w:hint="eastAsia" w:ascii="Times New Roman" w:hAnsi="Times New Roman" w:eastAsia="仿宋_GB2312" w:cs="Times New Roman"/>
          <w:color w:val="auto"/>
          <w:sz w:val="32"/>
          <w:szCs w:val="32"/>
          <w:lang w:val="en-US" w:eastAsia="zh-CN"/>
        </w:rPr>
        <w:t>项目</w:t>
      </w:r>
      <w:r>
        <w:rPr>
          <w:rFonts w:hint="eastAsia" w:ascii="Times New Roman" w:hAnsi="Times New Roman" w:eastAsia="仿宋_GB2312" w:cs="Times New Roman"/>
          <w:color w:val="auto"/>
          <w:sz w:val="32"/>
          <w:szCs w:val="32"/>
          <w:lang w:val="zh-CN"/>
        </w:rPr>
        <w:t>经费纳入财政预算，</w:t>
      </w:r>
      <w:r>
        <w:rPr>
          <w:rFonts w:hint="eastAsia" w:ascii="Times New Roman" w:hAnsi="Times New Roman" w:eastAsia="仿宋_GB2312" w:cs="Times New Roman"/>
          <w:color w:val="auto"/>
          <w:sz w:val="32"/>
          <w:szCs w:val="32"/>
          <w:lang w:val="en-US" w:eastAsia="zh-CN"/>
        </w:rPr>
        <w:t>由东区财政上解至市财政</w:t>
      </w:r>
      <w:r>
        <w:rPr>
          <w:rFonts w:hint="eastAsia" w:ascii="Times New Roman" w:hAnsi="Times New Roman" w:eastAsia="仿宋_GB2312" w:cs="Times New Roman"/>
          <w:color w:val="auto"/>
          <w:sz w:val="32"/>
          <w:szCs w:val="32"/>
          <w:lang w:val="zh-CN"/>
        </w:rPr>
        <w:t>。</w:t>
      </w:r>
    </w:p>
    <w:p w14:paraId="562953A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54FC1DC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项目由</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hint="eastAsia" w:ascii="Times New Roman" w:hAnsi="Times New Roman" w:eastAsia="仿宋_GB2312" w:cs="Times New Roman"/>
          <w:sz w:val="32"/>
          <w:szCs w:val="32"/>
          <w:lang w:val="en-US" w:eastAsia="zh-CN"/>
        </w:rPr>
        <w:t>由东区财政资金承担</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w:t>
      </w:r>
    </w:p>
    <w:p w14:paraId="0BC6B1FD">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资金及时到位</w:t>
      </w:r>
      <w:r>
        <w:rPr>
          <w:rFonts w:ascii="Times New Roman" w:hAnsi="Times New Roman" w:eastAsia="仿宋_GB2312" w:cs="Times New Roman"/>
          <w:sz w:val="32"/>
          <w:szCs w:val="32"/>
          <w:lang w:val="zh-CN"/>
        </w:rPr>
        <w:t>。</w:t>
      </w:r>
    </w:p>
    <w:p w14:paraId="605593BD">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资金支付范围、支付标准、支付进度、支付依据合规合法、与预算相符。</w:t>
      </w:r>
    </w:p>
    <w:p w14:paraId="4F5A1AA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7F7A2213">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按照《攀枝花市自然资源和规划局财务管理办法》规定，严格执行财务管理制度，及时财务处理，规范会计核算。</w:t>
      </w:r>
    </w:p>
    <w:p w14:paraId="6243221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0344865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zh-CN"/>
        </w:rPr>
        <w:t>我单位按照</w:t>
      </w:r>
      <w:r>
        <w:rPr>
          <w:rFonts w:hint="eastAsia" w:ascii="Times New Roman" w:hAnsi="Times New Roman" w:eastAsia="仿宋_GB2312" w:cs="Times New Roman"/>
          <w:sz w:val="32"/>
          <w:szCs w:val="32"/>
          <w:lang w:val="en-US" w:eastAsia="zh-CN"/>
        </w:rPr>
        <w:t>严格按照合同约定，根据</w:t>
      </w:r>
      <w:r>
        <w:rPr>
          <w:rFonts w:hint="eastAsia" w:ascii="Times New Roman" w:hAnsi="Times New Roman" w:eastAsia="仿宋_GB2312" w:cs="Times New Roman"/>
          <w:sz w:val="32"/>
          <w:szCs w:val="32"/>
          <w:lang w:val="zh-CN"/>
        </w:rPr>
        <w:t>具体工作开展情况确定</w:t>
      </w:r>
      <w:r>
        <w:rPr>
          <w:rFonts w:hint="eastAsia" w:ascii="Times New Roman" w:hAnsi="Times New Roman" w:eastAsia="仿宋_GB2312" w:cs="Times New Roman"/>
          <w:sz w:val="32"/>
          <w:szCs w:val="32"/>
          <w:lang w:val="en-US" w:eastAsia="zh-CN"/>
        </w:rPr>
        <w:t>支付比例</w:t>
      </w:r>
      <w:r>
        <w:rPr>
          <w:rFonts w:hint="eastAsia" w:ascii="Times New Roman" w:hAnsi="Times New Roman" w:eastAsia="仿宋_GB2312" w:cs="Times New Roman"/>
          <w:sz w:val="32"/>
          <w:szCs w:val="32"/>
          <w:lang w:val="zh-CN"/>
        </w:rPr>
        <w:t>，根据</w:t>
      </w:r>
      <w:r>
        <w:rPr>
          <w:rFonts w:hint="eastAsia" w:ascii="Times New Roman" w:hAnsi="Times New Roman" w:eastAsia="仿宋_GB2312" w:cs="Times New Roman"/>
          <w:sz w:val="32"/>
          <w:szCs w:val="32"/>
          <w:lang w:val="en-US" w:eastAsia="zh-CN"/>
        </w:rPr>
        <w:t>项目实际工作</w:t>
      </w:r>
      <w:r>
        <w:rPr>
          <w:rFonts w:hint="eastAsia" w:ascii="Times New Roman" w:hAnsi="Times New Roman" w:eastAsia="仿宋_GB2312" w:cs="Times New Roman"/>
          <w:sz w:val="32"/>
          <w:szCs w:val="32"/>
          <w:lang w:val="zh-CN"/>
        </w:rPr>
        <w:t>进度向财政申请相应资金</w:t>
      </w:r>
      <w:r>
        <w:rPr>
          <w:rFonts w:hint="eastAsia" w:ascii="Times New Roman" w:hAnsi="Times New Roman" w:eastAsia="仿宋_GB2312" w:cs="Times New Roman"/>
          <w:sz w:val="32"/>
          <w:szCs w:val="32"/>
          <w:lang w:val="en-US" w:eastAsia="zh-CN"/>
        </w:rPr>
        <w:t>进行</w:t>
      </w:r>
      <w:r>
        <w:rPr>
          <w:rFonts w:hint="eastAsia" w:ascii="Times New Roman" w:hAnsi="Times New Roman" w:eastAsia="仿宋_GB2312" w:cs="Times New Roman"/>
          <w:sz w:val="32"/>
          <w:szCs w:val="32"/>
          <w:lang w:val="zh-CN"/>
        </w:rPr>
        <w:t>支付。</w:t>
      </w:r>
    </w:p>
    <w:p w14:paraId="25FF116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详规科严格按照</w:t>
      </w:r>
      <w:r>
        <w:rPr>
          <w:rFonts w:hint="eastAsia" w:ascii="Times New Roman" w:hAnsi="Times New Roman" w:eastAsia="仿宋_GB2312" w:cs="Times New Roman"/>
          <w:sz w:val="32"/>
          <w:szCs w:val="32"/>
          <w:lang w:val="zh-CN" w:eastAsia="zh-CN"/>
        </w:rPr>
        <w:t>相</w:t>
      </w:r>
      <w:r>
        <w:rPr>
          <w:rFonts w:ascii="Times New Roman" w:hAnsi="Times New Roman" w:eastAsia="仿宋_GB2312" w:cs="Times New Roman"/>
          <w:sz w:val="32"/>
          <w:szCs w:val="32"/>
          <w:lang w:val="zh-CN"/>
        </w:rPr>
        <w:t>关法律法规</w:t>
      </w:r>
      <w:r>
        <w:rPr>
          <w:rFonts w:hint="eastAsia" w:ascii="Times New Roman" w:hAnsi="Times New Roman" w:eastAsia="仿宋_GB2312" w:cs="Times New Roman"/>
          <w:sz w:val="32"/>
          <w:szCs w:val="32"/>
          <w:lang w:val="en-US" w:eastAsia="zh-CN"/>
        </w:rPr>
        <w:t>开展</w:t>
      </w:r>
      <w:r>
        <w:rPr>
          <w:rFonts w:ascii="Times New Roman" w:hAnsi="Times New Roman" w:eastAsia="仿宋_GB2312" w:cs="Times New Roman"/>
          <w:sz w:val="32"/>
          <w:szCs w:val="32"/>
          <w:lang w:val="zh-CN"/>
        </w:rPr>
        <w:t>招投标、政府采购、项目公示制等相关规定。</w:t>
      </w:r>
    </w:p>
    <w:p w14:paraId="6AFE23D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主管部门建立了全流程、多维度的项目监管体系，确保项目实施规范、成果达标。</w:t>
      </w:r>
      <w:r>
        <w:rPr>
          <w:rFonts w:hint="eastAsia" w:ascii="Times New Roman" w:hAnsi="Times New Roman" w:eastAsia="仿宋_GB2312" w:cs="Times New Roman"/>
          <w:sz w:val="32"/>
          <w:szCs w:val="32"/>
          <w:lang w:val="en-US" w:eastAsia="zh-CN"/>
        </w:rPr>
        <w:t>采用专家技术审查、公示、广泛征求意见、市规委会审议等程序对项目成果质量进行监督把控</w:t>
      </w:r>
      <w:r>
        <w:rPr>
          <w:rFonts w:ascii="Times New Roman" w:hAnsi="Times New Roman" w:eastAsia="仿宋_GB2312" w:cs="Times New Roman"/>
          <w:sz w:val="32"/>
          <w:szCs w:val="32"/>
          <w:lang w:val="zh-CN"/>
        </w:rPr>
        <w:t>。</w:t>
      </w:r>
    </w:p>
    <w:p w14:paraId="614DA52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594C4FC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3B9DD052">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2025年，设计单位已编制完成《攀枝花市炳草岗片区（炳草岗一单元）国土空间详细规划》初步成果并通过专家评审、市规委会办公室会审议、公示征求意见等程序，目前需将望江大梯道片区城市设计成果纳入详细规划后，提请市规委会审议。</w:t>
      </w:r>
    </w:p>
    <w:p w14:paraId="3803806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60073AB3">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合理优化城市空间布局及功能结构，统筹推动城市更新、棚改土地利用、完整居住社区建设、基础设施完善等工作，提升存量土地节约集约利用水平和空间整体价值、社会经济发展</w:t>
      </w:r>
      <w:r>
        <w:rPr>
          <w:rFonts w:ascii="Times New Roman" w:hAnsi="Times New Roman" w:eastAsia="仿宋_GB2312" w:cs="Times New Roman"/>
          <w:sz w:val="32"/>
          <w:szCs w:val="32"/>
          <w:lang w:val="zh-CN"/>
        </w:rPr>
        <w:t>。</w:t>
      </w:r>
    </w:p>
    <w:p w14:paraId="4331827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3E8816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693EEC20">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经评价，该项目预算合理，资金管理</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zh-CN"/>
        </w:rPr>
        <w:t>资金使用总体规范，</w:t>
      </w:r>
      <w:r>
        <w:rPr>
          <w:rFonts w:hint="eastAsia" w:ascii="Times New Roman" w:hAnsi="Times New Roman" w:eastAsia="仿宋_GB2312" w:cs="Times New Roman"/>
          <w:sz w:val="32"/>
          <w:szCs w:val="32"/>
          <w:lang w:val="en-US" w:eastAsia="zh-CN"/>
        </w:rPr>
        <w:t>项目进展正常</w:t>
      </w:r>
      <w:r>
        <w:rPr>
          <w:rFonts w:hint="eastAsia" w:ascii="Times New Roman" w:hAnsi="Times New Roman" w:eastAsia="仿宋_GB2312" w:cs="Times New Roman"/>
          <w:sz w:val="32"/>
          <w:szCs w:val="32"/>
          <w:lang w:val="zh-CN"/>
        </w:rPr>
        <w:t>，达到预期目标。</w:t>
      </w:r>
    </w:p>
    <w:p w14:paraId="438D2E1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4987DBD1">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3882DDD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7CA4DEFF">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无</w:t>
      </w:r>
      <w:r>
        <w:rPr>
          <w:rFonts w:ascii="Times New Roman" w:hAnsi="Times New Roman" w:eastAsia="仿宋_GB2312" w:cs="Times New Roman"/>
          <w:sz w:val="32"/>
          <w:szCs w:val="32"/>
          <w:lang w:val="zh-CN"/>
        </w:rPr>
        <w:t>。</w:t>
      </w:r>
    </w:p>
    <w:p w14:paraId="0251A111">
      <w:pPr>
        <w:rPr>
          <w:rFonts w:ascii="Times New Roman" w:hAnsi="Times New Roman" w:eastAsia="仿宋_GB2312" w:cs="Times New Roman"/>
          <w:sz w:val="32"/>
          <w:szCs w:val="32"/>
        </w:rPr>
      </w:pPr>
    </w:p>
    <w:p w14:paraId="50340301">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750527CC">
      <w:pPr>
        <w:widowControl/>
        <w:jc w:val="center"/>
        <w:outlineLvl w:val="0"/>
        <w:rPr>
          <w:rFonts w:hint="eastAsia" w:ascii="Times New Roman" w:hAnsi="Times New Roman" w:eastAsia="黑体"/>
          <w:color w:val="auto"/>
          <w:sz w:val="44"/>
          <w:szCs w:val="44"/>
          <w:highlight w:val="none"/>
        </w:rPr>
      </w:pPr>
    </w:p>
    <w:p w14:paraId="5A0BDC42">
      <w:pPr>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33A3F111">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en-US" w:eastAsia="zh-CN" w:bidi="ar-SA"/>
        </w:rPr>
        <w:t>《攀枝花市格里坪工业园区（格里坪单元、龙洞单元）详细规划》修编项目</w:t>
      </w:r>
      <w:r>
        <w:rPr>
          <w:rFonts w:ascii="Times New Roman" w:hAnsi="Times New Roman" w:eastAsia="仿宋_GB2312" w:cs="Times New Roman"/>
          <w:color w:val="auto"/>
          <w:kern w:val="2"/>
          <w:sz w:val="32"/>
          <w:szCs w:val="32"/>
          <w:lang w:val="zh-CN" w:eastAsia="zh-CN" w:bidi="ar-SA"/>
        </w:rPr>
        <w:t>）</w:t>
      </w:r>
    </w:p>
    <w:p w14:paraId="543A67E4">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7AC9481D">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4C146AD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55D73626">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仿宋_GB2312" w:cs="Times New Roman"/>
          <w:b w:val="0"/>
          <w:bCs w:val="0"/>
          <w:sz w:val="32"/>
          <w:szCs w:val="32"/>
          <w:lang w:val="zh-CN"/>
        </w:rPr>
        <w:t>1.</w:t>
      </w:r>
      <w:r>
        <w:rPr>
          <w:rFonts w:ascii="Times New Roman" w:hAnsi="Times New Roman" w:eastAsia="仿宋_GB2312" w:cs="Times New Roman"/>
          <w:b w:val="0"/>
          <w:bCs w:val="0"/>
          <w:sz w:val="32"/>
          <w:szCs w:val="32"/>
          <w:lang w:val="zh-CN"/>
        </w:rPr>
        <w:t>项目主管部门（单位）在该项目管理中的职能。</w:t>
      </w:r>
      <w:r>
        <w:rPr>
          <w:rFonts w:hint="eastAsia" w:ascii="Times New Roman" w:hAnsi="Times New Roman" w:eastAsia="仿宋_GB2312" w:cs="Times New Roman"/>
          <w:sz w:val="32"/>
          <w:szCs w:val="32"/>
          <w:lang w:val="en-US" w:eastAsia="zh-CN"/>
        </w:rPr>
        <w:t>按照三定方案，详细规划管理科负责组织中心城区范围内控制性详细规划编制、审查、报批、调整、实施评估及数据成果管理等工作。</w:t>
      </w:r>
    </w:p>
    <w:p w14:paraId="145054FF">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b w:val="0"/>
          <w:bCs w:val="0"/>
          <w:sz w:val="32"/>
          <w:szCs w:val="32"/>
          <w:lang w:val="zh-CN"/>
        </w:rPr>
        <w:t>2. 项目立项、资金申报的依据。</w:t>
      </w:r>
      <w:r>
        <w:rPr>
          <w:rFonts w:hint="eastAsia" w:ascii="仿宋_GB2312" w:hAnsi="宋体" w:eastAsia="仿宋_GB2312" w:cs="仿宋_GB2312"/>
          <w:b w:val="0"/>
          <w:bCs w:val="0"/>
          <w:kern w:val="0"/>
          <w:sz w:val="32"/>
          <w:szCs w:val="32"/>
          <w:lang w:val="en-US" w:eastAsia="zh-CN" w:bidi="ar"/>
        </w:rPr>
        <w:t>按</w:t>
      </w:r>
      <w:r>
        <w:rPr>
          <w:rFonts w:hint="eastAsia" w:ascii="仿宋_GB2312" w:hAnsi="宋体" w:eastAsia="仿宋_GB2312" w:cs="仿宋_GB2312"/>
          <w:kern w:val="0"/>
          <w:sz w:val="32"/>
          <w:szCs w:val="32"/>
          <w:lang w:val="en-US" w:eastAsia="zh-CN" w:bidi="ar"/>
        </w:rPr>
        <w:t>照《中华人民共和国城乡规划法》《四川省城乡规划条例》《四川省城市控制性详细规划管理办法》等相关规定，“城市人民政府城乡规划主管部门根据城市总体规划的要求，组织编制城市的控制性详细规划……”，因此，详细规划的修编依法由市自然资源和规划局组织开展。同时。按照《中共中央 国务院关于建立国土空间规划体系并监督实施的若干意见》和省自然资源厅《关于转发〈自然资源部关于加强国土空间详细规划工作的通知〉的通知》（川自然资发〔2023〕22号）精神，“三区三线”划定后，各地</w:t>
      </w:r>
      <w:r>
        <w:rPr>
          <w:rFonts w:hint="default" w:ascii="仿宋_GB2312" w:hAnsi="宋体" w:eastAsia="仿宋_GB2312" w:cs="仿宋_GB2312"/>
          <w:kern w:val="0"/>
          <w:sz w:val="32"/>
          <w:szCs w:val="32"/>
          <w:lang w:val="en-US" w:eastAsia="zh-CN" w:bidi="ar"/>
        </w:rPr>
        <w:t>要区分紧迫程度、做好计划安排，逐步实现详细规划全覆盖。</w:t>
      </w:r>
    </w:p>
    <w:p w14:paraId="52BBBCF6">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仿宋_GB2312" w:cs="Times New Roman"/>
          <w:b w:val="0"/>
          <w:bCs w:val="0"/>
          <w:sz w:val="32"/>
          <w:szCs w:val="32"/>
          <w:lang w:val="zh-CN"/>
        </w:rPr>
        <w:t>3.</w:t>
      </w:r>
      <w:r>
        <w:rPr>
          <w:rFonts w:ascii="Times New Roman" w:hAnsi="Times New Roman" w:eastAsia="仿宋_GB2312" w:cs="Times New Roman"/>
          <w:b w:val="0"/>
          <w:bCs w:val="0"/>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en-US" w:eastAsia="zh-CN"/>
        </w:rPr>
        <w:t>经中共攀枝花市自然资源和规划局党组2024年第18次（扩大）会议审议，同意开展《攀枝花市格里坪工业园区（格里坪单元、龙洞单元）详细规划》修编工作，编制经费由西区政府保障。</w:t>
      </w:r>
    </w:p>
    <w:p w14:paraId="2AB0B3A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4. 资金分配的原则及考虑因素。</w:t>
      </w:r>
      <w:r>
        <w:rPr>
          <w:rFonts w:hint="eastAsia" w:ascii="Times New Roman" w:hAnsi="Times New Roman" w:eastAsia="仿宋_GB2312" w:cs="Times New Roman"/>
          <w:sz w:val="32"/>
          <w:szCs w:val="32"/>
          <w:lang w:val="zh-CN"/>
        </w:rPr>
        <w:t>资金来源为财政资金，财政资金由</w:t>
      </w:r>
      <w:r>
        <w:rPr>
          <w:rFonts w:hint="eastAsia" w:ascii="Times New Roman" w:hAnsi="Times New Roman" w:eastAsia="仿宋_GB2312" w:cs="Times New Roman"/>
          <w:sz w:val="32"/>
          <w:szCs w:val="32"/>
          <w:lang w:val="en-US" w:eastAsia="zh-CN"/>
        </w:rPr>
        <w:t>西区</w:t>
      </w:r>
      <w:r>
        <w:rPr>
          <w:rFonts w:hint="eastAsia" w:ascii="Times New Roman" w:hAnsi="Times New Roman" w:eastAsia="仿宋_GB2312" w:cs="Times New Roman"/>
          <w:sz w:val="32"/>
          <w:szCs w:val="32"/>
          <w:lang w:val="zh-CN"/>
        </w:rPr>
        <w:t>财政资金承担。</w:t>
      </w:r>
    </w:p>
    <w:p w14:paraId="6FE4826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21293C12">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根据攀枝花格里坪化工园区总体规划及格里坪园区产业发展方向、空间布局发生的重大调整，按照《四川省城市控制性详细规划管理办法》第二十二条“城市总体规划或分区规划发生变更，对控制性详细规划控制区域的功能与布局产生重大影响的，规定要求需开展控制性详细规划修编工作”以及省详细规划编制的工作要求，在全面推进国土空间规划的背景下，市自然资源和规划局、西区人民政府拟联合委托设计单位开展《攀枝花市格里坪工业园区（格里坪单元、龙洞单元）详细规划》编制工作</w:t>
      </w:r>
      <w:r>
        <w:rPr>
          <w:rFonts w:hint="eastAsia" w:eastAsia="仿宋_GB2312" w:cs="Times New Roman"/>
          <w:sz w:val="32"/>
          <w:szCs w:val="32"/>
          <w:lang w:val="zh-CN"/>
        </w:rPr>
        <w:t>。</w:t>
      </w:r>
    </w:p>
    <w:p w14:paraId="5AD99B4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申报内容与实际相符，目标合理可行。</w:t>
      </w:r>
    </w:p>
    <w:p w14:paraId="1D65753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21DF1355">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按照攀枝花市财政局《关于开展市本级预算绩效自评的通知》（攀财绩〔202</w:t>
      </w:r>
      <w:r>
        <w:rPr>
          <w:rFonts w:hint="eastAsia"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val="zh-CN"/>
        </w:rPr>
        <w:t>号）要求，积极组织开展项目自评工作，通过与项目相关人员座谈或讨论等方法了解项目经费情况，收集相关资料，综合分析相关情况后，对项目决策、项目实施、完成效果、项目效果、社会效益及经济效益等进行评估</w:t>
      </w:r>
      <w:r>
        <w:rPr>
          <w:rFonts w:hint="eastAsia" w:eastAsia="仿宋_GB2312" w:cs="Times New Roman"/>
          <w:sz w:val="32"/>
          <w:szCs w:val="32"/>
          <w:lang w:val="zh-CN"/>
        </w:rPr>
        <w:t>。</w:t>
      </w:r>
    </w:p>
    <w:p w14:paraId="6A128A17">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104D55D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470D559B">
      <w:pPr>
        <w:adjustRightInd w:val="0"/>
        <w:snapToGrid w:val="0"/>
        <w:spacing w:line="600" w:lineRule="exact"/>
        <w:ind w:firstLine="720"/>
        <w:rPr>
          <w:rFonts w:hint="eastAsia" w:ascii="Times New Roman" w:hAnsi="Times New Roman" w:eastAsia="仿宋_GB2312" w:cs="Times New Roman"/>
          <w:color w:val="auto"/>
          <w:sz w:val="32"/>
          <w:szCs w:val="32"/>
          <w:lang w:val="zh-CN"/>
        </w:rPr>
      </w:pPr>
      <w:r>
        <w:rPr>
          <w:rFonts w:hint="eastAsia" w:ascii="Times New Roman" w:hAnsi="Times New Roman" w:eastAsia="仿宋_GB2312" w:cs="Times New Roman"/>
          <w:color w:val="auto"/>
          <w:sz w:val="32"/>
          <w:szCs w:val="32"/>
          <w:lang w:val="en-US" w:eastAsia="zh-CN"/>
        </w:rPr>
        <w:t>项目</w:t>
      </w:r>
      <w:r>
        <w:rPr>
          <w:rFonts w:hint="eastAsia" w:ascii="Times New Roman" w:hAnsi="Times New Roman" w:eastAsia="仿宋_GB2312" w:cs="Times New Roman"/>
          <w:color w:val="auto"/>
          <w:sz w:val="32"/>
          <w:szCs w:val="32"/>
          <w:lang w:val="zh-CN"/>
        </w:rPr>
        <w:t>经费纳入财政预算，</w:t>
      </w:r>
      <w:r>
        <w:rPr>
          <w:rFonts w:hint="eastAsia" w:ascii="Times New Roman" w:hAnsi="Times New Roman" w:eastAsia="仿宋_GB2312" w:cs="Times New Roman"/>
          <w:color w:val="auto"/>
          <w:sz w:val="32"/>
          <w:szCs w:val="32"/>
          <w:lang w:val="en-US" w:eastAsia="zh-CN"/>
        </w:rPr>
        <w:t>由西区财政上解至市财政</w:t>
      </w:r>
      <w:r>
        <w:rPr>
          <w:rFonts w:hint="eastAsia" w:ascii="Times New Roman" w:hAnsi="Times New Roman" w:eastAsia="仿宋_GB2312" w:cs="Times New Roman"/>
          <w:color w:val="auto"/>
          <w:sz w:val="32"/>
          <w:szCs w:val="32"/>
          <w:lang w:val="zh-CN"/>
        </w:rPr>
        <w:t>。</w:t>
      </w:r>
    </w:p>
    <w:p w14:paraId="7368422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776C4C68">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项目由</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hint="eastAsia" w:ascii="Times New Roman" w:hAnsi="Times New Roman" w:eastAsia="仿宋_GB2312" w:cs="Times New Roman"/>
          <w:sz w:val="32"/>
          <w:szCs w:val="32"/>
          <w:lang w:val="en-US" w:eastAsia="zh-CN"/>
        </w:rPr>
        <w:t>由西区财政资金承担</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w:t>
      </w:r>
    </w:p>
    <w:p w14:paraId="3D17BB64">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资金及时到位</w:t>
      </w:r>
      <w:r>
        <w:rPr>
          <w:rFonts w:ascii="Times New Roman" w:hAnsi="Times New Roman" w:eastAsia="仿宋_GB2312" w:cs="Times New Roman"/>
          <w:sz w:val="32"/>
          <w:szCs w:val="32"/>
          <w:lang w:val="zh-CN"/>
        </w:rPr>
        <w:t>。</w:t>
      </w:r>
    </w:p>
    <w:p w14:paraId="5D9C4DCC">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资金支付范围、支付标准、支付进度、支付依据合规合法、与预算相符。</w:t>
      </w:r>
    </w:p>
    <w:p w14:paraId="43EF95B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4F40A43">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按照《攀枝花市自然资源和规划局财务管理办法》规定，严格执行财务管理制度，及时财务处理，规范会计核算。</w:t>
      </w:r>
    </w:p>
    <w:p w14:paraId="5418A526">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44B5E24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zh-CN"/>
        </w:rPr>
        <w:t>我单位按照</w:t>
      </w:r>
      <w:r>
        <w:rPr>
          <w:rFonts w:hint="eastAsia" w:ascii="Times New Roman" w:hAnsi="Times New Roman" w:eastAsia="仿宋_GB2312" w:cs="Times New Roman"/>
          <w:sz w:val="32"/>
          <w:szCs w:val="32"/>
          <w:lang w:val="en-US" w:eastAsia="zh-CN"/>
        </w:rPr>
        <w:t>严格按照合同约定，根据</w:t>
      </w:r>
      <w:r>
        <w:rPr>
          <w:rFonts w:hint="eastAsia" w:ascii="Times New Roman" w:hAnsi="Times New Roman" w:eastAsia="仿宋_GB2312" w:cs="Times New Roman"/>
          <w:sz w:val="32"/>
          <w:szCs w:val="32"/>
          <w:lang w:val="zh-CN"/>
        </w:rPr>
        <w:t>具体工作开展情况确定</w:t>
      </w:r>
      <w:r>
        <w:rPr>
          <w:rFonts w:hint="eastAsia" w:ascii="Times New Roman" w:hAnsi="Times New Roman" w:eastAsia="仿宋_GB2312" w:cs="Times New Roman"/>
          <w:sz w:val="32"/>
          <w:szCs w:val="32"/>
          <w:lang w:val="en-US" w:eastAsia="zh-CN"/>
        </w:rPr>
        <w:t>支付比例</w:t>
      </w:r>
      <w:r>
        <w:rPr>
          <w:rFonts w:hint="eastAsia" w:ascii="Times New Roman" w:hAnsi="Times New Roman" w:eastAsia="仿宋_GB2312" w:cs="Times New Roman"/>
          <w:sz w:val="32"/>
          <w:szCs w:val="32"/>
          <w:lang w:val="zh-CN"/>
        </w:rPr>
        <w:t>，根据</w:t>
      </w:r>
      <w:r>
        <w:rPr>
          <w:rFonts w:hint="eastAsia" w:ascii="Times New Roman" w:hAnsi="Times New Roman" w:eastAsia="仿宋_GB2312" w:cs="Times New Roman"/>
          <w:sz w:val="32"/>
          <w:szCs w:val="32"/>
          <w:lang w:val="en-US" w:eastAsia="zh-CN"/>
        </w:rPr>
        <w:t>项目实际工作</w:t>
      </w:r>
      <w:r>
        <w:rPr>
          <w:rFonts w:hint="eastAsia" w:ascii="Times New Roman" w:hAnsi="Times New Roman" w:eastAsia="仿宋_GB2312" w:cs="Times New Roman"/>
          <w:sz w:val="32"/>
          <w:szCs w:val="32"/>
          <w:lang w:val="zh-CN"/>
        </w:rPr>
        <w:t>进度向财政申请相应资金</w:t>
      </w:r>
      <w:r>
        <w:rPr>
          <w:rFonts w:hint="eastAsia" w:ascii="Times New Roman" w:hAnsi="Times New Roman" w:eastAsia="仿宋_GB2312" w:cs="Times New Roman"/>
          <w:sz w:val="32"/>
          <w:szCs w:val="32"/>
          <w:lang w:val="en-US" w:eastAsia="zh-CN"/>
        </w:rPr>
        <w:t>进行</w:t>
      </w:r>
      <w:r>
        <w:rPr>
          <w:rFonts w:hint="eastAsia" w:ascii="Times New Roman" w:hAnsi="Times New Roman" w:eastAsia="仿宋_GB2312" w:cs="Times New Roman"/>
          <w:sz w:val="32"/>
          <w:szCs w:val="32"/>
          <w:lang w:val="zh-CN"/>
        </w:rPr>
        <w:t>支付。</w:t>
      </w:r>
    </w:p>
    <w:p w14:paraId="3C86FFC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详规科严格按照</w:t>
      </w:r>
      <w:r>
        <w:rPr>
          <w:rFonts w:hint="eastAsia" w:ascii="Times New Roman" w:hAnsi="Times New Roman" w:eastAsia="仿宋_GB2312" w:cs="Times New Roman"/>
          <w:sz w:val="32"/>
          <w:szCs w:val="32"/>
          <w:lang w:val="zh-CN" w:eastAsia="zh-CN"/>
        </w:rPr>
        <w:t>相</w:t>
      </w:r>
      <w:r>
        <w:rPr>
          <w:rFonts w:ascii="Times New Roman" w:hAnsi="Times New Roman" w:eastAsia="仿宋_GB2312" w:cs="Times New Roman"/>
          <w:sz w:val="32"/>
          <w:szCs w:val="32"/>
          <w:lang w:val="zh-CN"/>
        </w:rPr>
        <w:t>关法律法规</w:t>
      </w:r>
      <w:r>
        <w:rPr>
          <w:rFonts w:hint="eastAsia" w:ascii="Times New Roman" w:hAnsi="Times New Roman" w:eastAsia="仿宋_GB2312" w:cs="Times New Roman"/>
          <w:sz w:val="32"/>
          <w:szCs w:val="32"/>
          <w:lang w:val="en-US" w:eastAsia="zh-CN"/>
        </w:rPr>
        <w:t>开展</w:t>
      </w:r>
      <w:r>
        <w:rPr>
          <w:rFonts w:ascii="Times New Roman" w:hAnsi="Times New Roman" w:eastAsia="仿宋_GB2312" w:cs="Times New Roman"/>
          <w:sz w:val="32"/>
          <w:szCs w:val="32"/>
          <w:lang w:val="zh-CN"/>
        </w:rPr>
        <w:t>招投标、政府采购、项目公示制等相关规定。</w:t>
      </w:r>
    </w:p>
    <w:p w14:paraId="4494E7A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主管部门建立了全流程、多维度的项目监管体系，确保项目实施规范、成果达标。</w:t>
      </w:r>
      <w:r>
        <w:rPr>
          <w:rFonts w:hint="eastAsia" w:ascii="Times New Roman" w:hAnsi="Times New Roman" w:eastAsia="仿宋_GB2312" w:cs="Times New Roman"/>
          <w:sz w:val="32"/>
          <w:szCs w:val="32"/>
          <w:lang w:val="en-US" w:eastAsia="zh-CN"/>
        </w:rPr>
        <w:t>采用专家技术审查、公示、广泛征求意见、市规委会审议等程序对项目成果进行监督把控</w:t>
      </w:r>
      <w:r>
        <w:rPr>
          <w:rFonts w:ascii="Times New Roman" w:hAnsi="Times New Roman" w:eastAsia="仿宋_GB2312" w:cs="Times New Roman"/>
          <w:sz w:val="32"/>
          <w:szCs w:val="32"/>
          <w:lang w:val="zh-CN"/>
        </w:rPr>
        <w:t>。</w:t>
      </w:r>
    </w:p>
    <w:p w14:paraId="4C45235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ECF5D2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3683F598">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2025年，已完成格里坪工业园区</w:t>
      </w:r>
      <w:r>
        <w:rPr>
          <w:rFonts w:hint="eastAsia" w:ascii="Times New Roman" w:hAnsi="Times New Roman" w:eastAsia="仿宋_GB2312" w:cs="Times New Roman"/>
          <w:sz w:val="32"/>
          <w:szCs w:val="32"/>
          <w:lang w:val="en-US" w:eastAsia="zh-CN"/>
        </w:rPr>
        <w:t>原</w:t>
      </w:r>
      <w:r>
        <w:rPr>
          <w:rFonts w:hint="eastAsia" w:ascii="Times New Roman" w:hAnsi="Times New Roman" w:eastAsia="仿宋_GB2312" w:cs="Times New Roman"/>
          <w:sz w:val="32"/>
          <w:szCs w:val="32"/>
          <w:lang w:val="zh-CN"/>
        </w:rPr>
        <w:t>控规评估，正在开展《攀枝花市格里坪工业园区（格里坪单元、龙洞单元）详细规划》编制，</w:t>
      </w:r>
      <w:r>
        <w:rPr>
          <w:rFonts w:hint="eastAsia" w:ascii="Times New Roman" w:hAnsi="Times New Roman" w:eastAsia="仿宋_GB2312" w:cs="Times New Roman"/>
          <w:sz w:val="32"/>
          <w:szCs w:val="32"/>
          <w:lang w:val="en-US" w:eastAsia="zh-CN"/>
        </w:rPr>
        <w:t>目前</w:t>
      </w:r>
      <w:r>
        <w:rPr>
          <w:rFonts w:hint="eastAsia" w:ascii="Times New Roman" w:hAnsi="Times New Roman" w:eastAsia="仿宋_GB2312" w:cs="Times New Roman"/>
          <w:sz w:val="32"/>
          <w:szCs w:val="32"/>
          <w:lang w:val="zh-CN"/>
        </w:rPr>
        <w:t>暂未通过专家评审。</w:t>
      </w:r>
    </w:p>
    <w:p w14:paraId="63E9789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423E9F77">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结合格里坪工业园区产业发展方向，明确产业定位，找准空间治理问题短板，明确功能完善和空间优化方向</w:t>
      </w:r>
      <w:r>
        <w:rPr>
          <w:rFonts w:hint="eastAsia" w:eastAsia="仿宋_GB2312" w:cs="Times New Roman"/>
          <w:sz w:val="32"/>
          <w:szCs w:val="32"/>
          <w:lang w:val="zh-CN"/>
        </w:rPr>
        <w:t>，</w:t>
      </w:r>
      <w:r>
        <w:rPr>
          <w:rFonts w:hint="eastAsia" w:ascii="Times New Roman" w:hAnsi="Times New Roman" w:eastAsia="仿宋_GB2312" w:cs="Times New Roman"/>
          <w:sz w:val="32"/>
          <w:szCs w:val="32"/>
          <w:lang w:val="zh-CN"/>
        </w:rPr>
        <w:t>按照合理集聚和节约集约的原则，合理优化产业空间布局及规模。</w:t>
      </w:r>
    </w:p>
    <w:p w14:paraId="683EC47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28F197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756ED52C">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经评价，该项目预算合理，资金管理</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zh-CN"/>
        </w:rPr>
        <w:t>资金使用总体规范，</w:t>
      </w:r>
      <w:r>
        <w:rPr>
          <w:rFonts w:hint="eastAsia" w:ascii="Times New Roman" w:hAnsi="Times New Roman" w:eastAsia="仿宋_GB2312" w:cs="Times New Roman"/>
          <w:sz w:val="32"/>
          <w:szCs w:val="32"/>
          <w:lang w:val="en-US" w:eastAsia="zh-CN"/>
        </w:rPr>
        <w:t>项目进展正常</w:t>
      </w:r>
      <w:r>
        <w:rPr>
          <w:rFonts w:hint="eastAsia" w:ascii="Times New Roman" w:hAnsi="Times New Roman" w:eastAsia="仿宋_GB2312" w:cs="Times New Roman"/>
          <w:sz w:val="32"/>
          <w:szCs w:val="32"/>
          <w:lang w:val="zh-CN"/>
        </w:rPr>
        <w:t>，达到预期目标。</w:t>
      </w:r>
    </w:p>
    <w:p w14:paraId="33EDCF7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705E5AB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1480427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F317B04">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无</w:t>
      </w:r>
      <w:r>
        <w:rPr>
          <w:rFonts w:ascii="Times New Roman" w:hAnsi="Times New Roman" w:eastAsia="仿宋_GB2312" w:cs="Times New Roman"/>
          <w:sz w:val="32"/>
          <w:szCs w:val="32"/>
          <w:lang w:val="zh-CN"/>
        </w:rPr>
        <w:t>。</w:t>
      </w:r>
    </w:p>
    <w:p w14:paraId="37738F8D">
      <w:pPr>
        <w:rPr>
          <w:rFonts w:ascii="Times New Roman" w:hAnsi="Times New Roman" w:eastAsia="仿宋_GB2312" w:cs="Times New Roman"/>
          <w:sz w:val="32"/>
          <w:szCs w:val="32"/>
        </w:rPr>
      </w:pPr>
    </w:p>
    <w:p w14:paraId="7F83D14E">
      <w:pPr>
        <w:rPr>
          <w:rFonts w:hint="eastAsia" w:ascii="Times New Roman" w:hAnsi="Times New Roman" w:eastAsia="黑体"/>
          <w:color w:val="auto"/>
          <w:sz w:val="44"/>
          <w:szCs w:val="44"/>
          <w:highlight w:val="none"/>
        </w:rPr>
      </w:pPr>
    </w:p>
    <w:p w14:paraId="48C26F54">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47AC9E5D">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0F233D43">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zh-CN" w:eastAsia="zh-CN" w:bidi="ar-SA"/>
        </w:rPr>
        <w:t>项目专项预算项目绩效评价报告</w:t>
      </w:r>
    </w:p>
    <w:p w14:paraId="330DB348">
      <w:pPr>
        <w:widowControl w:val="0"/>
        <w:spacing w:line="600" w:lineRule="exact"/>
        <w:ind w:firstLine="883"/>
        <w:jc w:val="center"/>
        <w:rPr>
          <w:rFonts w:hint="eastAsia"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《攀枝花市迤资园区（迤资单元）</w:t>
      </w:r>
    </w:p>
    <w:p w14:paraId="396839F5">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hint="eastAsia" w:ascii="Times New Roman" w:hAnsi="Times New Roman" w:eastAsia="仿宋_GB2312" w:cs="Times New Roman"/>
          <w:color w:val="auto"/>
          <w:kern w:val="2"/>
          <w:sz w:val="32"/>
          <w:szCs w:val="32"/>
          <w:lang w:val="zh-CN" w:eastAsia="zh-CN" w:bidi="ar-SA"/>
        </w:rPr>
        <w:t>控制性详细规划》修编</w:t>
      </w:r>
      <w:r>
        <w:rPr>
          <w:rFonts w:ascii="Times New Roman" w:hAnsi="Times New Roman" w:eastAsia="仿宋_GB2312" w:cs="Times New Roman"/>
          <w:color w:val="auto"/>
          <w:kern w:val="2"/>
          <w:sz w:val="32"/>
          <w:szCs w:val="32"/>
          <w:lang w:val="zh-CN" w:eastAsia="zh-CN" w:bidi="ar-SA"/>
        </w:rPr>
        <w:t>）</w:t>
      </w:r>
    </w:p>
    <w:p w14:paraId="784E758A">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2CACE5BE">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1BDCB48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58EE2D81">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说明项目主管部门（单位）在该项目管理中的职能。</w:t>
      </w:r>
      <w:r>
        <w:rPr>
          <w:rFonts w:hint="eastAsia" w:ascii="Times New Roman" w:hAnsi="Times New Roman" w:eastAsia="仿宋_GB2312" w:cs="Times New Roman"/>
          <w:sz w:val="32"/>
          <w:szCs w:val="32"/>
          <w:lang w:val="zh-CN"/>
        </w:rPr>
        <w:t>详细规划管理科在2024年度详细规划管理工作中负责组织中心城区范围内控制性详细规划编制、审查、报批、调整、实施评估及数据成果管理等工作。在国土空间规划背景下，按照国家和省对攀枝花提出的新定位和新要求，为全面解决迤资片区所涉及我市化工园区承诺整改事项、节约集约高效用地，优化园区空间布局，保障产业发展及化工园区建设，市自然资源和规划局、仁和区人民政府拟联合委托对《攀枝花市迤资园区（迤资单元）控制性详细规划》进行全面规划修编。</w:t>
      </w:r>
    </w:p>
    <w:p w14:paraId="13343786">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2.</w:t>
      </w:r>
      <w:r>
        <w:rPr>
          <w:rFonts w:ascii="Times New Roman" w:hAnsi="Times New Roman" w:eastAsia="仿宋_GB2312" w:cs="Times New Roman"/>
          <w:sz w:val="32"/>
          <w:szCs w:val="32"/>
          <w:lang w:val="zh-CN"/>
        </w:rPr>
        <w:t>项目立项、资金申报的依据。</w:t>
      </w:r>
      <w:r>
        <w:rPr>
          <w:rFonts w:hint="eastAsia" w:ascii="仿宋_GB2312" w:hAnsi="宋体" w:eastAsia="仿宋_GB2312" w:cs="仿宋_GB2312"/>
          <w:kern w:val="0"/>
          <w:sz w:val="32"/>
          <w:szCs w:val="32"/>
          <w:lang w:val="en-US" w:eastAsia="zh-CN" w:bidi="ar"/>
        </w:rPr>
        <w:t>按照《中华人民共和国城乡规划法》《四川省城乡规划条例》《四川省城市控制性详细规划管理办法》等相关规定，“城市人民政府城乡规划主管部门根据城市总体规划的要求，组织编制城市的控制性详细规划……”，因此，详细规划的修编依法由市自然资源和规划局组织开展。同时。按照《中共中央 国务院关于建立国土空间规划体系并监督实施的若干意见》和省自然资源厅《关于转发〈自然资源部关于加强国土空间详细规划工作的通知〉的通知》（川自然资发〔2023〕22号）精神，“三区三线”划定后，各地</w:t>
      </w:r>
      <w:r>
        <w:rPr>
          <w:rFonts w:hint="default" w:ascii="仿宋_GB2312" w:hAnsi="宋体" w:eastAsia="仿宋_GB2312" w:cs="仿宋_GB2312"/>
          <w:kern w:val="0"/>
          <w:sz w:val="32"/>
          <w:szCs w:val="32"/>
          <w:lang w:val="en-US" w:eastAsia="zh-CN" w:bidi="ar"/>
        </w:rPr>
        <w:t>要区分紧迫程度、做好计划安排，逐步实现详细规划全覆盖。</w:t>
      </w:r>
    </w:p>
    <w:p w14:paraId="7F083C06">
      <w:pPr>
        <w:autoSpaceDE w:val="0"/>
        <w:autoSpaceDN w:val="0"/>
        <w:adjustRightInd w:val="0"/>
        <w:spacing w:line="600" w:lineRule="exact"/>
        <w:ind w:firstLine="640" w:firstLineChars="200"/>
        <w:jc w:val="left"/>
        <w:rPr>
          <w:rFonts w:ascii="Times New Roman" w:hAnsi="Times New Roman" w:eastAsia="仿宋_GB2312" w:cs="Times New Roman"/>
          <w:kern w:val="0"/>
          <w:sz w:val="32"/>
          <w:szCs w:val="32"/>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kern w:val="0"/>
          <w:sz w:val="32"/>
          <w:szCs w:val="32"/>
        </w:rPr>
        <w:t>按照《攀枝花市自然资源和规划局财务管理办法》规定，规范使用资金。</w:t>
      </w:r>
    </w:p>
    <w:p w14:paraId="54FF9BC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4.</w:t>
      </w:r>
      <w:r>
        <w:rPr>
          <w:rFonts w:ascii="Times New Roman" w:hAnsi="Times New Roman" w:eastAsia="仿宋_GB2312" w:cs="Times New Roman"/>
          <w:sz w:val="32"/>
          <w:szCs w:val="32"/>
          <w:lang w:val="zh-CN"/>
        </w:rPr>
        <w:t>资金分配的原则及考虑因素。</w:t>
      </w:r>
      <w:r>
        <w:rPr>
          <w:rFonts w:hint="eastAsia" w:ascii="Times New Roman" w:hAnsi="Times New Roman" w:eastAsia="仿宋_GB2312" w:cs="Times New Roman"/>
          <w:sz w:val="32"/>
          <w:szCs w:val="32"/>
          <w:lang w:val="zh-CN"/>
        </w:rPr>
        <w:t>资金来源为</w:t>
      </w:r>
      <w:r>
        <w:rPr>
          <w:rFonts w:hint="eastAsia" w:eastAsia="仿宋_GB2312" w:cs="Times New Roman"/>
          <w:sz w:val="32"/>
          <w:szCs w:val="32"/>
          <w:lang w:val="zh-CN"/>
        </w:rPr>
        <w:t>财政资金</w:t>
      </w:r>
      <w:r>
        <w:rPr>
          <w:rFonts w:hint="eastAsia" w:ascii="Times New Roman" w:hAnsi="Times New Roman" w:eastAsia="仿宋_GB2312" w:cs="Times New Roman"/>
          <w:sz w:val="32"/>
          <w:szCs w:val="32"/>
          <w:lang w:val="zh-CN"/>
        </w:rPr>
        <w:t>由</w:t>
      </w:r>
      <w:r>
        <w:rPr>
          <w:rFonts w:hint="eastAsia" w:ascii="Times New Roman" w:hAnsi="Times New Roman" w:eastAsia="仿宋_GB2312" w:cs="Times New Roman"/>
          <w:sz w:val="32"/>
          <w:szCs w:val="32"/>
          <w:lang w:val="en-US" w:eastAsia="zh-CN"/>
        </w:rPr>
        <w:t>仁和</w:t>
      </w:r>
      <w:r>
        <w:rPr>
          <w:rFonts w:hint="eastAsia" w:ascii="Times New Roman" w:hAnsi="Times New Roman" w:eastAsia="仿宋_GB2312" w:cs="Times New Roman"/>
          <w:sz w:val="32"/>
          <w:szCs w:val="32"/>
          <w:lang w:val="zh-CN"/>
        </w:rPr>
        <w:t>区财政资金承担。</w:t>
      </w:r>
    </w:p>
    <w:p w14:paraId="445A16B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4605828E">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为全面解决迤资片区所涉及我市化工园区承诺整改事项、节约集约高效用地，优化园区空间布局，保障产业发展及化工园区建设，拟对《迤资控规》进行全面规划修编，规划编制范围为攀枝花市中心城区城镇开发边界内迤资园区（迤资单元）的全部区域，面积约504.6公顷。</w:t>
      </w:r>
    </w:p>
    <w:p w14:paraId="139EEE5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74957285">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工作的通知》（攀财绩〔2025〕3号）要求，积极组织开展项目自评工作，通过与项目相关人员座谈或讨论等方法了解项目经费情况，收集相关资料，综合分析相关情况后，对项目决策、项目实施、完成效果、项目效果、社会效益及经济效益等进行评估。</w:t>
      </w:r>
    </w:p>
    <w:p w14:paraId="60A16CE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10E8AD7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74A55683">
      <w:pPr>
        <w:adjustRightInd w:val="0"/>
        <w:snapToGrid w:val="0"/>
        <w:spacing w:line="600" w:lineRule="exact"/>
        <w:ind w:firstLine="720"/>
        <w:rPr>
          <w:rFonts w:ascii="Times New Roman" w:hAnsi="Times New Roman" w:eastAsia="仿宋_GB2312" w:cs="Times New Roman"/>
          <w:color w:val="auto"/>
          <w:sz w:val="32"/>
          <w:szCs w:val="32"/>
          <w:lang w:val="zh-CN"/>
        </w:rPr>
      </w:pPr>
      <w:r>
        <w:rPr>
          <w:rFonts w:hint="eastAsia" w:ascii="Times New Roman" w:hAnsi="Times New Roman" w:eastAsia="仿宋_GB2312" w:cs="Times New Roman"/>
          <w:color w:val="auto"/>
          <w:sz w:val="32"/>
          <w:szCs w:val="32"/>
          <w:lang w:val="en-US" w:eastAsia="zh-CN"/>
        </w:rPr>
        <w:t>项目</w:t>
      </w:r>
      <w:r>
        <w:rPr>
          <w:rFonts w:hint="eastAsia" w:ascii="Times New Roman" w:hAnsi="Times New Roman" w:eastAsia="仿宋_GB2312" w:cs="Times New Roman"/>
          <w:color w:val="auto"/>
          <w:sz w:val="32"/>
          <w:szCs w:val="32"/>
          <w:lang w:val="zh-CN"/>
        </w:rPr>
        <w:t>经费纳入财政预算，我单位按照申请事项和具体工作开展</w:t>
      </w:r>
      <w:r>
        <w:rPr>
          <w:rFonts w:hint="eastAsia" w:ascii="Times New Roman" w:hAnsi="Times New Roman" w:eastAsia="仿宋_GB2312" w:cs="Times New Roman"/>
          <w:color w:val="auto"/>
          <w:sz w:val="32"/>
          <w:szCs w:val="32"/>
          <w:lang w:val="en-US" w:eastAsia="zh-CN"/>
        </w:rPr>
        <w:t>情况</w:t>
      </w:r>
      <w:r>
        <w:rPr>
          <w:rFonts w:hint="eastAsia" w:ascii="Times New Roman" w:hAnsi="Times New Roman" w:eastAsia="仿宋_GB2312" w:cs="Times New Roman"/>
          <w:color w:val="auto"/>
          <w:sz w:val="32"/>
          <w:szCs w:val="32"/>
          <w:lang w:val="zh-CN"/>
        </w:rPr>
        <w:t>确定，根据使用进度向财政申请相应资金及时支付。</w:t>
      </w:r>
    </w:p>
    <w:p w14:paraId="3B060E4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27CDED6D">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项目由</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hint="eastAsia" w:ascii="Times New Roman" w:hAnsi="Times New Roman" w:eastAsia="仿宋_GB2312" w:cs="Times New Roman"/>
          <w:sz w:val="32"/>
          <w:szCs w:val="32"/>
          <w:lang w:val="en-US" w:eastAsia="zh-CN"/>
        </w:rPr>
        <w:t>由仁和区财政资金承担</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w:t>
      </w:r>
    </w:p>
    <w:p w14:paraId="0FB077C2">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zh-CN"/>
        </w:rPr>
        <w:t>资金到位及时</w:t>
      </w:r>
      <w:r>
        <w:rPr>
          <w:rFonts w:ascii="Times New Roman" w:hAnsi="Times New Roman" w:eastAsia="仿宋_GB2312" w:cs="Times New Roman"/>
          <w:sz w:val="32"/>
          <w:szCs w:val="32"/>
          <w:lang w:val="zh-CN"/>
        </w:rPr>
        <w:t>。</w:t>
      </w:r>
    </w:p>
    <w:p w14:paraId="6D568052">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资金支付范围、支付标准、支付进度、支付依据合规合法、与预算相符。</w:t>
      </w:r>
    </w:p>
    <w:p w14:paraId="3E9CF8A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8260A36">
      <w:pPr>
        <w:adjustRightInd w:val="0"/>
        <w:snapToGrid w:val="0"/>
        <w:spacing w:line="600" w:lineRule="exact"/>
        <w:ind w:firstLine="720"/>
        <w:rPr>
          <w:rFonts w:hint="eastAsia" w:ascii="Times New Roman" w:hAnsi="Times New Roman" w:eastAsia="仿宋_GB2312" w:cs="Times New Roman"/>
          <w:color w:val="auto"/>
          <w:sz w:val="32"/>
          <w:szCs w:val="32"/>
          <w:lang w:val="zh-CN"/>
        </w:rPr>
      </w:pPr>
      <w:r>
        <w:rPr>
          <w:rFonts w:hint="eastAsia" w:ascii="Times New Roman" w:hAnsi="Times New Roman" w:eastAsia="仿宋_GB2312" w:cs="Times New Roman"/>
          <w:color w:val="auto"/>
          <w:sz w:val="32"/>
          <w:szCs w:val="32"/>
          <w:lang w:val="zh-CN"/>
        </w:rPr>
        <w:t>按照《攀枝花市自然资源和规划局财务管理办法》规定，严格执行财务管理制度，及时财务处理，规范会计核算。</w:t>
      </w:r>
    </w:p>
    <w:p w14:paraId="2AE06FA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338A9A8D">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由</w:t>
      </w:r>
      <w:r>
        <w:rPr>
          <w:rFonts w:hint="eastAsia" w:ascii="Times New Roman" w:hAnsi="Times New Roman" w:eastAsia="仿宋_GB2312" w:cs="Times New Roman"/>
          <w:sz w:val="32"/>
          <w:szCs w:val="32"/>
          <w:lang w:val="en-US" w:eastAsia="zh-CN"/>
        </w:rPr>
        <w:t>详细规划管理</w:t>
      </w:r>
      <w:r>
        <w:rPr>
          <w:rFonts w:hint="eastAsia" w:ascii="Times New Roman" w:hAnsi="Times New Roman" w:eastAsia="仿宋_GB2312" w:cs="Times New Roman"/>
          <w:sz w:val="32"/>
          <w:szCs w:val="32"/>
          <w:lang w:val="zh-CN"/>
        </w:rPr>
        <w:t>科负责项目实施，资金支出严格执行相关规章制度，票据真实有效，会计核算规范。</w:t>
      </w:r>
    </w:p>
    <w:p w14:paraId="11118EC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5E8E632">
      <w:pPr>
        <w:adjustRightInd w:val="0"/>
        <w:snapToGrid w:val="0"/>
        <w:spacing w:line="600" w:lineRule="exact"/>
        <w:ind w:firstLine="720"/>
        <w:rPr>
          <w:rFonts w:ascii="Times New Roman" w:hAnsi="Times New Roman" w:eastAsia="楷体_GB2312" w:cs="Times New Roman"/>
          <w:b/>
          <w:color w:val="auto"/>
          <w:sz w:val="32"/>
          <w:szCs w:val="32"/>
          <w:lang w:val="zh-CN"/>
        </w:rPr>
      </w:pPr>
      <w:r>
        <w:rPr>
          <w:rFonts w:ascii="Times New Roman" w:hAnsi="Times New Roman" w:eastAsia="楷体_GB2312" w:cs="Times New Roman"/>
          <w:b/>
          <w:color w:val="auto"/>
          <w:sz w:val="32"/>
          <w:szCs w:val="32"/>
          <w:lang w:val="zh-CN"/>
        </w:rPr>
        <w:t>（一）项目完成情况。</w:t>
      </w:r>
    </w:p>
    <w:p w14:paraId="12709D6F">
      <w:pPr>
        <w:adjustRightInd w:val="0"/>
        <w:snapToGrid w:val="0"/>
        <w:spacing w:line="600" w:lineRule="exact"/>
        <w:ind w:firstLine="720"/>
        <w:rPr>
          <w:rFonts w:hint="eastAsia" w:ascii="Times New Roman" w:hAnsi="Times New Roman" w:eastAsia="仿宋_GB2312" w:cs="Times New Roman"/>
          <w:color w:val="auto"/>
          <w:sz w:val="32"/>
          <w:szCs w:val="32"/>
          <w:lang w:val="zh-CN"/>
        </w:rPr>
      </w:pPr>
      <w:r>
        <w:rPr>
          <w:rFonts w:hint="eastAsia" w:ascii="Times New Roman" w:hAnsi="Times New Roman" w:eastAsia="仿宋_GB2312" w:cs="Times New Roman"/>
          <w:color w:val="auto"/>
          <w:sz w:val="32"/>
          <w:szCs w:val="32"/>
          <w:lang w:val="zh-CN"/>
        </w:rPr>
        <w:t>迤资园区国土空间详细规划已经2025年第2次市委</w:t>
      </w:r>
      <w:r>
        <w:rPr>
          <w:rFonts w:hint="eastAsia" w:eastAsia="仿宋_GB2312" w:cs="Times New Roman"/>
          <w:color w:val="auto"/>
          <w:sz w:val="32"/>
          <w:szCs w:val="32"/>
          <w:lang w:val="zh-CN"/>
        </w:rPr>
        <w:t>会审议</w:t>
      </w:r>
      <w:r>
        <w:rPr>
          <w:rFonts w:hint="eastAsia" w:ascii="Times New Roman" w:hAnsi="Times New Roman" w:eastAsia="仿宋_GB2312" w:cs="Times New Roman"/>
          <w:color w:val="auto"/>
          <w:sz w:val="32"/>
          <w:szCs w:val="32"/>
          <w:lang w:val="zh-CN"/>
        </w:rPr>
        <w:t>通过，目前正在开展数据汇交入库工作。</w:t>
      </w:r>
    </w:p>
    <w:p w14:paraId="444797B9">
      <w:pPr>
        <w:adjustRightInd w:val="0"/>
        <w:snapToGrid w:val="0"/>
        <w:spacing w:line="600" w:lineRule="exact"/>
        <w:ind w:firstLine="720"/>
        <w:rPr>
          <w:rFonts w:ascii="Times New Roman" w:hAnsi="Times New Roman" w:eastAsia="楷体_GB2312" w:cs="Times New Roman"/>
          <w:b/>
          <w:color w:val="auto"/>
          <w:sz w:val="32"/>
          <w:szCs w:val="32"/>
          <w:lang w:val="zh-CN"/>
        </w:rPr>
      </w:pPr>
      <w:r>
        <w:rPr>
          <w:rFonts w:ascii="Times New Roman" w:hAnsi="Times New Roman" w:eastAsia="楷体_GB2312" w:cs="Times New Roman"/>
          <w:b/>
          <w:color w:val="auto"/>
          <w:sz w:val="32"/>
          <w:szCs w:val="32"/>
          <w:lang w:val="zh-CN"/>
        </w:rPr>
        <w:t>（二）项目效益情况。</w:t>
      </w:r>
    </w:p>
    <w:p w14:paraId="061C906C">
      <w:pPr>
        <w:adjustRightInd w:val="0"/>
        <w:snapToGrid w:val="0"/>
        <w:spacing w:line="600" w:lineRule="exact"/>
        <w:ind w:firstLine="720"/>
        <w:rPr>
          <w:rFonts w:hint="eastAsia" w:ascii="Times New Roman" w:hAnsi="Times New Roman" w:eastAsia="仿宋_GB2312" w:cs="Times New Roman"/>
          <w:color w:val="auto"/>
          <w:sz w:val="32"/>
          <w:szCs w:val="32"/>
          <w:lang w:val="zh-CN"/>
        </w:rPr>
      </w:pPr>
      <w:r>
        <w:rPr>
          <w:rFonts w:hint="eastAsia" w:ascii="Times New Roman" w:hAnsi="Times New Roman" w:eastAsia="仿宋_GB2312" w:cs="Times New Roman"/>
          <w:color w:val="auto"/>
          <w:sz w:val="32"/>
          <w:szCs w:val="32"/>
          <w:lang w:val="zh-CN"/>
        </w:rPr>
        <w:t>为城市规划建设和管理提供了依据和指引，落实了总体规划目标要求，衔接相关专项规划空间需求。</w:t>
      </w:r>
    </w:p>
    <w:p w14:paraId="7418EB7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5BEF5BE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072AA31D">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zh-CN"/>
        </w:rPr>
        <w:t>经评价，该项目预算合理，资金管理较好，资金使用总体规范，整体工作发展态势良好，达到预期目标</w:t>
      </w:r>
      <w:r>
        <w:rPr>
          <w:rFonts w:hint="eastAsia" w:eastAsia="仿宋_GB2312" w:cs="Times New Roman"/>
          <w:sz w:val="32"/>
          <w:szCs w:val="32"/>
          <w:lang w:val="zh-CN"/>
        </w:rPr>
        <w:t>。</w:t>
      </w:r>
    </w:p>
    <w:p w14:paraId="5CFCDD7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5D0B0FC2">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0DE6D6F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CBD1953">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无。</w:t>
      </w:r>
    </w:p>
    <w:p w14:paraId="1E61A236">
      <w:pPr>
        <w:rPr>
          <w:rFonts w:ascii="Times New Roman" w:hAnsi="Times New Roman" w:eastAsia="仿宋_GB2312" w:cs="Times New Roman"/>
          <w:sz w:val="32"/>
          <w:szCs w:val="32"/>
        </w:rPr>
      </w:pPr>
    </w:p>
    <w:p w14:paraId="6F2A0BB4">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30B6DBFE">
      <w:pPr>
        <w:spacing w:line="600" w:lineRule="exact"/>
        <w:rPr>
          <w:rFonts w:ascii="Times New Roman" w:hAnsi="Times New Roman" w:eastAsia="方正小标宋简体" w:cs="Times New Roman"/>
          <w:color w:val="auto"/>
          <w:kern w:val="2"/>
          <w:sz w:val="40"/>
          <w:szCs w:val="40"/>
          <w:lang w:val="en-US" w:eastAsia="zh-CN" w:bidi="ar-SA"/>
        </w:rPr>
      </w:pPr>
    </w:p>
    <w:p w14:paraId="62838429">
      <w:pPr>
        <w:widowControl w:val="0"/>
        <w:spacing w:line="600" w:lineRule="exact"/>
        <w:jc w:val="center"/>
        <w:rPr>
          <w:rFonts w:ascii="Times New Roman" w:hAnsi="Times New Roman" w:eastAsia="方正小标宋简体" w:cs="Times New Roman"/>
          <w:color w:val="000000"/>
          <w:kern w:val="0"/>
          <w:sz w:val="40"/>
          <w:szCs w:val="40"/>
          <w:lang w:val="zh-CN" w:eastAsia="zh-CN" w:bidi="ar-SA"/>
        </w:rPr>
      </w:pPr>
      <w:bookmarkStart w:id="108" w:name="OLE_LINK33"/>
      <w:bookmarkStart w:id="109" w:name="OLE_LINK32"/>
      <w:r>
        <w:rPr>
          <w:rFonts w:ascii="Times New Roman" w:hAnsi="??" w:eastAsia="方正小标宋简体" w:cs="Times New Roman"/>
          <w:color w:val="000000"/>
          <w:kern w:val="0"/>
          <w:sz w:val="40"/>
          <w:szCs w:val="40"/>
          <w:lang w:val="zh-CN" w:eastAsia="zh-CN" w:bidi="ar-SA"/>
        </w:rPr>
        <w:t>专项预算项目绩效评价报告</w:t>
      </w:r>
      <w:bookmarkEnd w:id="108"/>
      <w:bookmarkEnd w:id="109"/>
    </w:p>
    <w:p w14:paraId="489BD588">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攀枝花市2025年度国土变更调查和2026年度日常变更</w:t>
      </w:r>
      <w:r>
        <w:rPr>
          <w:rFonts w:ascii="Times New Roman" w:hAnsi="Times New Roman" w:eastAsia="仿宋_GB2312" w:cs="Times New Roman"/>
          <w:color w:val="auto"/>
          <w:kern w:val="2"/>
          <w:sz w:val="32"/>
          <w:szCs w:val="32"/>
          <w:lang w:val="zh-CN" w:eastAsia="zh-CN" w:bidi="ar-SA"/>
        </w:rPr>
        <w:t>）</w:t>
      </w:r>
    </w:p>
    <w:p w14:paraId="670364A3">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415BCF5B">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3E86909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4089C2B3">
      <w:pPr>
        <w:snapToGrid w:val="0"/>
        <w:spacing w:line="600" w:lineRule="exact"/>
        <w:ind w:firstLine="640" w:firstLineChars="200"/>
        <w:rPr>
          <w:rFonts w:ascii="Times New Roman" w:hAnsi="Times New Roman" w:eastAsia="仿宋_GB2312" w:cs="Times New Roman"/>
          <w:sz w:val="32"/>
          <w:szCs w:val="32"/>
          <w:lang w:val="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说明项目主管部门（单位）在该项目管理中的职能。</w:t>
      </w:r>
    </w:p>
    <w:p w14:paraId="1E15F212">
      <w:pPr>
        <w:snapToGrid w:val="0"/>
        <w:spacing w:line="600" w:lineRule="exact"/>
        <w:ind w:firstLine="640" w:firstLineChars="200"/>
        <w:rPr>
          <w:rFonts w:ascii="Times New Roman" w:hAnsi="Times New Roman" w:eastAsia="仿宋_GB2312" w:cs="Times New Roman"/>
          <w:color w:val="000000"/>
          <w:sz w:val="32"/>
          <w:szCs w:val="32"/>
        </w:rPr>
      </w:pPr>
      <w:r>
        <w:rPr>
          <w:rFonts w:hint="eastAsia" w:eastAsia="仿宋_GB2312" w:cs="Times New Roman"/>
          <w:sz w:val="32"/>
          <w:szCs w:val="32"/>
          <w:lang w:eastAsia="zh-CN"/>
        </w:rPr>
        <w:t>项目</w:t>
      </w:r>
      <w:r>
        <w:rPr>
          <w:rFonts w:ascii="Times New Roman" w:hAnsi="Times New Roman" w:eastAsia="仿宋_GB2312" w:cs="Times New Roman"/>
          <w:sz w:val="32"/>
          <w:szCs w:val="32"/>
        </w:rPr>
        <w:t>主要内容是2025年度国土变更调查、2026年度日常变更调查，需要以2024年度变更调查数据为基础建设三维动态监测数据成果数据库，开展数据处理、成果汇总分析和数据共享，定期推送土地利用变化动态、耕地“非农化”和耕地“非粮化”动态，服务支撑自然资源管理“两统一”职责，促进耕地保护和我市自然资源管理水平不断提升。</w:t>
      </w:r>
    </w:p>
    <w:p w14:paraId="0856E67E">
      <w:pPr>
        <w:snapToGrid w:val="0"/>
        <w:spacing w:line="600" w:lineRule="exact"/>
        <w:ind w:firstLine="640" w:firstLineChars="200"/>
        <w:rPr>
          <w:rFonts w:ascii="Times New Roman" w:hAnsi="Times New Roman" w:eastAsia="仿宋_GB2312" w:cs="Times New Roman"/>
          <w:sz w:val="32"/>
          <w:szCs w:val="32"/>
        </w:rPr>
      </w:pPr>
      <w:r>
        <w:rPr>
          <w:rFonts w:hint="eastAsia" w:eastAsia="仿宋_GB2312" w:cs="Times New Roman"/>
          <w:sz w:val="32"/>
          <w:szCs w:val="32"/>
          <w:lang w:val="zh-CN"/>
        </w:rPr>
        <w:t>2.</w:t>
      </w:r>
      <w:r>
        <w:rPr>
          <w:rFonts w:ascii="Times New Roman" w:hAnsi="Times New Roman" w:eastAsia="仿宋_GB2312" w:cs="Times New Roman"/>
          <w:sz w:val="32"/>
          <w:szCs w:val="32"/>
          <w:lang w:val="zh-CN"/>
        </w:rPr>
        <w:t>项目立项、资金申报的依据。</w:t>
      </w:r>
      <w:r>
        <w:rPr>
          <w:rFonts w:ascii="Times New Roman" w:hAnsi="Times New Roman" w:eastAsia="仿宋_GB2312" w:cs="Times New Roman"/>
          <w:sz w:val="32"/>
          <w:szCs w:val="32"/>
        </w:rPr>
        <w:t>根据《中华人民共和国土地管理法》《土地调查条例》</w:t>
      </w:r>
      <w:r>
        <w:rPr>
          <w:rFonts w:ascii="Times New Roman" w:hAnsi="Times New Roman" w:eastAsia="仿宋_GB2312" w:cs="Times New Roman"/>
          <w:snapToGrid w:val="0"/>
          <w:spacing w:val="5"/>
          <w:sz w:val="32"/>
          <w:szCs w:val="32"/>
        </w:rPr>
        <w:t>《四川省自然资源</w:t>
      </w:r>
      <w:r>
        <w:rPr>
          <w:rFonts w:ascii="Times New Roman" w:hAnsi="Times New Roman" w:eastAsia="仿宋_GB2312" w:cs="Times New Roman"/>
          <w:snapToGrid w:val="0"/>
          <w:spacing w:val="12"/>
          <w:sz w:val="32"/>
          <w:szCs w:val="32"/>
        </w:rPr>
        <w:t xml:space="preserve">厅 </w:t>
      </w:r>
      <w:r>
        <w:rPr>
          <w:rFonts w:ascii="Times New Roman" w:hAnsi="Times New Roman" w:eastAsia="仿宋_GB2312" w:cs="Times New Roman"/>
          <w:snapToGrid w:val="0"/>
          <w:spacing w:val="77"/>
          <w:sz w:val="32"/>
          <w:szCs w:val="32"/>
        </w:rPr>
        <w:t>四川省</w:t>
      </w:r>
      <w:r>
        <w:rPr>
          <w:rFonts w:ascii="Times New Roman" w:hAnsi="Times New Roman" w:eastAsia="仿宋_GB2312" w:cs="Times New Roman"/>
          <w:snapToGrid w:val="0"/>
          <w:spacing w:val="12"/>
          <w:sz w:val="32"/>
          <w:szCs w:val="32"/>
        </w:rPr>
        <w:t>林业和草原局关于做好2025年度国</w:t>
      </w:r>
      <w:r>
        <w:rPr>
          <w:rFonts w:ascii="Times New Roman" w:hAnsi="Times New Roman" w:eastAsia="仿宋_GB2312" w:cs="Times New Roman"/>
          <w:snapToGrid w:val="0"/>
          <w:spacing w:val="3"/>
          <w:sz w:val="32"/>
          <w:szCs w:val="32"/>
        </w:rPr>
        <w:t>土变更调查及森林草原湿地荒漠调查监测工</w:t>
      </w:r>
      <w:r>
        <w:rPr>
          <w:rFonts w:ascii="Times New Roman" w:hAnsi="Times New Roman" w:eastAsia="仿宋_GB2312" w:cs="Times New Roman"/>
          <w:snapToGrid w:val="0"/>
          <w:spacing w:val="2"/>
          <w:sz w:val="32"/>
          <w:szCs w:val="32"/>
        </w:rPr>
        <w:t>作的通知》（川自然资</w:t>
      </w:r>
      <w:r>
        <w:rPr>
          <w:rFonts w:ascii="Times New Roman" w:hAnsi="Times New Roman" w:eastAsia="仿宋_GB2312" w:cs="Times New Roman"/>
          <w:snapToGrid w:val="0"/>
          <w:spacing w:val="4"/>
          <w:sz w:val="32"/>
          <w:szCs w:val="32"/>
        </w:rPr>
        <w:t>发〔2025〕23号</w:t>
      </w:r>
      <w:r>
        <w:rPr>
          <w:rFonts w:ascii="Times New Roman" w:hAnsi="Times New Roman" w:eastAsia="仿宋_GB2312" w:cs="Times New Roman"/>
          <w:snapToGrid w:val="0"/>
          <w:spacing w:val="-81"/>
          <w:sz w:val="32"/>
          <w:szCs w:val="32"/>
        </w:rPr>
        <w:t>）</w:t>
      </w:r>
      <w:r>
        <w:rPr>
          <w:rFonts w:ascii="Times New Roman" w:hAnsi="Times New Roman" w:eastAsia="仿宋_GB2312" w:cs="Times New Roman"/>
          <w:sz w:val="32"/>
          <w:szCs w:val="32"/>
        </w:rPr>
        <w:t>等有关通知，我局2025</w:t>
      </w:r>
      <w:r>
        <w:rPr>
          <w:rFonts w:hint="eastAsia" w:eastAsia="仿宋_GB2312" w:cs="Times New Roman"/>
          <w:sz w:val="32"/>
          <w:szCs w:val="32"/>
          <w:lang w:eastAsia="zh-CN"/>
        </w:rPr>
        <w:t>—</w:t>
      </w:r>
      <w:r>
        <w:rPr>
          <w:rFonts w:ascii="Times New Roman" w:hAnsi="Times New Roman" w:eastAsia="仿宋_GB2312" w:cs="Times New Roman"/>
          <w:sz w:val="32"/>
          <w:szCs w:val="32"/>
        </w:rPr>
        <w:t>2026年需要开展2025年度国土变更调查、2026年度日常变更调查等工作。依据《国务院办公厅关于印发自然资源领域中央与地方财政事权和支出责任划分改革方案的通知》（国办发〔2020〕19号）“地方性自然资源调查监测的组织实施，地方性自然资源信息系统的建设与运行维护，地方基础性、公益性、战略性地质调查，地方基础测绘及地理信息管理等事项，确认为地方财政事权，由地方承担支出责任”的规定，由地方承担支出责任。</w:t>
      </w:r>
    </w:p>
    <w:p w14:paraId="2F52208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ascii="Times New Roman" w:hAnsi="Times New Roman" w:eastAsia="仿宋_GB2312" w:cs="Times New Roman"/>
          <w:kern w:val="0"/>
          <w:sz w:val="32"/>
          <w:szCs w:val="32"/>
        </w:rPr>
        <w:t>按照《攀枝花市自然资源和规划局财务管理办法》规定，规范使用资金。</w:t>
      </w:r>
    </w:p>
    <w:p w14:paraId="5873A27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4. 资金分配的原则及考虑因素。资金来源为财政资金。</w:t>
      </w:r>
    </w:p>
    <w:p w14:paraId="779354E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1B520C5B">
      <w:pPr>
        <w:spacing w:line="560" w:lineRule="exact"/>
        <w:ind w:firstLine="652"/>
        <w:rPr>
          <w:rFonts w:ascii="Times New Roman" w:hAnsi="Times New Roman" w:eastAsia="仿宋_GB2312" w:cs="Times New Roman"/>
          <w:sz w:val="32"/>
          <w:szCs w:val="32"/>
        </w:rPr>
      </w:pPr>
      <w:r>
        <w:rPr>
          <w:rFonts w:ascii="Times New Roman" w:hAnsi="Times New Roman" w:eastAsia="仿宋_GB2312" w:cs="Times New Roman"/>
          <w:spacing w:val="5"/>
          <w:sz w:val="32"/>
          <w:szCs w:val="32"/>
        </w:rPr>
        <w:t>按照“统一标准、统一时点、统一平台”要求，优化调</w:t>
      </w:r>
      <w:r>
        <w:rPr>
          <w:rFonts w:ascii="Times New Roman" w:hAnsi="Times New Roman" w:eastAsia="仿宋_GB2312" w:cs="Times New Roman"/>
          <w:spacing w:val="4"/>
          <w:sz w:val="32"/>
          <w:szCs w:val="32"/>
        </w:rPr>
        <w:t>查工</w:t>
      </w:r>
      <w:r>
        <w:rPr>
          <w:rFonts w:ascii="Times New Roman" w:hAnsi="Times New Roman" w:eastAsia="仿宋_GB2312" w:cs="Times New Roman"/>
          <w:spacing w:val="5"/>
          <w:sz w:val="32"/>
          <w:szCs w:val="32"/>
        </w:rPr>
        <w:t>作模式和流程，调整完善耕林园等地类认定标准和属性标注，统</w:t>
      </w:r>
      <w:r>
        <w:rPr>
          <w:rFonts w:ascii="Times New Roman" w:hAnsi="Times New Roman" w:eastAsia="仿宋_GB2312" w:cs="Times New Roman"/>
          <w:spacing w:val="18"/>
          <w:sz w:val="32"/>
          <w:szCs w:val="32"/>
        </w:rPr>
        <w:t>筹各类监测监管及耕林园空间治理“一张图”建设试点</w:t>
      </w:r>
      <w:r>
        <w:rPr>
          <w:rFonts w:ascii="Times New Roman" w:hAnsi="Times New Roman" w:eastAsia="仿宋_GB2312" w:cs="Times New Roman"/>
          <w:spacing w:val="17"/>
          <w:sz w:val="32"/>
          <w:szCs w:val="32"/>
        </w:rPr>
        <w:t>成果，在</w:t>
      </w:r>
      <w:r>
        <w:rPr>
          <w:rFonts w:ascii="Times New Roman" w:hAnsi="Times New Roman" w:eastAsia="仿宋_GB2312" w:cs="Times New Roman"/>
          <w:spacing w:val="12"/>
          <w:sz w:val="32"/>
          <w:szCs w:val="32"/>
        </w:rPr>
        <w:t>2024年度国土变更调查成果和全市森林草原湿地荒漠化普查成</w:t>
      </w:r>
      <w:r>
        <w:rPr>
          <w:rFonts w:ascii="Times New Roman" w:hAnsi="Times New Roman" w:eastAsia="仿宋_GB2312" w:cs="Times New Roman"/>
          <w:spacing w:val="1"/>
          <w:sz w:val="32"/>
          <w:szCs w:val="32"/>
        </w:rPr>
        <w:t>果基础上，按照国家统一标准，以2025年12月31日为标准时</w:t>
      </w:r>
      <w:r>
        <w:rPr>
          <w:rFonts w:ascii="Times New Roman" w:hAnsi="Times New Roman" w:eastAsia="仿宋_GB2312" w:cs="Times New Roman"/>
          <w:spacing w:val="5"/>
          <w:sz w:val="32"/>
          <w:szCs w:val="32"/>
        </w:rPr>
        <w:t>点，协同开展“两项调查”，全面准确掌握年度内国土利用现状和植被覆盖类型等资源属性变化情况，充分反映全市自然资源管理成效，为国土空间规划中期评估、耕地保护和粮食安全责任制考核、林草高质量发展、实施碳达峰碳中和战略、耕地林地园地空间治理“一张图”建设等提供现状基础数据。落实自然资源调查监测体系建设三年行动方案要求，提</w:t>
      </w:r>
      <w:r>
        <w:rPr>
          <w:rFonts w:ascii="Times New Roman" w:hAnsi="Times New Roman" w:eastAsia="仿宋_GB2312" w:cs="Times New Roman"/>
          <w:spacing w:val="7"/>
          <w:sz w:val="32"/>
          <w:szCs w:val="32"/>
        </w:rPr>
        <w:t>升调查监测技术水平，优化完善工作机制，推动建立系统完备、科学规范、运行高效的自然资源调查监测体系。加强自然资源、</w:t>
      </w:r>
      <w:r>
        <w:rPr>
          <w:rFonts w:ascii="Times New Roman" w:hAnsi="Times New Roman" w:eastAsia="仿宋_GB2312" w:cs="Times New Roman"/>
          <w:spacing w:val="5"/>
          <w:sz w:val="32"/>
          <w:szCs w:val="32"/>
        </w:rPr>
        <w:t>林草等部门协同配合，推进调查协同、数据联动，确保地类数据</w:t>
      </w:r>
      <w:r>
        <w:rPr>
          <w:rFonts w:ascii="Times New Roman" w:hAnsi="Times New Roman" w:eastAsia="仿宋_GB2312" w:cs="Times New Roman"/>
          <w:spacing w:val="9"/>
          <w:sz w:val="32"/>
          <w:szCs w:val="32"/>
        </w:rPr>
        <w:t>持续保持一致，更好支撑自然资源与林草管理。</w:t>
      </w:r>
    </w:p>
    <w:p w14:paraId="11F3FE7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42CD852">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按照《攀枝花市财政局关于开展市本级预算绩效自评工作的通知》（攀财绩〔2025〕3号）要求，积极组织开展项目自评工作，通过与项目相关人员座谈或讨论等方法了解项目经费情况，收集相关资料，综合分析相关情况后，对项目决策、项目实施、完成效果、项目效果、社会效益及经济效益等进行评估。</w:t>
      </w:r>
    </w:p>
    <w:p w14:paraId="29DB0D5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1648BE7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06BF509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w:t>
      </w:r>
      <w:r>
        <w:rPr>
          <w:rFonts w:ascii="Times New Roman" w:hAnsi="Times New Roman" w:eastAsia="仿宋_GB2312" w:cs="Times New Roman"/>
          <w:sz w:val="32"/>
          <w:szCs w:val="32"/>
          <w:lang w:val="zh-CN"/>
        </w:rPr>
        <w:t>经费纳入财政预算，我单位按照申请事项和具体工作开展</w:t>
      </w:r>
      <w:r>
        <w:rPr>
          <w:rFonts w:ascii="Times New Roman" w:hAnsi="Times New Roman" w:eastAsia="仿宋_GB2312" w:cs="Times New Roman"/>
          <w:sz w:val="32"/>
          <w:szCs w:val="32"/>
        </w:rPr>
        <w:t>情况</w:t>
      </w:r>
      <w:r>
        <w:rPr>
          <w:rFonts w:ascii="Times New Roman" w:hAnsi="Times New Roman" w:eastAsia="仿宋_GB2312" w:cs="Times New Roman"/>
          <w:sz w:val="32"/>
          <w:szCs w:val="32"/>
          <w:lang w:val="zh-CN"/>
        </w:rPr>
        <w:t>确定，根据使用进度向财政申请相应资金及时支付。</w:t>
      </w:r>
    </w:p>
    <w:p w14:paraId="46F977C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6E6EFC1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1.资金计划。</w:t>
      </w:r>
      <w:r>
        <w:rPr>
          <w:rFonts w:ascii="Times New Roman" w:hAnsi="Times New Roman" w:eastAsia="仿宋_GB2312" w:cs="Times New Roman"/>
          <w:sz w:val="32"/>
          <w:szCs w:val="32"/>
          <w:lang w:val="zh-CN"/>
        </w:rPr>
        <w:t>项目由财政资金保障。</w:t>
      </w:r>
    </w:p>
    <w:p w14:paraId="681157C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2.资金到位。</w:t>
      </w:r>
      <w:r>
        <w:rPr>
          <w:rFonts w:ascii="Times New Roman" w:hAnsi="Times New Roman" w:eastAsia="仿宋_GB2312" w:cs="Times New Roman"/>
          <w:sz w:val="32"/>
          <w:szCs w:val="32"/>
        </w:rPr>
        <w:t>2025年支付项目进度款5万元</w:t>
      </w:r>
      <w:r>
        <w:rPr>
          <w:rFonts w:ascii="Times New Roman" w:hAnsi="Times New Roman" w:eastAsia="仿宋_GB2312" w:cs="Times New Roman"/>
          <w:sz w:val="32"/>
          <w:szCs w:val="32"/>
          <w:lang w:val="zh-CN"/>
        </w:rPr>
        <w:t>。</w:t>
      </w:r>
    </w:p>
    <w:p w14:paraId="1E3857A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3.资金使用。</w:t>
      </w:r>
      <w:r>
        <w:rPr>
          <w:rFonts w:ascii="Times New Roman" w:hAnsi="Times New Roman" w:eastAsia="仿宋_GB2312" w:cs="Times New Roman"/>
          <w:sz w:val="32"/>
          <w:szCs w:val="32"/>
          <w:lang w:val="zh-CN"/>
        </w:rPr>
        <w:t>资金支付范围、支付标准、支付进度、支付依据合规合法、与预算相符。</w:t>
      </w:r>
    </w:p>
    <w:p w14:paraId="75DFCF0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6BD843A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按照《攀枝花市自然资源和规划局财务管理办法》规定，严格执行财务管理制度，及时财务处理，规范会计核算。</w:t>
      </w:r>
    </w:p>
    <w:p w14:paraId="7CF861E3">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1886A2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由</w:t>
      </w:r>
      <w:r>
        <w:rPr>
          <w:rFonts w:ascii="Times New Roman" w:hAnsi="Times New Roman" w:eastAsia="仿宋_GB2312" w:cs="Times New Roman"/>
          <w:sz w:val="32"/>
          <w:szCs w:val="32"/>
        </w:rPr>
        <w:t>调查登记科</w:t>
      </w:r>
      <w:r>
        <w:rPr>
          <w:rFonts w:ascii="Times New Roman" w:hAnsi="Times New Roman" w:eastAsia="仿宋_GB2312" w:cs="Times New Roman"/>
          <w:sz w:val="32"/>
          <w:szCs w:val="32"/>
          <w:lang w:val="zh-CN"/>
        </w:rPr>
        <w:t>负责项目实施，资金支出严格执行相关规章制度，票据真实有效，会计核算规范。</w:t>
      </w:r>
    </w:p>
    <w:p w14:paraId="1F87047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F636FF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39926B9B">
      <w:pPr>
        <w:widowControl w:val="0"/>
        <w:shd w:val="clear" w:color="auto" w:fill="auto"/>
        <w:spacing w:before="0" w:after="0" w:line="580" w:lineRule="exact"/>
        <w:ind w:left="40" w:firstLine="660"/>
        <w:jc w:val="both"/>
        <w:rPr>
          <w:rFonts w:ascii="Times New Roman" w:hAnsi="Times New Roman" w:eastAsia="仿宋_GB2312" w:cs="Times New Roman"/>
          <w:spacing w:val="0"/>
          <w:kern w:val="2"/>
          <w:sz w:val="32"/>
          <w:szCs w:val="32"/>
          <w:lang w:val="en-US" w:eastAsia="zh-CN" w:bidi="ar-SA"/>
        </w:rPr>
      </w:pPr>
      <w:r>
        <w:rPr>
          <w:rFonts w:ascii="Times New Roman" w:hAnsi="Times New Roman" w:eastAsia="仿宋_GB2312" w:cs="Times New Roman"/>
          <w:spacing w:val="0"/>
          <w:kern w:val="2"/>
          <w:sz w:val="32"/>
          <w:szCs w:val="32"/>
          <w:lang w:val="en-US" w:eastAsia="zh-CN" w:bidi="ar-SA"/>
        </w:rPr>
        <w:t>2026年1月，攀枝花市2025年度变更调查成果数据通过省厅核查，同步报部审查。</w:t>
      </w:r>
    </w:p>
    <w:p w14:paraId="01909F4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3B0A58A1">
      <w:pPr>
        <w:widowControl w:val="0"/>
        <w:shd w:val="clear" w:color="auto" w:fill="auto"/>
        <w:spacing w:before="0" w:after="0" w:line="580" w:lineRule="exact"/>
        <w:ind w:left="40" w:firstLine="660"/>
        <w:jc w:val="both"/>
        <w:rPr>
          <w:rFonts w:ascii="Times New Roman" w:hAnsi="Times New Roman" w:eastAsia="仿宋_GB2312" w:cs="Times New Roman"/>
          <w:spacing w:val="0"/>
          <w:kern w:val="2"/>
          <w:sz w:val="32"/>
          <w:szCs w:val="32"/>
          <w:lang w:val="en-US" w:eastAsia="zh-CN" w:bidi="ar-SA"/>
        </w:rPr>
      </w:pPr>
      <w:r>
        <w:rPr>
          <w:rFonts w:ascii="Times New Roman" w:hAnsi="Times New Roman" w:eastAsia="仿宋_GB2312" w:cs="Times New Roman"/>
          <w:spacing w:val="12"/>
          <w:kern w:val="0"/>
          <w:sz w:val="32"/>
          <w:szCs w:val="32"/>
          <w:lang w:val="en-US" w:eastAsia="zh-CN" w:bidi="ar-SA"/>
        </w:rPr>
        <w:t>在2024年度国土变更调查成果和全市森林草原湿地荒漠化普查成</w:t>
      </w:r>
      <w:r>
        <w:rPr>
          <w:rFonts w:ascii="Times New Roman" w:hAnsi="Times New Roman" w:eastAsia="仿宋_GB2312" w:cs="Times New Roman"/>
          <w:spacing w:val="1"/>
          <w:kern w:val="0"/>
          <w:sz w:val="32"/>
          <w:szCs w:val="32"/>
          <w:lang w:val="en-US" w:eastAsia="zh-CN" w:bidi="ar-SA"/>
        </w:rPr>
        <w:t>果基础上，按照国家统一标准</w:t>
      </w:r>
      <w:r>
        <w:rPr>
          <w:rFonts w:ascii="Times New Roman" w:hAnsi="Times New Roman" w:eastAsia="仿宋_GB2312" w:cs="Times New Roman"/>
          <w:spacing w:val="0"/>
          <w:kern w:val="2"/>
          <w:sz w:val="32"/>
          <w:szCs w:val="32"/>
          <w:lang w:val="en-US" w:eastAsia="zh-CN" w:bidi="ar-SA"/>
        </w:rPr>
        <w:t>，全面2025年度国土变更调查工作，通过内外业核查，</w:t>
      </w:r>
      <w:r>
        <w:rPr>
          <w:rFonts w:ascii="Times New Roman" w:hAnsi="Times New Roman" w:eastAsia="仿宋_GB2312" w:cs="Times New Roman"/>
          <w:snapToGrid w:val="0"/>
          <w:spacing w:val="5"/>
          <w:kern w:val="0"/>
          <w:sz w:val="32"/>
          <w:szCs w:val="32"/>
          <w:lang w:val="en-US" w:eastAsia="zh-CN" w:bidi="ar-SA"/>
        </w:rPr>
        <w:t>全面准确掌握年度内国土利用现状和植被覆盖类型等资源属性变化情况，充分反映全市自然资源管理成效</w:t>
      </w:r>
      <w:r>
        <w:rPr>
          <w:rFonts w:ascii="Times New Roman" w:hAnsi="Times New Roman" w:eastAsia="仿宋_GB2312" w:cs="Times New Roman"/>
          <w:spacing w:val="0"/>
          <w:kern w:val="2"/>
          <w:sz w:val="32"/>
          <w:szCs w:val="32"/>
          <w:lang w:val="en-US" w:eastAsia="zh-CN" w:bidi="ar-SA"/>
        </w:rPr>
        <w:t>。</w:t>
      </w:r>
    </w:p>
    <w:p w14:paraId="62BC053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1550313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68F020BB">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bookmarkStart w:id="110" w:name="OLE_LINK24"/>
      <w:bookmarkStart w:id="111" w:name="OLE_LINK25"/>
      <w:r>
        <w:rPr>
          <w:rFonts w:ascii="Times New Roman" w:hAnsi="Times New Roman" w:eastAsia="仿宋_GB2312" w:cs="Times New Roman"/>
          <w:sz w:val="32"/>
          <w:szCs w:val="32"/>
          <w:lang w:val="zh-CN"/>
        </w:rPr>
        <w:t>经评价，该项目预算合理，资金管理较好，资金使用总体规范，整体工作发展态势良好，达到预期目标</w:t>
      </w:r>
      <w:bookmarkEnd w:id="110"/>
      <w:bookmarkEnd w:id="111"/>
      <w:r>
        <w:rPr>
          <w:rFonts w:ascii="Times New Roman" w:hAnsi="Times New Roman" w:eastAsia="仿宋_GB2312" w:cs="Times New Roman"/>
          <w:sz w:val="32"/>
          <w:szCs w:val="32"/>
          <w:lang w:val="zh-CN"/>
        </w:rPr>
        <w:t>。</w:t>
      </w:r>
    </w:p>
    <w:p w14:paraId="64DA820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27A7AEA0">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无。</w:t>
      </w:r>
    </w:p>
    <w:p w14:paraId="0DAE5DC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2A497E1D">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无。</w:t>
      </w:r>
    </w:p>
    <w:p w14:paraId="4DE9AB20">
      <w:pPr>
        <w:rPr>
          <w:rFonts w:ascii="Times New Roman" w:hAnsi="Times New Roman" w:eastAsia="仿宋_GB2312" w:cs="Times New Roman"/>
          <w:sz w:val="32"/>
          <w:szCs w:val="32"/>
        </w:rPr>
      </w:pPr>
    </w:p>
    <w:p w14:paraId="7A1DE2C6">
      <w:pPr>
        <w:widowControl/>
        <w:jc w:val="center"/>
        <w:outlineLvl w:val="0"/>
        <w:rPr>
          <w:rFonts w:hint="eastAsia" w:ascii="Times New Roman" w:hAnsi="Times New Roman" w:eastAsia="黑体"/>
          <w:color w:val="auto"/>
          <w:sz w:val="44"/>
          <w:szCs w:val="44"/>
          <w:highlight w:val="none"/>
        </w:rPr>
      </w:pPr>
    </w:p>
    <w:p w14:paraId="5582C1F3">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669826EE">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7FA6E4D5">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449FE90A">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2025年度攀枝花市中心城区城镇开发边界局部优化调整项目</w:t>
      </w:r>
      <w:r>
        <w:rPr>
          <w:rFonts w:ascii="Times New Roman" w:hAnsi="Times New Roman" w:eastAsia="仿宋_GB2312" w:cs="Times New Roman"/>
          <w:color w:val="auto"/>
          <w:kern w:val="2"/>
          <w:sz w:val="32"/>
          <w:szCs w:val="32"/>
          <w:lang w:val="zh-CN" w:eastAsia="zh-CN" w:bidi="ar-SA"/>
        </w:rPr>
        <w:t>）</w:t>
      </w:r>
    </w:p>
    <w:p w14:paraId="10D2127D">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40C595FD">
      <w:pPr>
        <w:adjustRightInd w:val="0"/>
        <w:snapToGrid w:val="0"/>
        <w:spacing w:line="600" w:lineRule="exact"/>
        <w:ind w:firstLine="720"/>
        <w:rPr>
          <w:rFonts w:eastAsia="黑体"/>
          <w:sz w:val="32"/>
          <w:szCs w:val="32"/>
          <w:lang w:val="zh-CN"/>
        </w:rPr>
      </w:pPr>
      <w:r>
        <w:rPr>
          <w:rFonts w:eastAsia="黑体"/>
          <w:sz w:val="32"/>
          <w:szCs w:val="32"/>
        </w:rPr>
        <w:t>一、</w:t>
      </w:r>
      <w:r>
        <w:rPr>
          <w:rFonts w:eastAsia="黑体"/>
          <w:sz w:val="32"/>
          <w:szCs w:val="32"/>
          <w:lang w:val="zh-CN"/>
        </w:rPr>
        <w:t>项目概况</w:t>
      </w:r>
    </w:p>
    <w:p w14:paraId="6426078D">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（一）项目基本情况。</w:t>
      </w:r>
    </w:p>
    <w:p w14:paraId="423C3157">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1.</w:t>
      </w:r>
      <w:bookmarkStart w:id="112" w:name="OLE_LINK6"/>
      <w:r>
        <w:rPr>
          <w:rFonts w:hint="eastAsia" w:eastAsia="仿宋_GB2312"/>
          <w:sz w:val="32"/>
          <w:szCs w:val="32"/>
          <w:lang w:val="en-US" w:eastAsia="zh-CN"/>
        </w:rPr>
        <w:t>按照部、省工作安排，</w:t>
      </w:r>
      <w:r>
        <w:rPr>
          <w:rFonts w:hint="eastAsia" w:ascii="Times New Roman" w:hAnsi="Times New Roman" w:eastAsia="仿宋_GB2312"/>
          <w:color w:val="auto"/>
          <w:sz w:val="32"/>
          <w:szCs w:val="32"/>
        </w:rPr>
        <w:t>结合</w:t>
      </w:r>
      <w:r>
        <w:rPr>
          <w:rFonts w:hint="eastAsia" w:ascii="Times New Roman" w:hAnsi="Times New Roman" w:eastAsia="仿宋_GB2312"/>
          <w:color w:val="auto"/>
          <w:sz w:val="32"/>
          <w:szCs w:val="32"/>
          <w:lang w:val="en-US" w:eastAsia="zh-CN"/>
        </w:rPr>
        <w:t>自然资源督查下发疑似问题图斑核实情况</w:t>
      </w:r>
      <w:bookmarkEnd w:id="112"/>
      <w:r>
        <w:rPr>
          <w:rFonts w:hint="eastAsia" w:eastAsia="仿宋_GB2312"/>
          <w:color w:val="auto"/>
          <w:sz w:val="32"/>
          <w:szCs w:val="32"/>
          <w:lang w:val="en-US" w:eastAsia="zh-CN"/>
        </w:rPr>
        <w:t>，由</w:t>
      </w:r>
      <w:r>
        <w:rPr>
          <w:rFonts w:hint="eastAsia" w:ascii="Times New Roman" w:hAnsi="Times New Roman" w:eastAsia="仿宋_GB2312"/>
          <w:color w:val="auto"/>
          <w:sz w:val="32"/>
          <w:szCs w:val="32"/>
          <w:lang w:val="en-US" w:eastAsia="zh-CN"/>
        </w:rPr>
        <w:t>市自然资源和规划局牵头组织开展</w:t>
      </w:r>
      <w:r>
        <w:rPr>
          <w:rFonts w:hint="eastAsia" w:ascii="Times New Roman" w:hAnsi="Times New Roman" w:eastAsia="仿宋_GB2312"/>
          <w:color w:val="auto"/>
          <w:sz w:val="32"/>
          <w:szCs w:val="32"/>
        </w:rPr>
        <w:t>《</w:t>
      </w:r>
      <w:r>
        <w:rPr>
          <w:rFonts w:ascii="Times New Roman" w:hAnsi="Times New Roman" w:eastAsia="仿宋_GB2312"/>
          <w:color w:val="auto"/>
          <w:sz w:val="32"/>
          <w:szCs w:val="32"/>
        </w:rPr>
        <w:t>202</w:t>
      </w:r>
      <w:r>
        <w:rPr>
          <w:rFonts w:hint="eastAsia" w:ascii="Times New Roman" w:hAnsi="Times New Roman" w:eastAsia="仿宋_GB2312"/>
          <w:color w:val="auto"/>
          <w:sz w:val="32"/>
          <w:szCs w:val="32"/>
          <w:lang w:val="en-US" w:eastAsia="zh-CN"/>
        </w:rPr>
        <w:t>5</w:t>
      </w:r>
      <w:r>
        <w:rPr>
          <w:rFonts w:ascii="Times New Roman" w:hAnsi="Times New Roman" w:eastAsia="仿宋_GB2312"/>
          <w:color w:val="auto"/>
          <w:sz w:val="32"/>
          <w:szCs w:val="32"/>
        </w:rPr>
        <w:t>年度攀枝花市中心城区城镇开发边界</w:t>
      </w:r>
      <w:r>
        <w:rPr>
          <w:rFonts w:hint="eastAsia" w:ascii="Times New Roman" w:hAnsi="Times New Roman" w:eastAsia="仿宋_GB2312"/>
          <w:color w:val="auto"/>
          <w:sz w:val="32"/>
          <w:szCs w:val="32"/>
        </w:rPr>
        <w:t>第二轮</w:t>
      </w:r>
      <w:r>
        <w:rPr>
          <w:rFonts w:ascii="Times New Roman" w:hAnsi="Times New Roman" w:eastAsia="仿宋_GB2312"/>
          <w:color w:val="auto"/>
          <w:sz w:val="32"/>
          <w:szCs w:val="32"/>
        </w:rPr>
        <w:t>局部优化方案</w:t>
      </w:r>
      <w:r>
        <w:rPr>
          <w:rFonts w:hint="eastAsia" w:ascii="Times New Roman" w:hAnsi="Times New Roman" w:eastAsia="仿宋_GB2312"/>
          <w:color w:val="auto"/>
          <w:sz w:val="32"/>
          <w:szCs w:val="32"/>
        </w:rPr>
        <w:t>》（以下简称《第二轮局部优化方案》）</w:t>
      </w:r>
      <w:r>
        <w:rPr>
          <w:rFonts w:ascii="Times New Roman" w:hAnsi="Times New Roman" w:eastAsia="仿宋_GB2312"/>
          <w:color w:val="auto"/>
          <w:sz w:val="32"/>
          <w:szCs w:val="32"/>
        </w:rPr>
        <w:t>的编制工作</w:t>
      </w:r>
      <w:r>
        <w:rPr>
          <w:rFonts w:hint="eastAsia" w:ascii="Times New Roman" w:hAnsi="Times New Roman" w:eastAsia="仿宋_GB2312"/>
          <w:color w:val="auto"/>
          <w:sz w:val="32"/>
          <w:szCs w:val="32"/>
        </w:rPr>
        <w:t>，并按程序上报审批</w:t>
      </w:r>
      <w:r>
        <w:rPr>
          <w:rFonts w:eastAsia="仿宋_GB2312"/>
          <w:sz w:val="32"/>
          <w:szCs w:val="32"/>
          <w:lang w:val="zh-CN"/>
        </w:rPr>
        <w:t>。</w:t>
      </w:r>
    </w:p>
    <w:p w14:paraId="66FFDD48">
      <w:pPr>
        <w:adjustRightInd w:val="0"/>
        <w:snapToGrid w:val="0"/>
        <w:spacing w:line="600" w:lineRule="exact"/>
        <w:ind w:firstLine="720"/>
        <w:rPr>
          <w:rFonts w:eastAsia="仿宋_GB2312"/>
          <w:sz w:val="32"/>
          <w:szCs w:val="32"/>
          <w:lang w:val="zh-CN"/>
        </w:rPr>
      </w:pPr>
      <w:r>
        <w:rPr>
          <w:rFonts w:eastAsia="仿宋_GB2312"/>
          <w:sz w:val="32"/>
          <w:szCs w:val="32"/>
          <w:lang w:val="zh-CN"/>
        </w:rPr>
        <w:t xml:space="preserve">2. </w:t>
      </w:r>
      <w:r>
        <w:rPr>
          <w:rFonts w:hint="eastAsia" w:ascii="Times New Roman" w:hAnsi="Times New Roman" w:eastAsia="仿宋_GB2312"/>
          <w:color w:val="auto"/>
          <w:sz w:val="32"/>
          <w:szCs w:val="32"/>
        </w:rPr>
        <w:t>按照</w:t>
      </w:r>
      <w:r>
        <w:rPr>
          <w:rFonts w:ascii="Times New Roman" w:hAnsi="Times New Roman" w:eastAsia="仿宋_GB2312"/>
          <w:color w:val="auto"/>
          <w:sz w:val="32"/>
          <w:szCs w:val="32"/>
        </w:rPr>
        <w:t>《自然资源部关于做好城镇开发边界管理的通知（试行）》（自然资发〔2023〕193号）</w:t>
      </w:r>
      <w:r>
        <w:rPr>
          <w:rFonts w:hint="eastAsia" w:ascii="Times New Roman" w:hAnsi="Times New Roman" w:eastAsia="仿宋_GB2312"/>
          <w:color w:val="auto"/>
          <w:sz w:val="32"/>
          <w:szCs w:val="32"/>
        </w:rPr>
        <w:t>、</w:t>
      </w:r>
      <w:r>
        <w:rPr>
          <w:rFonts w:hint="eastAsia" w:ascii="Times New Roman" w:hAnsi="Times New Roman" w:eastAsia="仿宋_GB2312"/>
          <w:color w:val="auto"/>
          <w:sz w:val="32"/>
          <w:szCs w:val="32"/>
          <w:shd w:val="clear" w:color="auto" w:fill="FFFFFF"/>
        </w:rPr>
        <w:t>《四川省自然资源厅关于切实做好城镇开发边界管理的通知（试行）》（川自然资发〔2024〕31号）文件精神</w:t>
      </w:r>
      <w:r>
        <w:rPr>
          <w:rFonts w:hint="eastAsia" w:ascii="Times New Roman" w:hAnsi="Times New Roman" w:eastAsia="仿宋_GB2312"/>
          <w:color w:val="auto"/>
          <w:sz w:val="32"/>
          <w:szCs w:val="32"/>
          <w:shd w:val="clear" w:color="auto" w:fill="FFFFFF"/>
          <w:lang w:val="en-US" w:eastAsia="zh-CN"/>
        </w:rPr>
        <w:t>开展相关工作</w:t>
      </w:r>
      <w:r>
        <w:rPr>
          <w:rFonts w:eastAsia="仿宋_GB2312"/>
          <w:sz w:val="32"/>
          <w:szCs w:val="32"/>
          <w:lang w:val="zh-CN"/>
        </w:rPr>
        <w:t>。</w:t>
      </w:r>
    </w:p>
    <w:p w14:paraId="5BB60C5B">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3.按照《攀枝花市自然资源和规划局财务管理办法》规定，规范使用资金</w:t>
      </w:r>
      <w:r>
        <w:rPr>
          <w:rFonts w:eastAsia="仿宋_GB2312"/>
          <w:sz w:val="32"/>
          <w:szCs w:val="32"/>
          <w:lang w:val="zh-CN"/>
        </w:rPr>
        <w:t>。</w:t>
      </w:r>
    </w:p>
    <w:p w14:paraId="3A820A39">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（二）项目绩效目标。</w:t>
      </w:r>
    </w:p>
    <w:p w14:paraId="14059DB3">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1"/>
        <w:rPr>
          <w:rFonts w:eastAsia="仿宋_GB2312"/>
          <w:sz w:val="32"/>
          <w:szCs w:val="32"/>
          <w:lang w:val="zh-CN"/>
        </w:rPr>
      </w:pPr>
      <w:bookmarkStart w:id="113" w:name="_Toc11463"/>
      <w:r>
        <w:rPr>
          <w:rFonts w:hint="eastAsia" w:ascii="Times New Roman" w:hAnsi="Times New Roman" w:eastAsia="仿宋_GB2312" w:cs="Times New Roman"/>
          <w:color w:val="auto"/>
          <w:sz w:val="32"/>
          <w:szCs w:val="32"/>
        </w:rPr>
        <w:t>经正式征求各区</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管委会</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rPr>
        <w:t>意见，</w:t>
      </w:r>
      <w:bookmarkStart w:id="114" w:name="OLE_LINK3"/>
      <w:bookmarkStart w:id="115" w:name="OLE_LINK5"/>
      <w:bookmarkStart w:id="116" w:name="OLE_LINK4"/>
      <w:r>
        <w:rPr>
          <w:rFonts w:hint="eastAsia" w:ascii="Times New Roman" w:hAnsi="Times New Roman" w:eastAsia="仿宋_GB2312" w:cs="Times New Roman"/>
          <w:color w:val="auto"/>
          <w:sz w:val="32"/>
          <w:szCs w:val="32"/>
          <w:lang w:val="en-US" w:eastAsia="zh-CN"/>
        </w:rPr>
        <w:t>收到需调整面积共计47.20公顷，其中东区2.48公顷，涉及年产1万吨高端钢结构智能制造生产线项目；西区29.86公顷，涉及攀枝花市西区工业园区固废综合利用配套设施建设项目</w:t>
      </w:r>
      <w:r>
        <w:rPr>
          <w:rFonts w:hint="eastAsia" w:eastAsia="仿宋_GB2312" w:cs="Times New Roman"/>
          <w:color w:val="auto"/>
          <w:sz w:val="32"/>
          <w:szCs w:val="32"/>
          <w:lang w:val="en-US" w:eastAsia="zh-CN"/>
        </w:rPr>
        <w:t>和</w:t>
      </w:r>
      <w:r>
        <w:rPr>
          <w:rFonts w:hint="eastAsia" w:ascii="Times New Roman" w:hAnsi="Times New Roman" w:eastAsia="仿宋_GB2312" w:cs="Times New Roman"/>
          <w:color w:val="auto"/>
          <w:sz w:val="32"/>
          <w:szCs w:val="32"/>
          <w:lang w:val="en-US" w:eastAsia="zh-CN"/>
        </w:rPr>
        <w:t>临科技地块和浩海再生石化制品有限责任公司地块；仁和区14.86公顷，涉及</w:t>
      </w:r>
      <w:bookmarkEnd w:id="114"/>
      <w:r>
        <w:rPr>
          <w:rFonts w:hint="eastAsia" w:ascii="Times New Roman" w:hAnsi="Times New Roman" w:eastAsia="仿宋_GB2312" w:cs="Times New Roman"/>
          <w:color w:val="auto"/>
          <w:sz w:val="32"/>
          <w:szCs w:val="32"/>
          <w:lang w:val="en-US" w:eastAsia="zh-CN"/>
        </w:rPr>
        <w:t>兴隆变电站、检察院地块、火车南站站前地块、鼎兴水泥地块等项目</w:t>
      </w:r>
      <w:bookmarkEnd w:id="115"/>
      <w:r>
        <w:rPr>
          <w:rFonts w:hint="eastAsia" w:ascii="Times New Roman" w:hAnsi="Times New Roman" w:eastAsia="仿宋_GB2312" w:cs="Times New Roman"/>
          <w:color w:val="auto"/>
          <w:sz w:val="32"/>
          <w:szCs w:val="32"/>
          <w:lang w:val="en-US" w:eastAsia="zh-CN"/>
        </w:rPr>
        <w:t>。</w:t>
      </w:r>
      <w:bookmarkEnd w:id="116"/>
      <w:r>
        <w:rPr>
          <w:rFonts w:hint="eastAsia" w:ascii="Times New Roman" w:hAnsi="Times New Roman" w:eastAsia="仿宋_GB2312"/>
          <w:color w:val="auto"/>
          <w:sz w:val="32"/>
          <w:szCs w:val="32"/>
        </w:rPr>
        <w:t>《第二轮局部优化方案》将</w:t>
      </w:r>
      <w:r>
        <w:rPr>
          <w:rFonts w:ascii="Times New Roman" w:hAnsi="Times New Roman" w:eastAsia="仿宋_GB2312"/>
          <w:color w:val="auto"/>
          <w:sz w:val="32"/>
          <w:szCs w:val="32"/>
        </w:rPr>
        <w:t>从背景依据、拟调整地块基本情况入手，主要围绕调入调出地块的必要性、合理性、可行性进行分析，确保调入调出地块符合部省城镇开发边界优化调整的政策要求。同时分析调整地块与本级国土空间总体规划符合性</w:t>
      </w:r>
      <w:r>
        <w:rPr>
          <w:rFonts w:hint="eastAsia" w:eastAsia="仿宋_GB2312"/>
          <w:color w:val="auto"/>
          <w:sz w:val="32"/>
          <w:szCs w:val="32"/>
          <w:lang w:eastAsia="zh-CN"/>
        </w:rPr>
        <w:t>、</w:t>
      </w:r>
      <w:r>
        <w:rPr>
          <w:rFonts w:ascii="Times New Roman" w:hAnsi="Times New Roman" w:eastAsia="仿宋_GB2312"/>
          <w:color w:val="auto"/>
          <w:sz w:val="32"/>
          <w:szCs w:val="32"/>
        </w:rPr>
        <w:t>相关土地利用指标影响等，形成</w:t>
      </w:r>
      <w:r>
        <w:rPr>
          <w:rFonts w:hint="eastAsia" w:ascii="Times New Roman" w:hAnsi="Times New Roman" w:eastAsia="仿宋_GB2312"/>
          <w:color w:val="auto"/>
          <w:sz w:val="32"/>
          <w:szCs w:val="32"/>
        </w:rPr>
        <w:t>《</w:t>
      </w:r>
      <w:bookmarkStart w:id="117" w:name="OLE_LINK7"/>
      <w:r>
        <w:rPr>
          <w:rFonts w:hint="eastAsia" w:ascii="Times New Roman" w:hAnsi="Times New Roman" w:eastAsia="仿宋_GB2312"/>
          <w:color w:val="auto"/>
          <w:sz w:val="32"/>
          <w:szCs w:val="32"/>
        </w:rPr>
        <w:t>第二轮局部</w:t>
      </w:r>
      <w:r>
        <w:rPr>
          <w:rFonts w:ascii="Times New Roman" w:hAnsi="Times New Roman" w:eastAsia="仿宋_GB2312"/>
          <w:color w:val="auto"/>
          <w:sz w:val="32"/>
          <w:szCs w:val="32"/>
        </w:rPr>
        <w:t>优化方案</w:t>
      </w:r>
      <w:bookmarkEnd w:id="117"/>
      <w:r>
        <w:rPr>
          <w:rFonts w:hint="eastAsia" w:ascii="Times New Roman" w:hAnsi="Times New Roman" w:eastAsia="仿宋_GB2312"/>
          <w:color w:val="auto"/>
          <w:sz w:val="32"/>
          <w:szCs w:val="32"/>
        </w:rPr>
        <w:t>》</w:t>
      </w:r>
      <w:r>
        <w:rPr>
          <w:rFonts w:ascii="Times New Roman" w:hAnsi="Times New Roman" w:eastAsia="仿宋_GB2312"/>
          <w:color w:val="auto"/>
          <w:sz w:val="32"/>
          <w:szCs w:val="32"/>
        </w:rPr>
        <w:t>最终</w:t>
      </w:r>
      <w:r>
        <w:rPr>
          <w:rFonts w:hint="eastAsia" w:ascii="Times New Roman" w:hAnsi="Times New Roman" w:eastAsia="仿宋_GB2312"/>
          <w:color w:val="auto"/>
          <w:sz w:val="32"/>
          <w:szCs w:val="32"/>
        </w:rPr>
        <w:t>成果后</w:t>
      </w:r>
      <w:r>
        <w:rPr>
          <w:rFonts w:ascii="Times New Roman" w:hAnsi="Times New Roman" w:eastAsia="仿宋_GB2312"/>
          <w:color w:val="auto"/>
          <w:sz w:val="32"/>
          <w:szCs w:val="32"/>
        </w:rPr>
        <w:t>上报</w:t>
      </w:r>
      <w:r>
        <w:rPr>
          <w:rFonts w:hint="eastAsia" w:ascii="Times New Roman" w:hAnsi="Times New Roman" w:eastAsia="仿宋_GB2312"/>
          <w:color w:val="auto"/>
          <w:sz w:val="32"/>
          <w:szCs w:val="32"/>
        </w:rPr>
        <w:t>自然资源厅</w:t>
      </w:r>
      <w:r>
        <w:rPr>
          <w:rFonts w:ascii="Times New Roman" w:hAnsi="Times New Roman" w:eastAsia="仿宋_GB2312"/>
          <w:color w:val="auto"/>
          <w:sz w:val="32"/>
          <w:szCs w:val="32"/>
        </w:rPr>
        <w:t>审查。</w:t>
      </w:r>
      <w:bookmarkEnd w:id="113"/>
    </w:p>
    <w:p w14:paraId="550D67A7">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（三）项目自评步骤及方法。</w:t>
      </w:r>
    </w:p>
    <w:p w14:paraId="5D6DA052">
      <w:pPr>
        <w:adjustRightInd w:val="0"/>
        <w:snapToGrid w:val="0"/>
        <w:spacing w:line="600" w:lineRule="exact"/>
        <w:ind w:firstLine="720"/>
        <w:rPr>
          <w:rFonts w:hint="eastAsia" w:eastAsia="仿宋_GB2312"/>
          <w:sz w:val="32"/>
          <w:szCs w:val="32"/>
          <w:lang w:val="zh-CN"/>
        </w:rPr>
      </w:pPr>
      <w:r>
        <w:rPr>
          <w:rFonts w:hint="eastAsia" w:eastAsia="仿宋_GB2312"/>
          <w:sz w:val="32"/>
          <w:szCs w:val="32"/>
          <w:lang w:val="zh-CN"/>
        </w:rPr>
        <w:t>按照《攀枝花市财政局关于开展市本级预算绩效自评工作的通知》（攀财绩〔2025〕3号）要求，积极组织开展项目自评工作，通过与项目相关人员座谈或讨论等方法了解项目经费情况，收集相关资料，综合分析相关情况后，对项目决策、项目实施、完成效果、项目效果、社会效益及经济效益等进行评估。</w:t>
      </w:r>
    </w:p>
    <w:p w14:paraId="10406A7C">
      <w:pPr>
        <w:adjustRightInd w:val="0"/>
        <w:snapToGrid w:val="0"/>
        <w:spacing w:line="600" w:lineRule="exact"/>
        <w:ind w:firstLine="720"/>
        <w:rPr>
          <w:rFonts w:eastAsia="黑体"/>
          <w:sz w:val="32"/>
          <w:szCs w:val="32"/>
        </w:rPr>
      </w:pPr>
      <w:r>
        <w:rPr>
          <w:rFonts w:eastAsia="黑体"/>
          <w:sz w:val="32"/>
          <w:szCs w:val="32"/>
        </w:rPr>
        <w:t>二、项目资金申报及使用情况</w:t>
      </w:r>
    </w:p>
    <w:p w14:paraId="6C98603D">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（一）项目资金申报及批复情况。</w:t>
      </w:r>
    </w:p>
    <w:p w14:paraId="7D6D8516">
      <w:pPr>
        <w:adjustRightInd w:val="0"/>
        <w:snapToGrid w:val="0"/>
        <w:spacing w:line="600" w:lineRule="exact"/>
        <w:ind w:firstLine="720"/>
        <w:rPr>
          <w:rFonts w:ascii="Times New Roman" w:hAnsi="Times New Roman" w:eastAsia="仿宋_GB2312"/>
          <w:color w:val="auto"/>
          <w:sz w:val="32"/>
          <w:szCs w:val="32"/>
        </w:rPr>
      </w:pPr>
      <w:r>
        <w:rPr>
          <w:rFonts w:hint="eastAsia" w:ascii="Times New Roman" w:hAnsi="Times New Roman" w:eastAsia="仿宋_GB2312"/>
          <w:color w:val="auto"/>
          <w:sz w:val="32"/>
          <w:szCs w:val="32"/>
        </w:rPr>
        <w:t>经与市财政局沟通，建议从年初工作经费安排，与局财务与资金运用科会商后，</w:t>
      </w:r>
      <w:r>
        <w:rPr>
          <w:rFonts w:hint="eastAsia" w:ascii="Times New Roman" w:hAnsi="Times New Roman" w:eastAsia="仿宋_GB2312"/>
          <w:color w:val="auto"/>
          <w:sz w:val="32"/>
          <w:szCs w:val="32"/>
          <w:lang w:val="en-US" w:eastAsia="zh-CN"/>
        </w:rPr>
        <w:t>在</w:t>
      </w:r>
      <w:r>
        <w:rPr>
          <w:rFonts w:ascii="Times New Roman" w:hAnsi="Times New Roman" w:eastAsia="仿宋_GB2312"/>
          <w:color w:val="auto"/>
          <w:sz w:val="32"/>
          <w:szCs w:val="32"/>
        </w:rPr>
        <w:t>市局</w:t>
      </w:r>
      <w:r>
        <w:rPr>
          <w:rFonts w:hint="eastAsia" w:ascii="Times New Roman" w:hAnsi="Times New Roman" w:eastAsia="仿宋_GB2312"/>
          <w:color w:val="auto"/>
          <w:sz w:val="32"/>
          <w:szCs w:val="32"/>
          <w:lang w:val="en-US" w:eastAsia="zh-CN"/>
        </w:rPr>
        <w:t>2025年</w:t>
      </w:r>
      <w:r>
        <w:rPr>
          <w:rFonts w:ascii="Times New Roman" w:hAnsi="Times New Roman" w:eastAsia="仿宋_GB2312"/>
          <w:color w:val="auto"/>
          <w:sz w:val="32"/>
          <w:szCs w:val="32"/>
        </w:rPr>
        <w:t>工作经费预算中统筹支出</w:t>
      </w:r>
      <w:r>
        <w:rPr>
          <w:rFonts w:hint="eastAsia" w:ascii="Times New Roman" w:hAnsi="Times New Roman" w:eastAsia="仿宋_GB2312"/>
          <w:color w:val="auto"/>
          <w:sz w:val="32"/>
          <w:szCs w:val="32"/>
          <w:lang w:val="en-US" w:eastAsia="zh-CN"/>
        </w:rPr>
        <w:t>5万元</w:t>
      </w:r>
      <w:r>
        <w:rPr>
          <w:rFonts w:ascii="Times New Roman" w:hAnsi="Times New Roman" w:eastAsia="仿宋_GB2312"/>
          <w:color w:val="auto"/>
          <w:sz w:val="32"/>
          <w:szCs w:val="32"/>
        </w:rPr>
        <w:t>，国土空间规划管理科根据实际工作开展情况核拨资金。</w:t>
      </w:r>
    </w:p>
    <w:p w14:paraId="5BCBBD0B">
      <w:pPr>
        <w:adjustRightInd w:val="0"/>
        <w:snapToGrid w:val="0"/>
        <w:spacing w:line="600" w:lineRule="exact"/>
        <w:ind w:firstLine="720"/>
        <w:rPr>
          <w:rFonts w:eastAsia="仿宋_GB2312"/>
          <w:sz w:val="32"/>
          <w:szCs w:val="32"/>
          <w:lang w:val="zh-CN"/>
        </w:rPr>
      </w:pPr>
      <w:r>
        <w:rPr>
          <w:rFonts w:eastAsia="楷体_GB2312"/>
          <w:b/>
          <w:sz w:val="32"/>
          <w:szCs w:val="32"/>
          <w:lang w:val="zh-CN"/>
        </w:rPr>
        <w:t>（二）资金计划、到位及使用情况（可用表格形式反映）。</w:t>
      </w:r>
    </w:p>
    <w:p w14:paraId="48AE5793">
      <w:pPr>
        <w:adjustRightInd w:val="0"/>
        <w:snapToGrid w:val="0"/>
        <w:spacing w:line="600" w:lineRule="exact"/>
        <w:ind w:firstLine="720"/>
        <w:rPr>
          <w:rFonts w:eastAsia="仿宋_GB2312"/>
          <w:sz w:val="32"/>
          <w:szCs w:val="32"/>
          <w:lang w:val="zh-CN"/>
        </w:rPr>
      </w:pPr>
      <w:r>
        <w:rPr>
          <w:rFonts w:hint="eastAsia" w:eastAsia="楷体_GB2312"/>
          <w:sz w:val="32"/>
          <w:szCs w:val="32"/>
          <w:lang w:val="zh-CN"/>
        </w:rPr>
        <w:t>1.</w:t>
      </w:r>
      <w:r>
        <w:rPr>
          <w:rFonts w:eastAsia="楷体_GB2312"/>
          <w:sz w:val="32"/>
          <w:szCs w:val="32"/>
          <w:lang w:val="zh-CN"/>
        </w:rPr>
        <w:t>资金计划</w:t>
      </w:r>
      <w:r>
        <w:rPr>
          <w:rFonts w:hint="eastAsia" w:eastAsia="楷体_GB2312"/>
          <w:sz w:val="32"/>
          <w:szCs w:val="32"/>
          <w:lang w:val="zh-CN"/>
        </w:rPr>
        <w:t>。</w:t>
      </w:r>
      <w:r>
        <w:rPr>
          <w:rFonts w:hint="eastAsia" w:eastAsia="仿宋_GB2312"/>
          <w:sz w:val="32"/>
          <w:szCs w:val="32"/>
          <w:lang w:val="zh-CN"/>
        </w:rPr>
        <w:t>项目由</w:t>
      </w:r>
      <w:r>
        <w:rPr>
          <w:rFonts w:hint="eastAsia" w:eastAsia="仿宋_GB2312"/>
          <w:sz w:val="32"/>
          <w:szCs w:val="32"/>
          <w:lang w:val="en-US" w:eastAsia="zh-CN"/>
        </w:rPr>
        <w:t>市级</w:t>
      </w:r>
      <w:r>
        <w:rPr>
          <w:rFonts w:hint="eastAsia" w:eastAsia="仿宋_GB2312"/>
          <w:sz w:val="32"/>
          <w:szCs w:val="32"/>
          <w:lang w:val="zh-CN"/>
        </w:rPr>
        <w:t>财政资金保障。</w:t>
      </w:r>
    </w:p>
    <w:p w14:paraId="41181C3A">
      <w:pPr>
        <w:adjustRightInd w:val="0"/>
        <w:snapToGrid w:val="0"/>
        <w:spacing w:line="600" w:lineRule="exact"/>
        <w:ind w:firstLine="720"/>
        <w:rPr>
          <w:rFonts w:hint="eastAsia" w:eastAsia="仿宋_GB2312"/>
          <w:sz w:val="32"/>
          <w:szCs w:val="32"/>
          <w:lang w:val="en-US" w:eastAsia="zh-CN"/>
        </w:rPr>
      </w:pPr>
      <w:r>
        <w:rPr>
          <w:rFonts w:hint="eastAsia" w:eastAsia="楷体_GB2312"/>
          <w:sz w:val="32"/>
          <w:szCs w:val="32"/>
          <w:lang w:val="zh-CN"/>
        </w:rPr>
        <w:t>2.</w:t>
      </w:r>
      <w:r>
        <w:rPr>
          <w:rFonts w:eastAsia="楷体_GB2312"/>
          <w:sz w:val="32"/>
          <w:szCs w:val="32"/>
          <w:lang w:val="zh-CN"/>
        </w:rPr>
        <w:t>资金到位。</w:t>
      </w:r>
      <w:r>
        <w:rPr>
          <w:rFonts w:hint="eastAsia" w:eastAsia="仿宋_GB2312"/>
          <w:sz w:val="32"/>
          <w:szCs w:val="32"/>
          <w:lang w:val="en-US" w:eastAsia="zh-CN"/>
        </w:rPr>
        <w:t>资金到位及时。</w:t>
      </w:r>
    </w:p>
    <w:p w14:paraId="325AD3B8">
      <w:pPr>
        <w:adjustRightInd w:val="0"/>
        <w:snapToGrid w:val="0"/>
        <w:spacing w:line="600" w:lineRule="exact"/>
        <w:ind w:firstLine="720"/>
        <w:rPr>
          <w:rFonts w:hint="eastAsia" w:eastAsia="仿宋_GB2312"/>
          <w:sz w:val="32"/>
          <w:szCs w:val="32"/>
          <w:lang w:val="zh-CN"/>
        </w:rPr>
      </w:pPr>
      <w:r>
        <w:rPr>
          <w:rFonts w:hint="eastAsia" w:eastAsia="楷体_GB2312"/>
          <w:sz w:val="32"/>
          <w:szCs w:val="32"/>
          <w:lang w:val="zh-CN"/>
        </w:rPr>
        <w:t>3.</w:t>
      </w:r>
      <w:r>
        <w:rPr>
          <w:rFonts w:eastAsia="楷体_GB2312"/>
          <w:sz w:val="32"/>
          <w:szCs w:val="32"/>
          <w:lang w:val="zh-CN"/>
        </w:rPr>
        <w:t>资金使用。</w:t>
      </w:r>
      <w:r>
        <w:rPr>
          <w:rFonts w:hint="eastAsia" w:eastAsia="仿宋_GB2312"/>
          <w:sz w:val="32"/>
          <w:szCs w:val="32"/>
          <w:lang w:val="zh-CN"/>
        </w:rPr>
        <w:t>资金支付范围、支付标准、支付进度、支付依据合规合法、与预算相符。</w:t>
      </w:r>
    </w:p>
    <w:p w14:paraId="74E64B53">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（三）项目财务管理情况。</w:t>
      </w:r>
    </w:p>
    <w:p w14:paraId="57B41786">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按照《攀枝花市自然资源和规划局财务管理办法》规定，严格执行财务管理制度，及时财务处理，规范会计核算。</w:t>
      </w:r>
    </w:p>
    <w:p w14:paraId="29D8FEC2">
      <w:pPr>
        <w:adjustRightInd w:val="0"/>
        <w:snapToGrid w:val="0"/>
        <w:spacing w:line="600" w:lineRule="exact"/>
        <w:ind w:firstLine="720"/>
        <w:rPr>
          <w:rFonts w:eastAsia="黑体"/>
          <w:sz w:val="32"/>
          <w:szCs w:val="32"/>
        </w:rPr>
      </w:pPr>
      <w:r>
        <w:rPr>
          <w:rFonts w:eastAsia="黑体"/>
          <w:sz w:val="32"/>
          <w:szCs w:val="32"/>
        </w:rPr>
        <w:t>三、项目实施及管理情况</w:t>
      </w:r>
    </w:p>
    <w:p w14:paraId="70793BCD">
      <w:pPr>
        <w:adjustRightInd w:val="0"/>
        <w:snapToGrid w:val="0"/>
        <w:spacing w:line="600" w:lineRule="exact"/>
        <w:ind w:firstLine="720"/>
        <w:rPr>
          <w:rFonts w:hint="default" w:eastAsia="仿宋_GB2312"/>
          <w:sz w:val="32"/>
          <w:szCs w:val="32"/>
          <w:lang w:val="en-US" w:eastAsia="zh-CN"/>
        </w:rPr>
      </w:pPr>
      <w:r>
        <w:rPr>
          <w:rFonts w:eastAsia="楷体_GB2312"/>
          <w:b/>
          <w:sz w:val="32"/>
          <w:szCs w:val="32"/>
          <w:lang w:val="zh-CN"/>
        </w:rPr>
        <w:t>（一）项目组织架构及实施流程。</w:t>
      </w:r>
      <w:r>
        <w:rPr>
          <w:rFonts w:hint="eastAsia" w:eastAsia="仿宋_GB2312"/>
          <w:sz w:val="32"/>
          <w:szCs w:val="32"/>
          <w:lang w:val="zh-CN"/>
        </w:rPr>
        <w:t>由</w:t>
      </w:r>
      <w:r>
        <w:rPr>
          <w:rFonts w:hint="eastAsia" w:eastAsia="仿宋_GB2312"/>
          <w:sz w:val="32"/>
          <w:szCs w:val="32"/>
          <w:lang w:val="en-US" w:eastAsia="zh-CN"/>
        </w:rPr>
        <w:t>国土空间规划管理科</w:t>
      </w:r>
      <w:r>
        <w:rPr>
          <w:rFonts w:hint="eastAsia" w:eastAsia="仿宋_GB2312"/>
          <w:sz w:val="32"/>
          <w:szCs w:val="32"/>
          <w:lang w:val="zh-CN"/>
        </w:rPr>
        <w:t>负责项目</w:t>
      </w:r>
      <w:r>
        <w:rPr>
          <w:rFonts w:hint="eastAsia" w:eastAsia="仿宋_GB2312"/>
          <w:sz w:val="32"/>
          <w:szCs w:val="32"/>
          <w:lang w:val="en-US" w:eastAsia="zh-CN"/>
        </w:rPr>
        <w:t>编制管理工作</w:t>
      </w:r>
      <w:r>
        <w:rPr>
          <w:rFonts w:hint="eastAsia" w:eastAsia="仿宋_GB2312"/>
          <w:sz w:val="32"/>
          <w:szCs w:val="32"/>
          <w:lang w:val="zh-CN"/>
        </w:rPr>
        <w:t>，</w:t>
      </w:r>
      <w:r>
        <w:rPr>
          <w:rFonts w:hint="eastAsia" w:eastAsia="仿宋_GB2312"/>
          <w:sz w:val="32"/>
          <w:szCs w:val="32"/>
          <w:lang w:val="en-US" w:eastAsia="zh-CN"/>
        </w:rPr>
        <w:t>并已按程序开展项目采购、方案编制、审查等工作。</w:t>
      </w:r>
    </w:p>
    <w:p w14:paraId="22358DA5">
      <w:pPr>
        <w:adjustRightInd w:val="0"/>
        <w:snapToGrid w:val="0"/>
        <w:spacing w:line="600" w:lineRule="exact"/>
        <w:ind w:firstLine="720"/>
        <w:rPr>
          <w:rFonts w:hint="eastAsia" w:eastAsia="仿宋_GB2312"/>
          <w:sz w:val="32"/>
          <w:szCs w:val="32"/>
          <w:lang w:val="en-US" w:eastAsia="zh-CN"/>
        </w:rPr>
      </w:pPr>
      <w:r>
        <w:rPr>
          <w:rFonts w:eastAsia="楷体_GB2312"/>
          <w:b/>
          <w:sz w:val="32"/>
          <w:szCs w:val="32"/>
          <w:lang w:val="zh-CN"/>
        </w:rPr>
        <w:t>（二）项目管理情况。</w:t>
      </w:r>
      <w:r>
        <w:rPr>
          <w:rFonts w:hint="eastAsia" w:eastAsia="仿宋_GB2312"/>
          <w:sz w:val="32"/>
          <w:szCs w:val="32"/>
          <w:lang w:val="en-US" w:eastAsia="zh-CN"/>
        </w:rPr>
        <w:t>已按</w:t>
      </w:r>
      <w:r>
        <w:rPr>
          <w:rFonts w:ascii="Times New Roman" w:hAnsi="Times New Roman" w:eastAsia="仿宋_GB2312"/>
          <w:color w:val="auto"/>
          <w:sz w:val="32"/>
          <w:szCs w:val="32"/>
        </w:rPr>
        <w:t>《自然资源部关于做好城镇开发边界管理的通知（试行）》（自然资发〔2023〕193号）</w:t>
      </w:r>
      <w:r>
        <w:rPr>
          <w:rFonts w:hint="eastAsia" w:ascii="Times New Roman" w:hAnsi="Times New Roman" w:eastAsia="仿宋_GB2312"/>
          <w:color w:val="auto"/>
          <w:sz w:val="32"/>
          <w:szCs w:val="32"/>
        </w:rPr>
        <w:t>、</w:t>
      </w:r>
      <w:r>
        <w:rPr>
          <w:rFonts w:hint="eastAsia" w:ascii="Times New Roman" w:hAnsi="Times New Roman" w:eastAsia="仿宋_GB2312"/>
          <w:color w:val="auto"/>
          <w:sz w:val="32"/>
          <w:szCs w:val="32"/>
          <w:shd w:val="clear" w:color="auto" w:fill="FFFFFF"/>
        </w:rPr>
        <w:t>《四川省自然资源厅关于切实做好城镇开发边界管理的通知（试行）》（川自然资发〔2024〕31号）文件精神</w:t>
      </w:r>
      <w:r>
        <w:rPr>
          <w:rFonts w:hint="eastAsia" w:ascii="Times New Roman" w:hAnsi="Times New Roman" w:eastAsia="仿宋_GB2312"/>
          <w:color w:val="auto"/>
          <w:sz w:val="32"/>
          <w:szCs w:val="32"/>
          <w:shd w:val="clear" w:color="auto" w:fill="FFFFFF"/>
          <w:lang w:val="en-US" w:eastAsia="zh-CN"/>
        </w:rPr>
        <w:t>开展方案编制工作</w:t>
      </w:r>
      <w:r>
        <w:rPr>
          <w:rFonts w:hint="eastAsia" w:eastAsia="仿宋_GB2312"/>
          <w:sz w:val="32"/>
          <w:szCs w:val="32"/>
          <w:lang w:val="en-US" w:eastAsia="zh-CN"/>
        </w:rPr>
        <w:t>。</w:t>
      </w:r>
    </w:p>
    <w:p w14:paraId="06699269">
      <w:pPr>
        <w:adjustRightInd w:val="0"/>
        <w:snapToGrid w:val="0"/>
        <w:spacing w:line="600" w:lineRule="exact"/>
        <w:ind w:firstLine="720"/>
        <w:rPr>
          <w:rFonts w:hint="eastAsia" w:eastAsia="仿宋_GB2312"/>
          <w:sz w:val="32"/>
          <w:szCs w:val="32"/>
          <w:lang w:val="zh-CN"/>
        </w:rPr>
      </w:pPr>
      <w:r>
        <w:rPr>
          <w:rFonts w:eastAsia="楷体_GB2312"/>
          <w:b/>
          <w:sz w:val="32"/>
          <w:szCs w:val="32"/>
          <w:lang w:val="zh-CN"/>
        </w:rPr>
        <w:t>（三）项目监管情况。</w:t>
      </w:r>
      <w:r>
        <w:rPr>
          <w:rFonts w:hint="eastAsia" w:eastAsia="仿宋_GB2312"/>
          <w:sz w:val="32"/>
          <w:szCs w:val="32"/>
          <w:lang w:val="zh-CN"/>
        </w:rPr>
        <w:t>资金</w:t>
      </w:r>
      <w:r>
        <w:rPr>
          <w:rFonts w:hint="eastAsia" w:eastAsia="仿宋_GB2312"/>
          <w:sz w:val="32"/>
          <w:szCs w:val="32"/>
          <w:lang w:val="en-US" w:eastAsia="zh-CN"/>
        </w:rPr>
        <w:t>使用和</w:t>
      </w:r>
      <w:r>
        <w:rPr>
          <w:rFonts w:hint="eastAsia" w:eastAsia="仿宋_GB2312"/>
          <w:sz w:val="32"/>
          <w:szCs w:val="32"/>
          <w:lang w:val="zh-CN"/>
        </w:rPr>
        <w:t>支出严格执行相关规章制度，票据真实有效，会计核算规范。</w:t>
      </w:r>
    </w:p>
    <w:p w14:paraId="7C0EFBE8">
      <w:pPr>
        <w:adjustRightInd w:val="0"/>
        <w:snapToGrid w:val="0"/>
        <w:spacing w:line="600" w:lineRule="exact"/>
        <w:ind w:firstLine="720"/>
        <w:rPr>
          <w:rFonts w:eastAsia="仿宋_GB2312"/>
          <w:sz w:val="32"/>
          <w:szCs w:val="32"/>
          <w:lang w:val="zh-CN"/>
        </w:rPr>
      </w:pPr>
      <w:r>
        <w:rPr>
          <w:rFonts w:eastAsia="黑体"/>
          <w:sz w:val="32"/>
          <w:szCs w:val="32"/>
        </w:rPr>
        <w:t>四、项目绩效情况</w:t>
      </w:r>
      <w:r>
        <w:rPr>
          <w:rFonts w:eastAsia="仿宋_GB2312"/>
          <w:sz w:val="32"/>
          <w:szCs w:val="32"/>
          <w:lang w:val="zh-CN"/>
        </w:rPr>
        <w:tab/>
      </w:r>
    </w:p>
    <w:p w14:paraId="5AE83A25">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（一）项目完成情况。</w:t>
      </w:r>
    </w:p>
    <w:p w14:paraId="147BD2A0">
      <w:pPr>
        <w:adjustRightInd w:val="0"/>
        <w:snapToGrid w:val="0"/>
        <w:spacing w:line="600" w:lineRule="exact"/>
        <w:ind w:firstLine="720"/>
        <w:rPr>
          <w:rFonts w:hint="default" w:eastAsia="仿宋_GB2312"/>
          <w:sz w:val="32"/>
          <w:szCs w:val="32"/>
          <w:lang w:val="en-US" w:eastAsia="zh-CN"/>
        </w:rPr>
      </w:pPr>
      <w:r>
        <w:rPr>
          <w:rFonts w:hint="eastAsia" w:eastAsia="仿宋_GB2312"/>
          <w:sz w:val="32"/>
          <w:szCs w:val="32"/>
          <w:lang w:val="en-US" w:eastAsia="zh-CN"/>
        </w:rPr>
        <w:t>方案已通过专家技术审查，挂网进行了为期30天的社会公示，并通过专家技术审查、市政府审议、自然资源厅厅务会审议等程序，经自然资源部备案通过后下发正式使用。</w:t>
      </w:r>
    </w:p>
    <w:p w14:paraId="7A1513AF">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（二）项目效益情况。</w:t>
      </w:r>
    </w:p>
    <w:p w14:paraId="41ACAB55">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方案的编制实施引导城市建设发展，规范城镇开发边界管控，使攀枝花城市发展更加适应新形势、新发展要求，有效提高了城镇化质量，保障重点项目落地实施。</w:t>
      </w:r>
    </w:p>
    <w:p w14:paraId="6DACB900">
      <w:pPr>
        <w:adjustRightInd w:val="0"/>
        <w:snapToGrid w:val="0"/>
        <w:spacing w:line="600" w:lineRule="exact"/>
        <w:ind w:firstLine="720"/>
        <w:rPr>
          <w:rFonts w:eastAsia="黑体"/>
          <w:sz w:val="32"/>
          <w:szCs w:val="32"/>
        </w:rPr>
      </w:pPr>
      <w:r>
        <w:rPr>
          <w:rFonts w:eastAsia="黑体"/>
          <w:sz w:val="32"/>
          <w:szCs w:val="32"/>
        </w:rPr>
        <w:t>五、评价结论及建议</w:t>
      </w:r>
    </w:p>
    <w:p w14:paraId="729418FD">
      <w:pPr>
        <w:adjustRightInd w:val="0"/>
        <w:snapToGrid w:val="0"/>
        <w:spacing w:line="600" w:lineRule="exact"/>
        <w:ind w:firstLine="720"/>
        <w:rPr>
          <w:rFonts w:eastAsia="楷体_GB2312"/>
          <w:b/>
          <w:sz w:val="32"/>
          <w:szCs w:val="32"/>
          <w:lang w:val="zh-CN"/>
        </w:rPr>
      </w:pPr>
      <w:r>
        <w:rPr>
          <w:rFonts w:eastAsia="楷体_GB2312"/>
          <w:b/>
          <w:sz w:val="32"/>
          <w:szCs w:val="32"/>
          <w:lang w:val="zh-CN"/>
        </w:rPr>
        <w:t>（一）评价结论。</w:t>
      </w:r>
    </w:p>
    <w:p w14:paraId="1BCE7333">
      <w:pPr>
        <w:adjustRightInd w:val="0"/>
        <w:snapToGrid w:val="0"/>
        <w:spacing w:line="600" w:lineRule="exact"/>
        <w:ind w:firstLine="640" w:firstLineChars="200"/>
        <w:rPr>
          <w:rFonts w:eastAsia="仿宋_GB2312"/>
          <w:sz w:val="32"/>
          <w:szCs w:val="32"/>
          <w:bdr w:val="single" w:color="auto" w:sz="4" w:space="0"/>
          <w:lang w:val="zh-CN"/>
        </w:rPr>
      </w:pPr>
      <w:r>
        <w:rPr>
          <w:rFonts w:hint="eastAsia" w:eastAsia="仿宋_GB2312"/>
          <w:sz w:val="32"/>
          <w:szCs w:val="32"/>
          <w:lang w:val="zh-CN"/>
        </w:rPr>
        <w:t>经评价，该项目预算合理，资金管理较好，资金使用总体规范，整体工作发展态势良好，达到预期目标。</w:t>
      </w:r>
    </w:p>
    <w:p w14:paraId="1A36BDE9">
      <w:pPr>
        <w:adjustRightInd w:val="0"/>
        <w:snapToGrid w:val="0"/>
        <w:spacing w:line="600" w:lineRule="exact"/>
        <w:ind w:firstLine="720"/>
        <w:rPr>
          <w:rFonts w:eastAsia="楷体_GB2312"/>
          <w:b/>
          <w:sz w:val="32"/>
          <w:szCs w:val="32"/>
          <w:lang w:val="zh-CN"/>
        </w:rPr>
      </w:pPr>
      <w:r>
        <w:rPr>
          <w:rFonts w:eastAsia="楷体_GB2312"/>
          <w:b/>
          <w:sz w:val="32"/>
          <w:szCs w:val="32"/>
          <w:lang w:val="zh-CN"/>
        </w:rPr>
        <w:t>（二）存在的问题。</w:t>
      </w:r>
    </w:p>
    <w:p w14:paraId="27213357">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en-US" w:eastAsia="zh-CN"/>
        </w:rPr>
        <w:t>无</w:t>
      </w:r>
      <w:r>
        <w:rPr>
          <w:rFonts w:eastAsia="仿宋_GB2312"/>
          <w:sz w:val="32"/>
          <w:szCs w:val="32"/>
          <w:lang w:val="zh-CN"/>
        </w:rPr>
        <w:t>。</w:t>
      </w:r>
      <w:r>
        <w:rPr>
          <w:rFonts w:eastAsia="仿宋_GB2312"/>
          <w:sz w:val="32"/>
          <w:szCs w:val="32"/>
          <w:lang w:val="zh-CN"/>
        </w:rPr>
        <w:tab/>
      </w:r>
    </w:p>
    <w:p w14:paraId="197B1241">
      <w:pPr>
        <w:adjustRightInd w:val="0"/>
        <w:snapToGrid w:val="0"/>
        <w:spacing w:line="600" w:lineRule="exact"/>
        <w:ind w:firstLine="720"/>
        <w:rPr>
          <w:rFonts w:eastAsia="楷体_GB2312"/>
          <w:b/>
          <w:sz w:val="32"/>
          <w:szCs w:val="32"/>
          <w:lang w:val="zh-CN"/>
        </w:rPr>
      </w:pPr>
      <w:r>
        <w:rPr>
          <w:rFonts w:eastAsia="楷体_GB2312"/>
          <w:b/>
          <w:sz w:val="32"/>
          <w:szCs w:val="32"/>
          <w:lang w:val="zh-CN"/>
        </w:rPr>
        <w:t>（三）相关建议。</w:t>
      </w:r>
    </w:p>
    <w:p w14:paraId="6C18DF21">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en-US" w:eastAsia="zh-CN"/>
        </w:rPr>
        <w:t>无</w:t>
      </w:r>
      <w:r>
        <w:rPr>
          <w:rFonts w:eastAsia="仿宋_GB2312"/>
          <w:sz w:val="32"/>
          <w:szCs w:val="32"/>
          <w:lang w:val="zh-CN"/>
        </w:rPr>
        <w:t>。</w:t>
      </w:r>
    </w:p>
    <w:p w14:paraId="37729343">
      <w:pPr>
        <w:rPr>
          <w:rFonts w:eastAsia="仿宋_GB2312"/>
          <w:sz w:val="32"/>
          <w:szCs w:val="32"/>
        </w:rPr>
      </w:pPr>
    </w:p>
    <w:p w14:paraId="242FAD21">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3FCEDBE0">
      <w:pPr>
        <w:widowControl w:val="0"/>
        <w:spacing w:line="600" w:lineRule="exact"/>
        <w:jc w:val="center"/>
        <w:rPr>
          <w:rFonts w:ascii="??" w:hAnsi="??" w:eastAsia="方正小标宋简体" w:cs="Times New Roman"/>
          <w:color w:val="000000"/>
          <w:kern w:val="0"/>
          <w:sz w:val="40"/>
          <w:szCs w:val="40"/>
          <w:lang w:val="zh-CN" w:eastAsia="zh-CN" w:bidi="ar-SA"/>
        </w:rPr>
      </w:pPr>
      <w:r>
        <w:rPr>
          <w:rFonts w:hint="eastAsia" w:ascii="??" w:hAnsi="??" w:eastAsia="方正小标宋简体" w:cs="Times New Roman"/>
          <w:color w:val="000000"/>
          <w:kern w:val="0"/>
          <w:sz w:val="40"/>
          <w:szCs w:val="40"/>
          <w:lang w:val="zh-CN" w:eastAsia="zh-CN" w:bidi="ar-SA"/>
        </w:rPr>
        <w:t>专项预算项目绩效评价报告</w:t>
      </w:r>
    </w:p>
    <w:p w14:paraId="47FB7067">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攀枝花市本级2025年度</w:t>
      </w:r>
      <w:r>
        <w:rPr>
          <w:rFonts w:hint="eastAsia" w:eastAsia="仿宋_GB2312" w:cs="Times New Roman"/>
          <w:color w:val="auto"/>
          <w:kern w:val="2"/>
          <w:sz w:val="32"/>
          <w:szCs w:val="32"/>
          <w:lang w:val="zh-CN" w:eastAsia="zh-CN" w:bidi="ar-SA"/>
        </w:rPr>
        <w:t>其他</w:t>
      </w:r>
      <w:r>
        <w:rPr>
          <w:rFonts w:hint="eastAsia" w:ascii="Times New Roman" w:hAnsi="Times New Roman" w:eastAsia="仿宋_GB2312" w:cs="Times New Roman"/>
          <w:color w:val="auto"/>
          <w:kern w:val="2"/>
          <w:sz w:val="32"/>
          <w:szCs w:val="32"/>
          <w:lang w:val="zh-CN" w:eastAsia="zh-CN" w:bidi="ar-SA"/>
        </w:rPr>
        <w:t>自然资源调查监测专项工作项目</w:t>
      </w:r>
      <w:r>
        <w:rPr>
          <w:rFonts w:ascii="Times New Roman" w:hAnsi="Times New Roman" w:eastAsia="仿宋_GB2312" w:cs="Times New Roman"/>
          <w:color w:val="auto"/>
          <w:kern w:val="2"/>
          <w:sz w:val="32"/>
          <w:szCs w:val="32"/>
          <w:lang w:val="zh-CN" w:eastAsia="zh-CN" w:bidi="ar-SA"/>
        </w:rPr>
        <w:t>）</w:t>
      </w:r>
    </w:p>
    <w:p w14:paraId="3EFD01C4">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39002CF2">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65B44F0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3663611">
      <w:pPr>
        <w:snapToGrid w:val="0"/>
        <w:spacing w:line="600" w:lineRule="exact"/>
        <w:ind w:firstLine="640" w:firstLineChars="200"/>
        <w:rPr>
          <w:rFonts w:ascii="Times New Roman" w:hAnsi="Times New Roman" w:eastAsia="仿宋_GB2312" w:cs="Times New Roman"/>
          <w:sz w:val="32"/>
          <w:szCs w:val="32"/>
          <w:lang w:val="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说明项目主管部门（单位）在该项目管理中的职能。</w:t>
      </w:r>
    </w:p>
    <w:p w14:paraId="5E00638D">
      <w:pPr>
        <w:snapToGri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2025</w:t>
      </w:r>
      <w:r>
        <w:rPr>
          <w:rFonts w:hint="eastAsia" w:ascii="Times New Roman" w:hAnsi="Times New Roman" w:eastAsia="仿宋_GB2312" w:cs="Times New Roman"/>
          <w:sz w:val="32"/>
          <w:szCs w:val="32"/>
        </w:rPr>
        <w:t>年度</w:t>
      </w:r>
      <w:r>
        <w:rPr>
          <w:rFonts w:hint="eastAsia" w:eastAsia="仿宋_GB2312" w:cs="Times New Roman"/>
          <w:sz w:val="32"/>
          <w:szCs w:val="32"/>
          <w:lang w:eastAsia="zh-CN"/>
        </w:rPr>
        <w:t>其他</w:t>
      </w:r>
      <w:r>
        <w:rPr>
          <w:rFonts w:hint="eastAsia" w:ascii="Times New Roman" w:hAnsi="Times New Roman" w:eastAsia="仿宋_GB2312" w:cs="Times New Roman"/>
          <w:sz w:val="32"/>
          <w:szCs w:val="32"/>
        </w:rPr>
        <w:t>自然资源调查监测专项工作包括</w:t>
      </w:r>
      <w:bookmarkStart w:id="118" w:name="OLE_LINK11"/>
      <w:bookmarkStart w:id="119" w:name="OLE_LINK12"/>
      <w:bookmarkStart w:id="120" w:name="OLE_LINK10"/>
      <w:r>
        <w:rPr>
          <w:rFonts w:ascii="Times New Roman" w:hAnsi="Times New Roman" w:eastAsia="仿宋_GB2312" w:cs="Times New Roman"/>
          <w:sz w:val="32"/>
          <w:szCs w:val="32"/>
        </w:rPr>
        <w:t>2024</w:t>
      </w:r>
      <w:r>
        <w:rPr>
          <w:rFonts w:hint="eastAsia" w:ascii="Times New Roman" w:hAnsi="Times New Roman" w:eastAsia="仿宋_GB2312" w:cs="Times New Roman"/>
          <w:sz w:val="32"/>
          <w:szCs w:val="32"/>
        </w:rPr>
        <w:t>年度耕地资源质量分类年度更新与监测</w:t>
      </w:r>
      <w:bookmarkEnd w:id="118"/>
      <w:bookmarkEnd w:id="119"/>
      <w:bookmarkEnd w:id="120"/>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2025</w:t>
      </w:r>
      <w:r>
        <w:rPr>
          <w:rFonts w:hint="eastAsia" w:ascii="Times New Roman" w:hAnsi="Times New Roman" w:eastAsia="仿宋_GB2312" w:cs="Times New Roman"/>
          <w:sz w:val="32"/>
          <w:szCs w:val="32"/>
        </w:rPr>
        <w:t>年度城镇国土空间监测、</w:t>
      </w:r>
      <w:bookmarkStart w:id="121" w:name="OLE_LINK15"/>
      <w:r>
        <w:rPr>
          <w:rFonts w:ascii="Times New Roman" w:hAnsi="Times New Roman" w:eastAsia="仿宋_GB2312" w:cs="Times New Roman"/>
          <w:sz w:val="32"/>
          <w:szCs w:val="32"/>
        </w:rPr>
        <w:t>2025</w:t>
      </w:r>
      <w:r>
        <w:rPr>
          <w:rFonts w:hint="eastAsia" w:ascii="Times New Roman" w:hAnsi="Times New Roman" w:eastAsia="仿宋_GB2312" w:cs="Times New Roman"/>
          <w:sz w:val="32"/>
          <w:szCs w:val="32"/>
        </w:rPr>
        <w:t>年林草湿荒调查监测、</w:t>
      </w:r>
      <w:bookmarkEnd w:id="121"/>
      <w:r>
        <w:rPr>
          <w:rFonts w:ascii="Times New Roman" w:hAnsi="Times New Roman" w:eastAsia="仿宋_GB2312" w:cs="Times New Roman"/>
          <w:sz w:val="32"/>
          <w:szCs w:val="32"/>
        </w:rPr>
        <w:t>2025</w:t>
      </w:r>
      <w:r>
        <w:rPr>
          <w:rFonts w:hint="eastAsia" w:ascii="Times New Roman" w:hAnsi="Times New Roman" w:eastAsia="仿宋_GB2312" w:cs="Times New Roman"/>
          <w:sz w:val="32"/>
          <w:szCs w:val="32"/>
        </w:rPr>
        <w:t>年度水资源基础调查等，</w:t>
      </w:r>
      <w:r>
        <w:rPr>
          <w:rFonts w:ascii="Times New Roman" w:hAnsi="Times New Roman" w:eastAsia="仿宋_GB2312" w:cs="Times New Roman"/>
          <w:sz w:val="32"/>
          <w:szCs w:val="32"/>
        </w:rPr>
        <w:t>2025</w:t>
      </w:r>
      <w:r>
        <w:rPr>
          <w:rFonts w:hint="eastAsia" w:ascii="Times New Roman" w:hAnsi="Times New Roman" w:eastAsia="仿宋_GB2312" w:cs="Times New Roman"/>
          <w:sz w:val="32"/>
          <w:szCs w:val="32"/>
        </w:rPr>
        <w:t>年调查监测专项项目增加了水资源基础专项调查。其中水资源基础调查是以国土“三调”和年度国土变更调查成果为统一底版</w:t>
      </w:r>
      <w:r>
        <w:rPr>
          <w:rFonts w:hint="eastAsia" w:eastAsia="仿宋_GB2312" w:cs="Times New Roman"/>
          <w:sz w:val="32"/>
          <w:szCs w:val="32"/>
          <w:lang w:eastAsia="zh-CN"/>
        </w:rPr>
        <w:t>，以</w:t>
      </w:r>
      <w:r>
        <w:rPr>
          <w:rFonts w:hint="eastAsia" w:ascii="Times New Roman" w:hAnsi="Times New Roman" w:eastAsia="仿宋_GB2312" w:cs="Times New Roman"/>
          <w:sz w:val="32"/>
          <w:szCs w:val="32"/>
        </w:rPr>
        <w:t>我市国土空间范围内的所有水体（地表水、地下水）为调查对象，从自然资源的角度开展调查，掌握全市水资源空间分布、数量、质量和动态变化等状况</w:t>
      </w:r>
      <w:r>
        <w:rPr>
          <w:rFonts w:hint="eastAsia" w:ascii="Times New Roman" w:hAnsi="Times New Roman" w:eastAsia="仿宋_GB2312" w:cs="Times New Roman"/>
          <w:color w:val="000000"/>
          <w:sz w:val="32"/>
          <w:szCs w:val="32"/>
        </w:rPr>
        <w:t>。</w:t>
      </w:r>
    </w:p>
    <w:p w14:paraId="5C1024B6">
      <w:pPr>
        <w:snapToGrid w:val="0"/>
        <w:spacing w:line="600" w:lineRule="exact"/>
        <w:ind w:firstLine="640" w:firstLineChars="200"/>
        <w:rPr>
          <w:rFonts w:ascii="仿宋_GB2312" w:hAnsi="宋体" w:eastAsia="仿宋_GB2312" w:cs="Times New Roman"/>
          <w:sz w:val="32"/>
          <w:szCs w:val="32"/>
        </w:rPr>
      </w:pPr>
      <w:r>
        <w:rPr>
          <w:rFonts w:hint="eastAsia" w:eastAsia="仿宋_GB2312" w:cs="Times New Roman"/>
          <w:sz w:val="32"/>
          <w:szCs w:val="32"/>
          <w:lang w:val="zh-CN"/>
        </w:rPr>
        <w:t>2.</w:t>
      </w:r>
      <w:r>
        <w:rPr>
          <w:rFonts w:ascii="Times New Roman" w:hAnsi="Times New Roman" w:eastAsia="仿宋_GB2312" w:cs="Times New Roman"/>
          <w:sz w:val="32"/>
          <w:szCs w:val="32"/>
          <w:lang w:val="zh-CN"/>
        </w:rPr>
        <w:t>项目立项、资金申报的依据。</w:t>
      </w:r>
      <w:r>
        <w:rPr>
          <w:rFonts w:hint="eastAsia" w:ascii="仿宋_GB2312" w:hAnsi="宋体" w:eastAsia="仿宋_GB2312" w:cs="Times New Roman"/>
          <w:sz w:val="32"/>
          <w:szCs w:val="32"/>
        </w:rPr>
        <w:t>根据《中华人民共和国土地管理法》《土地调查条例》《自然资源部办公厅关于开展2024年度全国国土变更调查工作的通知》（自然资办发〔2024〕44号）、《四川省自然资源厅关于切实做好2024年度全省国土变更调查工作的通知》（川自然资发〔2024〕41号）、《四川省自然资源厅办公厅关于做好我省2023年度城镇国土空间监测工作的通知》（〔2023〕117号）、《四川省自然资源厅四川省林业和草原局关于开展四川省2023年森林、草原、湿地调查监测工作的通知》（川自然资发〔2023〕34号）、《自然资源部关于开展水资源基础调查工作的通知》（自然资发〔2023〕230号）、《四川省自然资源厅办公室关于开展全省水资源基础调查工作的通知》（〔2024〕421号）等文件要求有关通知，我局2025年需要开展2024年度耕地资源质量分类年度更新与监测、2025年度城镇国土空间监测、2025年林草湿荒调查监测、2</w:t>
      </w:r>
      <w:bookmarkStart w:id="122" w:name="_Hlk195029033"/>
      <w:r>
        <w:rPr>
          <w:rFonts w:hint="eastAsia" w:ascii="仿宋_GB2312" w:hAnsi="宋体" w:eastAsia="仿宋_GB2312" w:cs="Times New Roman"/>
          <w:sz w:val="32"/>
          <w:szCs w:val="32"/>
        </w:rPr>
        <w:t>025年度水资源基础调查</w:t>
      </w:r>
      <w:bookmarkEnd w:id="122"/>
      <w:r>
        <w:rPr>
          <w:rFonts w:hint="eastAsia" w:ascii="仿宋_GB2312" w:hAnsi="宋体" w:eastAsia="仿宋_GB2312" w:cs="Times New Roman"/>
          <w:sz w:val="32"/>
          <w:szCs w:val="32"/>
        </w:rPr>
        <w:t>等多项监测工作。依据《国务院办公厅关于印发自然资源领域中央与地方财政事权和支出责任划分改革方案的通知》（国办发〔2020〕19号）“地方性自然资源调查监测的组织实施，地方性自然资源信息系统的建设与运行维护，地方基础性、公益性、战略性地质调查，地方基础测绘及地理信息管理等事项，确认为地方财政事权，由地方承担支出责任”的规定，由地方承担支出责任。</w:t>
      </w:r>
    </w:p>
    <w:p w14:paraId="5924A7FA">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kern w:val="0"/>
          <w:sz w:val="32"/>
          <w:szCs w:val="32"/>
        </w:rPr>
        <w:t>按照《攀枝花市自然资源和规划局财务管理办法》规定，规范使用资金。</w:t>
      </w:r>
    </w:p>
    <w:p w14:paraId="0579A7C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4. 资金分配的原则及考虑因素。</w:t>
      </w:r>
      <w:r>
        <w:rPr>
          <w:rFonts w:hint="eastAsia" w:ascii="Times New Roman" w:hAnsi="Times New Roman" w:eastAsia="仿宋_GB2312" w:cs="Times New Roman"/>
          <w:sz w:val="32"/>
          <w:szCs w:val="32"/>
          <w:lang w:val="zh-CN"/>
        </w:rPr>
        <w:t>资金来源为财政资金。</w:t>
      </w:r>
    </w:p>
    <w:p w14:paraId="1602B82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5C9F1B0">
      <w:pPr>
        <w:adjustRightInd w:val="0"/>
        <w:snapToGrid w:val="0"/>
        <w:spacing w:line="600" w:lineRule="exact"/>
        <w:ind w:firstLine="720"/>
        <w:rPr>
          <w:rFonts w:ascii="仿宋_GB2312" w:hAnsi="宋体" w:eastAsia="仿宋_GB2312" w:cs="Times New Roman"/>
          <w:sz w:val="32"/>
          <w:szCs w:val="32"/>
        </w:rPr>
      </w:pPr>
      <w:r>
        <w:rPr>
          <w:rFonts w:hint="eastAsia" w:ascii="仿宋_GB2312" w:hAnsi="宋体" w:eastAsia="仿宋_GB2312" w:cs="Times New Roman"/>
          <w:sz w:val="32"/>
          <w:szCs w:val="32"/>
        </w:rPr>
        <w:t>按照部、省相关文件要求，以2024年度国土变更调查成果为底图，依据高分辨率遥感影像和最新的相关专题资料，结合实地调查等工作，在全国地级及以上城市组织开展城市国土空间监测、水资源调查、耕地资源质量分类年度更新与监测等工作，为全市调查监测体系建设、耕地保护等工作打好坚实基础。</w:t>
      </w:r>
    </w:p>
    <w:p w14:paraId="41E293D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FCC55E5">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按照《攀枝花市财政局关于开展市本级预算绩效自评工作的通知》（攀财绩〔</w:t>
      </w:r>
      <w:r>
        <w:rPr>
          <w:rFonts w:ascii="Times New Roman" w:hAnsi="Times New Roman" w:eastAsia="仿宋_GB2312" w:cs="Times New Roman"/>
          <w:sz w:val="32"/>
          <w:szCs w:val="32"/>
          <w:lang w:val="zh-CN"/>
        </w:rPr>
        <w:t>2025</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3</w:t>
      </w:r>
      <w:r>
        <w:rPr>
          <w:rFonts w:hint="eastAsia" w:ascii="Times New Roman" w:hAnsi="Times New Roman" w:eastAsia="仿宋_GB2312" w:cs="Times New Roman"/>
          <w:sz w:val="32"/>
          <w:szCs w:val="32"/>
          <w:lang w:val="zh-CN"/>
        </w:rPr>
        <w:t>号）要求，积极组织开展项目自评工作，通过与项目相关人员座谈或讨论等方法了解项目经费情况，收集相关资料，综合分析相关情况后，对项目决策、项目实施、完成效果、项目效果、社会效益及经济效益等进行评估。</w:t>
      </w:r>
    </w:p>
    <w:p w14:paraId="2146B5D3">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5793D85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749827B7">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rPr>
        <w:t>项目</w:t>
      </w:r>
      <w:r>
        <w:rPr>
          <w:rFonts w:hint="eastAsia" w:ascii="Times New Roman" w:hAnsi="Times New Roman" w:eastAsia="仿宋_GB2312" w:cs="Times New Roman"/>
          <w:sz w:val="32"/>
          <w:szCs w:val="32"/>
          <w:lang w:val="zh-CN"/>
        </w:rPr>
        <w:t>经费纳入财政预算，我单位按照申请事项和具体工作开展</w:t>
      </w:r>
      <w:r>
        <w:rPr>
          <w:rFonts w:hint="eastAsia" w:ascii="Times New Roman" w:hAnsi="Times New Roman" w:eastAsia="仿宋_GB2312" w:cs="Times New Roman"/>
          <w:sz w:val="32"/>
          <w:szCs w:val="32"/>
        </w:rPr>
        <w:t>情况</w:t>
      </w:r>
      <w:r>
        <w:rPr>
          <w:rFonts w:hint="eastAsia" w:ascii="Times New Roman" w:hAnsi="Times New Roman" w:eastAsia="仿宋_GB2312" w:cs="Times New Roman"/>
          <w:sz w:val="32"/>
          <w:szCs w:val="32"/>
          <w:lang w:val="zh-CN"/>
        </w:rPr>
        <w:t>确定，根据使用进度向财政申请相应资金及时支付。</w:t>
      </w:r>
    </w:p>
    <w:p w14:paraId="546C670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7960C1A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1</w:t>
      </w:r>
      <w:r>
        <w:rPr>
          <w:rFonts w:hint="eastAsia" w:ascii="Times New Roman" w:hAnsi="Times New Roman" w:eastAsia="楷体_GB2312" w:cs="Times New Roman"/>
          <w:sz w:val="32"/>
          <w:szCs w:val="32"/>
          <w:lang w:val="zh-CN"/>
        </w:rPr>
        <w:t>.</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项目由</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ascii="Times New Roman" w:hAnsi="Times New Roman" w:eastAsia="仿宋_GB2312" w:cs="Times New Roman"/>
          <w:sz w:val="32"/>
          <w:szCs w:val="32"/>
          <w:lang w:val="zh-CN"/>
        </w:rPr>
        <w:t>。</w:t>
      </w:r>
    </w:p>
    <w:p w14:paraId="6B40D1C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2</w:t>
      </w:r>
      <w:r>
        <w:rPr>
          <w:rFonts w:hint="eastAsia" w:ascii="Times New Roman" w:hAnsi="Times New Roman" w:eastAsia="楷体_GB2312" w:cs="Times New Roman"/>
          <w:sz w:val="32"/>
          <w:szCs w:val="32"/>
          <w:lang w:val="zh-CN"/>
        </w:rPr>
        <w:t>.</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rPr>
        <w:t>2025年支付20.44万元。</w:t>
      </w:r>
    </w:p>
    <w:p w14:paraId="07417E2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3</w:t>
      </w:r>
      <w:r>
        <w:rPr>
          <w:rFonts w:hint="eastAsia" w:ascii="Times New Roman" w:hAnsi="Times New Roman" w:eastAsia="楷体_GB2312" w:cs="Times New Roman"/>
          <w:sz w:val="32"/>
          <w:szCs w:val="32"/>
          <w:lang w:val="zh-CN"/>
        </w:rPr>
        <w:t>.</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资金支付范围、支付标准、支付进度、支付依据合规合法、与预算相符。</w:t>
      </w:r>
    </w:p>
    <w:p w14:paraId="4440FF4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69B7FB7F">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按照《攀枝花市自然资源和规划局财务管理办法》规定，严格执行财务管理制度，及时财务处理，规范会计核算。</w:t>
      </w:r>
    </w:p>
    <w:p w14:paraId="43E2311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DE3E716">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由</w:t>
      </w:r>
      <w:r>
        <w:rPr>
          <w:rFonts w:hint="eastAsia" w:ascii="Times New Roman" w:hAnsi="Times New Roman" w:eastAsia="仿宋_GB2312" w:cs="Times New Roman"/>
          <w:sz w:val="32"/>
          <w:szCs w:val="32"/>
        </w:rPr>
        <w:t>调查登记科</w:t>
      </w:r>
      <w:r>
        <w:rPr>
          <w:rFonts w:hint="eastAsia" w:ascii="Times New Roman" w:hAnsi="Times New Roman" w:eastAsia="仿宋_GB2312" w:cs="Times New Roman"/>
          <w:sz w:val="32"/>
          <w:szCs w:val="32"/>
          <w:lang w:val="zh-CN"/>
        </w:rPr>
        <w:t>负责项目实施，资金支出严格执行相关规章制度，票据真实有效，会计核算规范。</w:t>
      </w:r>
    </w:p>
    <w:p w14:paraId="5425AAD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75D3C95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274EBA02">
      <w:pPr>
        <w:adjustRightInd w:val="0"/>
        <w:snapToGrid w:val="0"/>
        <w:spacing w:line="600" w:lineRule="exact"/>
        <w:ind w:firstLine="720"/>
        <w:rPr>
          <w:rFonts w:ascii="Times New Roman" w:hAnsi="Times New Roman" w:eastAsia="楷体_GB2312" w:cs="Times New Roman"/>
          <w:b/>
          <w:sz w:val="32"/>
          <w:szCs w:val="32"/>
          <w:lang w:val="zh-CN"/>
        </w:rPr>
      </w:pPr>
      <w:bookmarkStart w:id="123" w:name="OLE_LINK14"/>
      <w:bookmarkStart w:id="124" w:name="OLE_LINK13"/>
      <w:r>
        <w:rPr>
          <w:rFonts w:hint="eastAsia" w:ascii="Times New Roman" w:hAnsi="Times New Roman" w:eastAsia="仿宋_GB2312" w:cs="Times New Roman"/>
          <w:sz w:val="32"/>
          <w:szCs w:val="32"/>
        </w:rPr>
        <w:t>目</w:t>
      </w:r>
      <w:r>
        <w:rPr>
          <w:rFonts w:hint="eastAsia" w:eastAsia="仿宋_GB2312" w:cs="Times New Roman"/>
          <w:sz w:val="32"/>
          <w:szCs w:val="32"/>
          <w:lang w:eastAsia="zh-CN"/>
        </w:rPr>
        <w:t>前已</w:t>
      </w:r>
      <w:r>
        <w:rPr>
          <w:rFonts w:hint="eastAsia" w:ascii="Times New Roman" w:hAnsi="Times New Roman" w:eastAsia="仿宋_GB2312" w:cs="Times New Roman"/>
          <w:sz w:val="32"/>
          <w:szCs w:val="32"/>
        </w:rPr>
        <w:t>完成2025年度城镇国土监测、</w:t>
      </w:r>
      <w:r>
        <w:rPr>
          <w:rFonts w:ascii="Times New Roman" w:hAnsi="Times New Roman" w:eastAsia="仿宋_GB2312" w:cs="Times New Roman"/>
          <w:sz w:val="32"/>
          <w:szCs w:val="32"/>
        </w:rPr>
        <w:t>2024</w:t>
      </w:r>
      <w:r>
        <w:rPr>
          <w:rFonts w:hint="eastAsia" w:ascii="Times New Roman" w:hAnsi="Times New Roman" w:eastAsia="仿宋_GB2312" w:cs="Times New Roman"/>
          <w:sz w:val="32"/>
          <w:szCs w:val="32"/>
        </w:rPr>
        <w:t>年度耕地资源质量分类年度更新与监测</w:t>
      </w:r>
      <w:bookmarkEnd w:id="123"/>
      <w:bookmarkEnd w:id="124"/>
      <w:r>
        <w:rPr>
          <w:rFonts w:hint="eastAsia" w:ascii="Times New Roman" w:hAnsi="Times New Roman" w:eastAsia="仿宋_GB2312" w:cs="Times New Roman"/>
          <w:sz w:val="32"/>
          <w:szCs w:val="32"/>
        </w:rPr>
        <w:t>。</w:t>
      </w:r>
    </w:p>
    <w:p w14:paraId="732B0D0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F40FF3E">
      <w:pPr>
        <w:widowControl w:val="0"/>
        <w:shd w:val="clear" w:color="auto" w:fill="auto"/>
        <w:spacing w:before="0" w:after="0" w:line="580" w:lineRule="exact"/>
        <w:ind w:left="40" w:firstLine="660"/>
        <w:jc w:val="both"/>
        <w:rPr>
          <w:rFonts w:ascii="Times New Roman" w:hAnsi="Times New Roman" w:eastAsia="仿宋_GB2312" w:cs="Times New Roman"/>
          <w:spacing w:val="0"/>
          <w:kern w:val="2"/>
          <w:sz w:val="32"/>
          <w:szCs w:val="32"/>
          <w:lang w:val="en-US" w:eastAsia="zh-CN" w:bidi="ar-SA"/>
        </w:rPr>
      </w:pPr>
      <w:r>
        <w:rPr>
          <w:rFonts w:hint="eastAsia" w:ascii="Times New Roman" w:hAnsi="Times New Roman" w:eastAsia="仿宋_GB2312" w:cs="Times New Roman"/>
          <w:spacing w:val="0"/>
          <w:kern w:val="2"/>
          <w:sz w:val="32"/>
          <w:szCs w:val="32"/>
          <w:lang w:val="en-US" w:eastAsia="zh-CN" w:bidi="ar-SA"/>
        </w:rPr>
        <w:t>按照省级统一要求，全面开展</w:t>
      </w:r>
      <w:bookmarkStart w:id="125" w:name="OLE_LINK16"/>
      <w:r>
        <w:rPr>
          <w:rFonts w:hint="eastAsia" w:ascii="Times New Roman" w:hAnsi="Times New Roman" w:eastAsia="仿宋_GB2312" w:cs="Times New Roman"/>
          <w:spacing w:val="0"/>
          <w:kern w:val="2"/>
          <w:sz w:val="32"/>
          <w:szCs w:val="32"/>
          <w:lang w:val="en-US" w:eastAsia="zh-CN" w:bidi="ar-SA"/>
        </w:rPr>
        <w:t>2025年度城镇国土监测、</w:t>
      </w:r>
      <w:r>
        <w:rPr>
          <w:rFonts w:ascii="Times New Roman" w:hAnsi="Times New Roman" w:eastAsia="仿宋_GB2312" w:cs="Times New Roman"/>
          <w:spacing w:val="0"/>
          <w:kern w:val="2"/>
          <w:sz w:val="32"/>
          <w:szCs w:val="32"/>
          <w:lang w:val="en-US" w:eastAsia="zh-CN" w:bidi="ar-SA"/>
        </w:rPr>
        <w:t>2024</w:t>
      </w:r>
      <w:r>
        <w:rPr>
          <w:rFonts w:hint="eastAsia" w:ascii="Times New Roman" w:hAnsi="Times New Roman" w:eastAsia="仿宋_GB2312" w:cs="Times New Roman"/>
          <w:spacing w:val="0"/>
          <w:kern w:val="2"/>
          <w:sz w:val="32"/>
          <w:szCs w:val="32"/>
          <w:lang w:val="en-US" w:eastAsia="zh-CN" w:bidi="ar-SA"/>
        </w:rPr>
        <w:t>年度耕地资源质量分类年度更新与监测工作、水资源调查、</w:t>
      </w:r>
      <w:r>
        <w:rPr>
          <w:rFonts w:ascii="Times New Roman" w:hAnsi="Times New Roman" w:eastAsia="仿宋_GB2312" w:cs="Times New Roman"/>
          <w:spacing w:val="0"/>
          <w:kern w:val="2"/>
          <w:sz w:val="32"/>
          <w:szCs w:val="32"/>
          <w:lang w:val="en-US" w:eastAsia="zh-CN" w:bidi="ar-SA"/>
        </w:rPr>
        <w:t>2025</w:t>
      </w:r>
      <w:r>
        <w:rPr>
          <w:rFonts w:hint="eastAsia" w:ascii="Times New Roman" w:hAnsi="Times New Roman" w:eastAsia="仿宋_GB2312" w:cs="Times New Roman"/>
          <w:spacing w:val="0"/>
          <w:kern w:val="2"/>
          <w:sz w:val="32"/>
          <w:szCs w:val="32"/>
          <w:lang w:val="en-US" w:eastAsia="zh-CN" w:bidi="ar-SA"/>
        </w:rPr>
        <w:t>年林草湿荒调查监测等工作</w:t>
      </w:r>
      <w:bookmarkEnd w:id="125"/>
      <w:r>
        <w:rPr>
          <w:rFonts w:hint="eastAsia" w:ascii="Times New Roman" w:hAnsi="Times New Roman" w:eastAsia="仿宋_GB2312" w:cs="Times New Roman"/>
          <w:spacing w:val="0"/>
          <w:kern w:val="2"/>
          <w:sz w:val="32"/>
          <w:szCs w:val="32"/>
          <w:lang w:val="en-US" w:eastAsia="zh-CN" w:bidi="ar-SA"/>
        </w:rPr>
        <w:t>，同步向省级提交相关成果。夯实自然资源调查监测体系数据基础。精准支撑城镇规划管控、耕地保护与粮食安全保障、水资源科学配置、生态保护修复及山水林田湖草沙一体化治理，有效提升自然资源管理的精准化、数字化水平，为国土空间科学决策与高效治理提供坚实数据支撑。</w:t>
      </w:r>
    </w:p>
    <w:p w14:paraId="218AC943">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7CBD9EA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0F6F06A9">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zh-CN"/>
        </w:rPr>
        <w:t>经评价，该项目预算合理，资金管理较好，资金使用总体规范，整体工作发展态势良好，达到预期目标。</w:t>
      </w:r>
    </w:p>
    <w:p w14:paraId="41B2EAE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31A92975">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5CA41B4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709092CA">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043D8A59">
      <w:pPr>
        <w:rPr>
          <w:rFonts w:ascii="Times New Roman" w:hAnsi="Times New Roman" w:eastAsia="仿宋_GB2312" w:cs="Times New Roman"/>
          <w:sz w:val="32"/>
          <w:szCs w:val="32"/>
        </w:rPr>
      </w:pPr>
    </w:p>
    <w:p w14:paraId="07B46F15">
      <w:pPr>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40194CE2">
      <w:pPr>
        <w:widowControl w:val="0"/>
        <w:spacing w:line="600" w:lineRule="exact"/>
        <w:ind w:firstLine="883"/>
        <w:jc w:val="center"/>
        <w:rPr>
          <w:rFonts w:hint="eastAsia" w:ascii="Times New Roman" w:hAnsi="Times New Roman" w:eastAsia="仿宋_GB2312" w:cs="Times New Roman"/>
          <w:color w:val="auto"/>
          <w:kern w:val="2"/>
          <w:sz w:val="32"/>
          <w:szCs w:val="32"/>
          <w:lang w:val="zh-CN" w:eastAsia="zh-CN" w:bidi="ar-SA"/>
        </w:rPr>
      </w:pPr>
      <w:r>
        <w:rPr>
          <w:rFonts w:hint="eastAsia" w:ascii="Times New Roman" w:hAnsi="Times New Roman" w:eastAsia="仿宋_GB2312" w:cs="Times New Roman"/>
          <w:color w:val="auto"/>
          <w:kern w:val="2"/>
          <w:sz w:val="32"/>
          <w:szCs w:val="32"/>
          <w:lang w:val="zh-CN" w:eastAsia="zh-CN" w:bidi="ar-SA"/>
        </w:rPr>
        <w:t>（办公用房维修改造项目）</w:t>
      </w:r>
    </w:p>
    <w:p w14:paraId="79FFD992">
      <w:pPr>
        <w:widowControl w:val="0"/>
        <w:spacing w:line="600" w:lineRule="exact"/>
        <w:ind w:firstLine="883"/>
        <w:jc w:val="center"/>
        <w:rPr>
          <w:rFonts w:hint="eastAsia" w:ascii="Times New Roman" w:hAnsi="Times New Roman" w:eastAsia="仿宋_GB2312" w:cs="Times New Roman"/>
          <w:color w:val="auto"/>
          <w:kern w:val="2"/>
          <w:sz w:val="32"/>
          <w:szCs w:val="32"/>
          <w:lang w:val="zh-CN" w:eastAsia="zh-CN" w:bidi="ar-SA"/>
        </w:rPr>
      </w:pPr>
    </w:p>
    <w:p w14:paraId="37A3D23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黑体" w:cs="Times New Roman"/>
          <w:sz w:val="32"/>
          <w:szCs w:val="32"/>
          <w:lang w:val="en-US" w:eastAsia="zh-CN"/>
        </w:rPr>
      </w:pPr>
      <w:r>
        <w:rPr>
          <w:rFonts w:ascii="Times New Roman" w:hAnsi="Times New Roman" w:eastAsia="黑体" w:cs="Times New Roman"/>
          <w:sz w:val="32"/>
          <w:szCs w:val="32"/>
          <w:lang w:val="en-US" w:eastAsia="zh-CN"/>
        </w:rPr>
        <w:t xml:space="preserve"> 一、项目概况</w:t>
      </w:r>
    </w:p>
    <w:p w14:paraId="7DE1C5FC">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ascii="Times New Roman" w:hAnsi="Times New Roman" w:eastAsia="楷体_GB2312" w:cs="Times New Roman"/>
          <w:b/>
          <w:sz w:val="32"/>
          <w:szCs w:val="32"/>
          <w:lang w:val="en-US" w:eastAsia="zh-CN"/>
        </w:rPr>
      </w:pPr>
      <w:r>
        <w:rPr>
          <w:rFonts w:ascii="Times New Roman" w:hAnsi="Times New Roman" w:eastAsia="楷体_GB2312" w:cs="Times New Roman"/>
          <w:b/>
          <w:sz w:val="32"/>
          <w:szCs w:val="32"/>
          <w:lang w:val="en-US" w:eastAsia="zh-CN"/>
        </w:rPr>
        <w:t xml:space="preserve">（一）项目基本情况 </w:t>
      </w:r>
      <w:r>
        <w:rPr>
          <w:rFonts w:hint="eastAsia" w:ascii="Times New Roman" w:hAnsi="Times New Roman" w:eastAsia="楷体_GB2312" w:cs="Times New Roman"/>
          <w:b/>
          <w:sz w:val="32"/>
          <w:szCs w:val="32"/>
          <w:lang w:val="en-US" w:eastAsia="zh-CN"/>
        </w:rPr>
        <w:t>。</w:t>
      </w:r>
    </w:p>
    <w:p w14:paraId="514E22D1">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本部门负责统筹办公用房维修改造项目实施，履行项目方案制定、施工过程监管、资金使用管控及竣工验收等职责，通过对办公用房进行维修改造，切实改善办公基础条件，保</w:t>
      </w:r>
    </w:p>
    <w:p w14:paraId="611872B6">
      <w:pPr>
        <w:adjustRightInd w:val="0"/>
        <w:snapToGrid w:val="0"/>
        <w:spacing w:line="600" w:lineRule="exact"/>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障行政工作有序运转，提升政务服务硬件水平。 </w:t>
      </w:r>
    </w:p>
    <w:p w14:paraId="7E4BC618">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项目立项、资金申报的依据：</w:t>
      </w:r>
      <w:r>
        <w:rPr>
          <w:rFonts w:hint="eastAsia" w:ascii="Times New Roman" w:hAnsi="Times New Roman" w:eastAsia="仿宋_GB2312" w:cs="Times New Roman"/>
          <w:sz w:val="32"/>
          <w:szCs w:val="32"/>
          <w:lang w:val="en-US" w:eastAsia="zh-CN"/>
        </w:rPr>
        <w:t>根据市领导对《攀枝花市机关事务服务中心 攀枝花市财政局关于解决市自然资源和规划局办公场地搬迁维修费用的请示》（攀机服〔2025〕28号）作出批示，以及中共攀枝花市自然资源和规划局党组2025年第20次（扩大）会议决议同意开展办公用房维修改造工作</w:t>
      </w:r>
      <w:r>
        <w:rPr>
          <w:rFonts w:ascii="Times New Roman" w:hAnsi="Times New Roman" w:eastAsia="仿宋_GB2312" w:cs="Times New Roman"/>
          <w:sz w:val="32"/>
          <w:szCs w:val="32"/>
          <w:lang w:val="en-US" w:eastAsia="zh-CN"/>
        </w:rPr>
        <w:t>，以解决办公用房墙面</w:t>
      </w:r>
      <w:r>
        <w:rPr>
          <w:rFonts w:hint="eastAsia" w:ascii="Times New Roman" w:hAnsi="Times New Roman" w:eastAsia="仿宋_GB2312" w:cs="Times New Roman"/>
          <w:sz w:val="32"/>
          <w:szCs w:val="32"/>
          <w:lang w:val="en-US" w:eastAsia="zh-CN"/>
        </w:rPr>
        <w:t>修补</w:t>
      </w:r>
      <w:r>
        <w:rPr>
          <w:rFonts w:ascii="Times New Roman" w:hAnsi="Times New Roman" w:eastAsia="仿宋_GB2312" w:cs="Times New Roman"/>
          <w:sz w:val="32"/>
          <w:szCs w:val="32"/>
          <w:lang w:val="en-US" w:eastAsia="zh-CN"/>
        </w:rPr>
        <w:t xml:space="preserve">、设施老旧等问题为核心目标，严格遵循财政预算管理及政府投资项目相关规定。 </w:t>
      </w:r>
    </w:p>
    <w:p w14:paraId="450179AD">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资金专项用于办公用房墙地面、隔墙、</w:t>
      </w:r>
      <w:r>
        <w:rPr>
          <w:rFonts w:hint="eastAsia" w:ascii="Times New Roman" w:hAnsi="Times New Roman" w:eastAsia="仿宋_GB2312" w:cs="Times New Roman"/>
          <w:sz w:val="32"/>
          <w:szCs w:val="32"/>
          <w:lang w:val="en-US" w:eastAsia="zh-CN"/>
        </w:rPr>
        <w:t>顶面</w:t>
      </w:r>
      <w:r>
        <w:rPr>
          <w:rFonts w:ascii="Times New Roman" w:hAnsi="Times New Roman" w:eastAsia="仿宋_GB2312" w:cs="Times New Roman"/>
          <w:sz w:val="32"/>
          <w:szCs w:val="32"/>
          <w:lang w:val="en-US" w:eastAsia="zh-CN"/>
        </w:rPr>
        <w:t>等维修改造工程</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明确施工流程、质量标准、资金支付节点及监督考核</w:t>
      </w:r>
    </w:p>
    <w:p w14:paraId="2B9563B4">
      <w:pPr>
        <w:adjustRightInd w:val="0"/>
        <w:snapToGrid w:val="0"/>
        <w:spacing w:line="600" w:lineRule="exact"/>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机制，确保项目实施合规、资金使用透明。 </w:t>
      </w:r>
    </w:p>
    <w:p w14:paraId="0C8005CB">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按“先急后缓、保障实用”原则推进项目实施，优先对漏水墙体、破损地面等影响正常办公的区域进行改造，同步优</w:t>
      </w:r>
    </w:p>
    <w:p w14:paraId="5CEF67CE">
      <w:pPr>
        <w:adjustRightInd w:val="0"/>
        <w:snapToGrid w:val="0"/>
        <w:spacing w:line="600" w:lineRule="exact"/>
        <w:rPr>
          <w:rFonts w:ascii="Times New Roman" w:hAnsi="Times New Roman" w:eastAsia="仿宋_GB2312" w:cs="Times New Roman"/>
          <w:color w:val="auto"/>
          <w:kern w:val="2"/>
          <w:sz w:val="32"/>
          <w:szCs w:val="32"/>
          <w:lang w:val="en-US" w:eastAsia="zh-CN"/>
        </w:rPr>
      </w:pPr>
      <w:r>
        <w:rPr>
          <w:rFonts w:ascii="Times New Roman" w:hAnsi="Times New Roman" w:eastAsia="仿宋_GB2312" w:cs="Times New Roman"/>
          <w:sz w:val="32"/>
          <w:szCs w:val="32"/>
          <w:lang w:val="en-US" w:eastAsia="zh-CN"/>
        </w:rPr>
        <w:t>化办公空间布局，兼顾工程质量与施工效率。</w:t>
      </w:r>
      <w:r>
        <w:rPr>
          <w:rFonts w:ascii="Times New Roman" w:hAnsi="Times New Roman" w:eastAsia="仿宋_GB2312" w:cs="Times New Roman"/>
          <w:color w:val="auto"/>
          <w:kern w:val="2"/>
          <w:sz w:val="32"/>
          <w:szCs w:val="32"/>
          <w:lang w:val="en-US" w:eastAsia="zh-CN"/>
        </w:rPr>
        <w:t xml:space="preserve"> </w:t>
      </w:r>
    </w:p>
    <w:p w14:paraId="1B385345">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（二）</w:t>
      </w:r>
      <w:r>
        <w:rPr>
          <w:rFonts w:ascii="Times New Roman" w:hAnsi="Times New Roman" w:eastAsia="楷体_GB2312" w:cs="Times New Roman"/>
          <w:b/>
          <w:sz w:val="32"/>
          <w:szCs w:val="32"/>
          <w:lang w:val="en-US" w:eastAsia="zh-CN"/>
        </w:rPr>
        <w:t>项目绩效目标</w:t>
      </w:r>
      <w:r>
        <w:rPr>
          <w:rFonts w:hint="eastAsia" w:ascii="Times New Roman" w:hAnsi="Times New Roman" w:eastAsia="楷体_GB2312" w:cs="Times New Roman"/>
          <w:b/>
          <w:sz w:val="32"/>
          <w:szCs w:val="32"/>
          <w:lang w:val="en-US" w:eastAsia="zh-CN"/>
        </w:rPr>
        <w:t>。</w:t>
      </w:r>
      <w:r>
        <w:rPr>
          <w:rFonts w:ascii="Times New Roman" w:hAnsi="Times New Roman" w:eastAsia="楷体_GB2312" w:cs="Times New Roman"/>
          <w:b/>
          <w:sz w:val="32"/>
          <w:szCs w:val="32"/>
          <w:lang w:val="en-US" w:eastAsia="zh-CN"/>
        </w:rPr>
        <w:t xml:space="preserve"> </w:t>
      </w:r>
    </w:p>
    <w:p w14:paraId="109D10CF">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1. 完成既定维修改造工程量，实现办公用房墙面、地面、防水等设施全面修复，办公空间布局优化，消除办公安全隐患。 </w:t>
      </w:r>
    </w:p>
    <w:p w14:paraId="696E698D">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2. 各类维修改造工程量完成率≥95%，工程质量符合国家相关施工规范及验收标准，验收合格率100%；项目完成时限控制在2026年6月前，办公效率较改造前提升10%，干部职工及办事群众满意度≥90%。 </w:t>
      </w:r>
    </w:p>
    <w:p w14:paraId="748AB690">
      <w:pPr>
        <w:adjustRightInd w:val="0"/>
        <w:snapToGrid w:val="0"/>
        <w:spacing w:line="600" w:lineRule="exact"/>
        <w:ind w:firstLine="720"/>
        <w:rPr>
          <w:rFonts w:ascii="Times New Roman" w:hAnsi="Times New Roman" w:eastAsia="仿宋_GB2312" w:cs="Times New Roman"/>
          <w:color w:val="auto"/>
          <w:kern w:val="2"/>
          <w:sz w:val="32"/>
          <w:szCs w:val="32"/>
          <w:lang w:val="en-US" w:eastAsia="zh-CN"/>
        </w:rPr>
      </w:pPr>
      <w:r>
        <w:rPr>
          <w:rFonts w:ascii="Times New Roman" w:hAnsi="Times New Roman" w:eastAsia="仿宋_GB2312" w:cs="Times New Roman"/>
          <w:sz w:val="32"/>
          <w:szCs w:val="32"/>
          <w:lang w:val="en-US" w:eastAsia="zh-CN"/>
        </w:rPr>
        <w:t xml:space="preserve">3. 目标贴合部门办公用房实际现状及行政工作发展需求，各项指标量化可考核、可验证，与提升政务服务效能、保障日常办公的核心职能高度匹配，具备实际可行性。 </w:t>
      </w:r>
    </w:p>
    <w:p w14:paraId="091D0F59">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ascii="Times New Roman" w:hAnsi="Times New Roman" w:eastAsia="楷体_GB2312" w:cs="Times New Roman"/>
          <w:b/>
          <w:sz w:val="32"/>
          <w:szCs w:val="32"/>
          <w:lang w:val="en-US" w:eastAsia="zh-CN"/>
        </w:rPr>
      </w:pPr>
      <w:r>
        <w:rPr>
          <w:rFonts w:ascii="Times New Roman" w:hAnsi="Times New Roman" w:eastAsia="楷体_GB2312" w:cs="Times New Roman"/>
          <w:b/>
          <w:sz w:val="32"/>
          <w:szCs w:val="32"/>
          <w:lang w:val="en-US" w:eastAsia="zh-CN"/>
        </w:rPr>
        <w:t xml:space="preserve">（三）项目自评步骤及方法 </w:t>
      </w:r>
      <w:r>
        <w:rPr>
          <w:rFonts w:hint="eastAsia" w:ascii="Times New Roman" w:hAnsi="Times New Roman" w:eastAsia="楷体_GB2312" w:cs="Times New Roman"/>
          <w:b/>
          <w:sz w:val="32"/>
          <w:szCs w:val="32"/>
          <w:lang w:val="en-US" w:eastAsia="zh-CN"/>
        </w:rPr>
        <w:t>。</w:t>
      </w:r>
    </w:p>
    <w:p w14:paraId="6F7F1FE3">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采用“资料核验+现场核查+指标对照”相结合的自评方式，首先核查预算批复、施工记录、资金支付凭证等资料的完整性与规范性；其次现场核实各项工程量完成情况、工程质量达标情况；最后对照项目既定绩效指标，逐项评估资金使用、任务完成、效益达成等情况，确保自评结果客观、真实、公正。 </w:t>
      </w:r>
    </w:p>
    <w:p w14:paraId="5EB154E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黑体" w:cs="Times New Roman"/>
          <w:sz w:val="32"/>
          <w:szCs w:val="32"/>
          <w:lang w:val="en-US" w:eastAsia="zh-CN"/>
        </w:rPr>
      </w:pPr>
      <w:r>
        <w:rPr>
          <w:rFonts w:hint="eastAsia" w:ascii="Times New Roman" w:hAnsi="Times New Roman" w:eastAsia="黑体" w:cs="Times New Roman"/>
          <w:sz w:val="32"/>
          <w:szCs w:val="32"/>
          <w:lang w:val="en-US" w:eastAsia="zh-CN"/>
        </w:rPr>
        <w:t>二、</w:t>
      </w:r>
      <w:r>
        <w:rPr>
          <w:rFonts w:ascii="Times New Roman" w:hAnsi="Times New Roman" w:eastAsia="黑体" w:cs="Times New Roman"/>
          <w:sz w:val="32"/>
          <w:szCs w:val="32"/>
          <w:lang w:val="en-US" w:eastAsia="zh-CN"/>
        </w:rPr>
        <w:t xml:space="preserve">项目资金申报及使用情况 </w:t>
      </w:r>
    </w:p>
    <w:p w14:paraId="762E932A">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Times New Roman" w:hAnsi="Times New Roman" w:eastAsia="楷体_GB2312" w:cs="Times New Roman"/>
          <w:b/>
          <w:color w:val="auto"/>
          <w:kern w:val="2"/>
          <w:sz w:val="32"/>
          <w:szCs w:val="32"/>
          <w:lang w:val="en-US" w:eastAsia="zh-CN" w:bidi="ar-SA"/>
        </w:rPr>
      </w:pPr>
      <w:r>
        <w:rPr>
          <w:rFonts w:hint="eastAsia" w:ascii="Times New Roman" w:hAnsi="Times New Roman" w:eastAsia="楷体_GB2312" w:cs="Times New Roman"/>
          <w:b/>
          <w:color w:val="auto"/>
          <w:kern w:val="2"/>
          <w:sz w:val="32"/>
          <w:szCs w:val="32"/>
          <w:lang w:val="en-US" w:eastAsia="zh-CN" w:bidi="ar-SA"/>
        </w:rPr>
        <w:t>（一）</w:t>
      </w:r>
      <w:r>
        <w:rPr>
          <w:rFonts w:ascii="Times New Roman" w:hAnsi="Times New Roman" w:eastAsia="楷体_GB2312" w:cs="Times New Roman"/>
          <w:b/>
          <w:color w:val="auto"/>
          <w:kern w:val="2"/>
          <w:sz w:val="32"/>
          <w:szCs w:val="32"/>
          <w:lang w:val="en-US" w:eastAsia="zh-CN" w:bidi="ar-SA"/>
        </w:rPr>
        <w:t>项目资金申报及批复情况</w:t>
      </w:r>
      <w:r>
        <w:rPr>
          <w:rFonts w:hint="eastAsia" w:ascii="Times New Roman" w:hAnsi="Times New Roman" w:eastAsia="楷体_GB2312" w:cs="Times New Roman"/>
          <w:b/>
          <w:color w:val="auto"/>
          <w:kern w:val="2"/>
          <w:sz w:val="32"/>
          <w:szCs w:val="32"/>
          <w:lang w:val="en-US" w:eastAsia="zh-CN" w:bidi="ar-SA"/>
        </w:rPr>
        <w:t>。</w:t>
      </w:r>
    </w:p>
    <w:p w14:paraId="77F622C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仿宋_GB2312" w:cs="Times New Roman"/>
          <w:color w:val="auto"/>
          <w:kern w:val="2"/>
          <w:sz w:val="32"/>
          <w:szCs w:val="32"/>
          <w:lang w:val="en-US" w:eastAsia="zh-CN"/>
        </w:rPr>
      </w:pPr>
      <w:r>
        <w:rPr>
          <w:rFonts w:ascii="Times New Roman" w:hAnsi="Times New Roman" w:eastAsia="仿宋_GB2312" w:cs="Times New Roman"/>
          <w:color w:val="auto"/>
          <w:kern w:val="2"/>
          <w:sz w:val="32"/>
          <w:szCs w:val="32"/>
          <w:lang w:val="en-US" w:eastAsia="zh-CN"/>
        </w:rPr>
        <w:t xml:space="preserve"> </w:t>
      </w:r>
      <w:r>
        <w:rPr>
          <w:rFonts w:ascii="Times New Roman" w:hAnsi="Times New Roman" w:eastAsia="仿宋_GB2312" w:cs="Times New Roman"/>
          <w:sz w:val="32"/>
          <w:szCs w:val="32"/>
          <w:lang w:val="en-US" w:eastAsia="zh-CN"/>
        </w:rPr>
        <w:t>本项目申报年初预算</w:t>
      </w:r>
      <w:r>
        <w:rPr>
          <w:rFonts w:hint="eastAsia" w:ascii="Times New Roman" w:hAnsi="Times New Roman" w:eastAsia="仿宋_GB2312" w:cs="Times New Roman"/>
          <w:sz w:val="32"/>
          <w:szCs w:val="32"/>
          <w:lang w:val="en-US" w:eastAsia="zh-CN"/>
        </w:rPr>
        <w:t>45</w:t>
      </w:r>
      <w:r>
        <w:rPr>
          <w:rFonts w:ascii="Times New Roman" w:hAnsi="Times New Roman" w:eastAsia="仿宋_GB2312" w:cs="Times New Roman"/>
          <w:sz w:val="32"/>
          <w:szCs w:val="32"/>
          <w:lang w:val="en-US" w:eastAsia="zh-CN"/>
        </w:rPr>
        <w:t xml:space="preserve">万元，根据项目实施实际需求，经财政部门审核后调整预算，最终批复调整后预算3.3万元，全部为财政资金，项目实施周期内无其他预算调整事项。 </w:t>
      </w:r>
    </w:p>
    <w:p w14:paraId="076187D7">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（二）资金计划、到位及使用情况。</w:t>
      </w:r>
    </w:p>
    <w:p w14:paraId="72F4716D">
      <w:pPr>
        <w:adjustRightInd w:val="0"/>
        <w:snapToGrid w:val="0"/>
        <w:spacing w:line="600" w:lineRule="exact"/>
        <w:ind w:firstLine="720"/>
        <w:rPr>
          <w:rFonts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1.</w:t>
      </w:r>
      <w:r>
        <w:rPr>
          <w:rFonts w:ascii="Times New Roman" w:hAnsi="Times New Roman" w:eastAsia="仿宋_GB2312" w:cs="Times New Roman"/>
          <w:sz w:val="32"/>
          <w:szCs w:val="32"/>
          <w:lang w:val="zh-CN" w:eastAsia="zh-CN"/>
        </w:rPr>
        <w:t>资金计划。结合采购进度、合同付款节点制定精细化资金使用计划，明确资金额度、支付时限及审核要件，确保资金拨付与采购进度、应急筹备节奏同步，保障项目顺利推进。</w:t>
      </w:r>
    </w:p>
    <w:p w14:paraId="246D1BC6">
      <w:pPr>
        <w:adjustRightInd w:val="0"/>
        <w:snapToGrid w:val="0"/>
        <w:spacing w:line="600" w:lineRule="exact"/>
        <w:ind w:firstLine="720"/>
        <w:rPr>
          <w:rFonts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2.</w:t>
      </w:r>
      <w:r>
        <w:rPr>
          <w:rFonts w:ascii="Times New Roman" w:hAnsi="Times New Roman" w:eastAsia="仿宋_GB2312" w:cs="Times New Roman"/>
          <w:sz w:val="32"/>
          <w:szCs w:val="32"/>
          <w:lang w:val="zh-CN" w:eastAsia="zh-CN"/>
        </w:rPr>
        <w:t>资金到位。批复预算资金</w:t>
      </w:r>
      <w:r>
        <w:rPr>
          <w:rFonts w:hint="eastAsia" w:ascii="Times New Roman" w:hAnsi="Times New Roman" w:eastAsia="仿宋_GB2312" w:cs="Times New Roman"/>
          <w:sz w:val="32"/>
          <w:szCs w:val="32"/>
          <w:lang w:val="en-US" w:eastAsia="zh-CN"/>
        </w:rPr>
        <w:t>3.3</w:t>
      </w:r>
      <w:r>
        <w:rPr>
          <w:rFonts w:ascii="Times New Roman" w:hAnsi="Times New Roman" w:eastAsia="仿宋_GB2312" w:cs="Times New Roman"/>
          <w:sz w:val="32"/>
          <w:szCs w:val="32"/>
          <w:lang w:val="zh-CN" w:eastAsia="zh-CN"/>
        </w:rPr>
        <w:t>万元已</w:t>
      </w:r>
      <w:r>
        <w:rPr>
          <w:rFonts w:hint="eastAsia" w:ascii="Times New Roman" w:hAnsi="Times New Roman" w:eastAsia="仿宋_GB2312" w:cs="Times New Roman"/>
          <w:sz w:val="32"/>
          <w:szCs w:val="32"/>
          <w:lang w:val="zh-CN" w:eastAsia="zh-CN"/>
        </w:rPr>
        <w:t>全额</w:t>
      </w:r>
      <w:r>
        <w:rPr>
          <w:rFonts w:ascii="Times New Roman" w:hAnsi="Times New Roman" w:eastAsia="仿宋_GB2312" w:cs="Times New Roman"/>
          <w:sz w:val="32"/>
          <w:szCs w:val="32"/>
          <w:lang w:val="zh-CN" w:eastAsia="zh-CN"/>
        </w:rPr>
        <w:t>到位，资金到位率100%，到位及时率100%，无资金滞后到位、拨付不到位等问题，为</w:t>
      </w:r>
      <w:r>
        <w:rPr>
          <w:rFonts w:hint="eastAsia" w:ascii="Times New Roman" w:hAnsi="Times New Roman" w:eastAsia="仿宋_GB2312" w:cs="Times New Roman"/>
          <w:sz w:val="32"/>
          <w:szCs w:val="32"/>
          <w:lang w:val="zh-CN" w:eastAsia="zh-CN"/>
        </w:rPr>
        <w:t>办公用房维修改造项目</w:t>
      </w:r>
      <w:r>
        <w:rPr>
          <w:rFonts w:ascii="Times New Roman" w:hAnsi="Times New Roman" w:eastAsia="仿宋_GB2312" w:cs="Times New Roman"/>
          <w:sz w:val="32"/>
          <w:szCs w:val="32"/>
          <w:lang w:val="zh-CN" w:eastAsia="zh-CN"/>
        </w:rPr>
        <w:t>提供充足资金保障。</w:t>
      </w:r>
    </w:p>
    <w:p w14:paraId="50984FF5">
      <w:pPr>
        <w:adjustRightInd w:val="0"/>
        <w:snapToGrid w:val="0"/>
        <w:spacing w:line="600" w:lineRule="exact"/>
        <w:ind w:firstLine="720"/>
        <w:rPr>
          <w:rFonts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3.</w:t>
      </w:r>
      <w:r>
        <w:rPr>
          <w:rFonts w:ascii="Times New Roman" w:hAnsi="Times New Roman" w:eastAsia="仿宋_GB2312" w:cs="Times New Roman"/>
          <w:sz w:val="32"/>
          <w:szCs w:val="32"/>
          <w:lang w:val="zh-CN" w:eastAsia="zh-CN"/>
        </w:rPr>
        <w:t>资金使用。</w:t>
      </w:r>
      <w:r>
        <w:rPr>
          <w:rFonts w:ascii="Times New Roman" w:hAnsi="Times New Roman" w:eastAsia="仿宋_GB2312" w:cs="Times New Roman"/>
          <w:sz w:val="32"/>
          <w:szCs w:val="32"/>
          <w:lang w:val="en-US" w:eastAsia="zh-CN"/>
        </w:rPr>
        <w:t>资金全部专项用于办公用房维修改造工程施工，</w:t>
      </w:r>
      <w:r>
        <w:rPr>
          <w:rFonts w:ascii="Times New Roman" w:hAnsi="Times New Roman" w:eastAsia="仿宋_GB2312" w:cs="Times New Roman"/>
          <w:sz w:val="32"/>
          <w:szCs w:val="32"/>
          <w:lang w:val="zh-CN" w:eastAsia="zh-CN"/>
        </w:rPr>
        <w:t>严格按照合同约定及财务制度支付，每笔支出均履行审核审批手续，支付凭证齐全、账务清晰。</w:t>
      </w:r>
    </w:p>
    <w:p w14:paraId="3DC715B9">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ascii="Times New Roman" w:hAnsi="Times New Roman" w:eastAsia="宋体" w:cs="Times New Roman"/>
          <w:color w:val="auto"/>
          <w:kern w:val="2"/>
          <w:sz w:val="32"/>
          <w:szCs w:val="32"/>
          <w:lang w:val="en-US" w:eastAsia="zh-CN" w:bidi="ar-SA"/>
        </w:rPr>
      </w:pPr>
      <w:r>
        <w:rPr>
          <w:rFonts w:ascii="Times New Roman" w:hAnsi="Times New Roman" w:eastAsia="楷体_GB2312" w:cs="Times New Roman"/>
          <w:b/>
          <w:color w:val="auto"/>
          <w:kern w:val="2"/>
          <w:sz w:val="32"/>
          <w:szCs w:val="32"/>
          <w:lang w:val="en-US" w:eastAsia="zh-CN" w:bidi="ar-SA"/>
        </w:rPr>
        <w:t>（三）项目财务管理情况</w:t>
      </w:r>
      <w:r>
        <w:rPr>
          <w:rFonts w:ascii="Times New Roman" w:hAnsi="Times New Roman" w:eastAsia="宋体" w:cs="Times New Roman"/>
          <w:color w:val="auto"/>
          <w:kern w:val="2"/>
          <w:sz w:val="32"/>
          <w:szCs w:val="32"/>
          <w:lang w:val="en-US" w:eastAsia="zh-CN" w:bidi="ar-SA"/>
        </w:rPr>
        <w:t xml:space="preserve"> </w:t>
      </w:r>
    </w:p>
    <w:p w14:paraId="52BFF85D">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项目财务管理严格遵循《政府会计制度》《财政专项资金管理办法》等规定，建立项目资金专账管理，账务处理及时、准确，会计核算规范完整。资金支付实行“申请</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审核</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审批</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支付”闭环管理，需提供施工进度证明、验收凭证等相关资料，确保资金支付与工程实施进度一致；全程接受财务部门及内审部门监督，无资金使用违规问题。</w:t>
      </w:r>
    </w:p>
    <w:p w14:paraId="7377240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黑体" w:cs="Times New Roman"/>
          <w:sz w:val="32"/>
          <w:szCs w:val="32"/>
          <w:lang w:val="en-US" w:eastAsia="zh-CN"/>
        </w:rPr>
      </w:pPr>
      <w:r>
        <w:rPr>
          <w:rFonts w:hint="eastAsia" w:ascii="Times New Roman" w:hAnsi="Times New Roman" w:eastAsia="黑体" w:cs="Times New Roman"/>
          <w:sz w:val="32"/>
          <w:szCs w:val="32"/>
          <w:lang w:val="en-US" w:eastAsia="zh-CN"/>
        </w:rPr>
        <w:t xml:space="preserve">三、项目实施及管理情况 </w:t>
      </w:r>
    </w:p>
    <w:p w14:paraId="06536E04">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 xml:space="preserve">（一）项目组织架构及实施流程。 </w:t>
      </w:r>
    </w:p>
    <w:p w14:paraId="62D1FB0C">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成立项目实施工作小组，由办公室牵头负责项目整体统筹、施工单位对接、进度把控及竣工验收，财务部门负责资金核算与支付，各科室配合做好施工期间办公协调工作。项目实施严格遵循“方案制定</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预算申报</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施工单位选定</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现场施工</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阶段性验收</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竣工总验收</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lang w:val="en-US" w:eastAsia="zh-CN"/>
        </w:rPr>
        <w:t>资料归档”的闭环流程，每一步骤均留存完整资料，确保项目实施规范有序。</w:t>
      </w:r>
    </w:p>
    <w:p w14:paraId="2BBDA2D6">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hint="eastAsia" w:ascii="Times New Roman" w:hAnsi="Times New Roman" w:eastAsia="楷体_GB2312" w:cs="Times New Roman"/>
          <w:b/>
          <w:color w:val="auto"/>
          <w:kern w:val="2"/>
          <w:sz w:val="32"/>
          <w:szCs w:val="32"/>
          <w:lang w:val="en-US" w:eastAsia="zh-CN" w:bidi="ar-SA"/>
        </w:rPr>
      </w:pPr>
      <w:r>
        <w:rPr>
          <w:rFonts w:hint="eastAsia" w:ascii="Times New Roman" w:hAnsi="Times New Roman" w:eastAsia="楷体_GB2312" w:cs="Times New Roman"/>
          <w:b/>
          <w:color w:val="auto"/>
          <w:kern w:val="2"/>
          <w:sz w:val="32"/>
          <w:szCs w:val="32"/>
          <w:lang w:val="en-US" w:eastAsia="zh-CN" w:bidi="ar-SA"/>
        </w:rPr>
        <w:t>（二）</w:t>
      </w:r>
      <w:r>
        <w:rPr>
          <w:rFonts w:ascii="Times New Roman" w:hAnsi="Times New Roman" w:eastAsia="楷体_GB2312" w:cs="Times New Roman"/>
          <w:b/>
          <w:color w:val="auto"/>
          <w:kern w:val="2"/>
          <w:sz w:val="32"/>
          <w:szCs w:val="32"/>
          <w:lang w:val="en-US" w:eastAsia="zh-CN" w:bidi="ar-SA"/>
        </w:rPr>
        <w:t>项目管理情况</w:t>
      </w:r>
      <w:r>
        <w:rPr>
          <w:rFonts w:hint="eastAsia" w:ascii="Times New Roman" w:hAnsi="Times New Roman" w:eastAsia="楷体_GB2312" w:cs="Times New Roman"/>
          <w:b/>
          <w:color w:val="auto"/>
          <w:kern w:val="2"/>
          <w:sz w:val="32"/>
          <w:szCs w:val="32"/>
          <w:lang w:val="en-US" w:eastAsia="zh-CN" w:bidi="ar-SA"/>
        </w:rPr>
        <w:t>。</w:t>
      </w:r>
    </w:p>
    <w:p w14:paraId="490A6C47">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项目施工单位通过</w:t>
      </w:r>
      <w:r>
        <w:rPr>
          <w:rFonts w:hint="eastAsia" w:ascii="Times New Roman" w:hAnsi="Times New Roman" w:eastAsia="仿宋_GB2312" w:cs="Times New Roman"/>
          <w:sz w:val="32"/>
          <w:szCs w:val="32"/>
          <w:lang w:val="en-US" w:eastAsia="zh-CN"/>
        </w:rPr>
        <w:t>竞争性磋商</w:t>
      </w:r>
      <w:r>
        <w:rPr>
          <w:rFonts w:ascii="Times New Roman" w:hAnsi="Times New Roman" w:eastAsia="仿宋_GB2312" w:cs="Times New Roman"/>
          <w:sz w:val="32"/>
          <w:szCs w:val="32"/>
          <w:lang w:val="en-US" w:eastAsia="zh-CN"/>
        </w:rPr>
        <w:t xml:space="preserve">方式选定，具备相应施工资质，双方签订正式施工合同，明确施工范围、质量标准、工期要求、价款支付及违约责任等内容。施工过程中，工作小组安排专人现场旁站监督，及时对接施工单位解决施工过程中的问题，对施工材料、施工工艺进行严格核查，确保符合国家相关规范及项目质量要求。项目实施过程公开透明，未涉及招投标环节，相关资料均按要求归档留存。 </w:t>
      </w:r>
    </w:p>
    <w:p w14:paraId="7A925D94">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hint="eastAsia" w:ascii="Times New Roman" w:hAnsi="Times New Roman" w:eastAsia="楷体_GB2312" w:cs="Times New Roman"/>
          <w:b/>
          <w:color w:val="auto"/>
          <w:kern w:val="2"/>
          <w:sz w:val="32"/>
          <w:szCs w:val="32"/>
          <w:lang w:val="en-US" w:eastAsia="zh-CN" w:bidi="ar-SA"/>
        </w:rPr>
      </w:pPr>
      <w:r>
        <w:rPr>
          <w:rFonts w:hint="eastAsia" w:ascii="Times New Roman" w:hAnsi="Times New Roman" w:eastAsia="楷体_GB2312" w:cs="Times New Roman"/>
          <w:b/>
          <w:color w:val="auto"/>
          <w:kern w:val="2"/>
          <w:sz w:val="32"/>
          <w:szCs w:val="32"/>
          <w:lang w:val="en-US" w:eastAsia="zh-CN" w:bidi="ar-SA"/>
        </w:rPr>
        <w:t>（三）</w:t>
      </w:r>
      <w:r>
        <w:rPr>
          <w:rFonts w:ascii="Times New Roman" w:hAnsi="Times New Roman" w:eastAsia="楷体_GB2312" w:cs="Times New Roman"/>
          <w:b/>
          <w:color w:val="auto"/>
          <w:kern w:val="2"/>
          <w:sz w:val="32"/>
          <w:szCs w:val="32"/>
          <w:lang w:val="en-US" w:eastAsia="zh-CN" w:bidi="ar-SA"/>
        </w:rPr>
        <w:t>项目监管情况</w:t>
      </w:r>
      <w:r>
        <w:rPr>
          <w:rFonts w:hint="eastAsia" w:ascii="Times New Roman" w:hAnsi="Times New Roman" w:eastAsia="楷体_GB2312" w:cs="Times New Roman"/>
          <w:b/>
          <w:color w:val="auto"/>
          <w:kern w:val="2"/>
          <w:sz w:val="32"/>
          <w:szCs w:val="32"/>
          <w:lang w:val="en-US" w:eastAsia="zh-CN" w:bidi="ar-SA"/>
        </w:rPr>
        <w:t>。</w:t>
      </w:r>
    </w:p>
    <w:p w14:paraId="5BBEE02F">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建立项目“日常监管+阶段性验收”双重监管机制，针对墙地面贴瓷砖、墙体打拆、防水工程等关键施工环节，完成一项验收一项，验收合格后方可进入下一环节施工。同时，加强施工期间安全监管，规范施工操作，避免施工对日常办公造成影响，确保施工安全、办公安全双保障。 </w:t>
      </w:r>
    </w:p>
    <w:p w14:paraId="3420AC1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黑体" w:cs="Times New Roman"/>
          <w:color w:val="auto"/>
          <w:kern w:val="2"/>
          <w:sz w:val="32"/>
          <w:szCs w:val="32"/>
          <w:lang w:val="en-US" w:eastAsia="zh-CN" w:bidi="ar-SA"/>
        </w:rPr>
      </w:pPr>
      <w:r>
        <w:rPr>
          <w:rFonts w:hint="eastAsia" w:ascii="Times New Roman" w:hAnsi="Times New Roman" w:eastAsia="黑体" w:cs="Times New Roman"/>
          <w:color w:val="auto"/>
          <w:kern w:val="2"/>
          <w:sz w:val="32"/>
          <w:szCs w:val="32"/>
          <w:lang w:val="en-US" w:eastAsia="zh-CN" w:bidi="ar-SA"/>
        </w:rPr>
        <w:t xml:space="preserve"> 四、项目绩效情况</w:t>
      </w:r>
    </w:p>
    <w:p w14:paraId="0636883D">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hint="eastAsia" w:ascii="Times New Roman" w:hAnsi="Times New Roman" w:eastAsia="楷体_GB2312" w:cs="Times New Roman"/>
          <w:b/>
          <w:color w:val="auto"/>
          <w:kern w:val="2"/>
          <w:sz w:val="32"/>
          <w:szCs w:val="32"/>
          <w:lang w:val="en-US" w:eastAsia="zh-CN" w:bidi="ar-SA"/>
        </w:rPr>
      </w:pPr>
      <w:r>
        <w:rPr>
          <w:rFonts w:ascii="Times New Roman" w:hAnsi="Times New Roman" w:eastAsia="楷体_GB2312" w:cs="Times New Roman"/>
          <w:b/>
          <w:color w:val="auto"/>
          <w:kern w:val="2"/>
          <w:sz w:val="32"/>
          <w:szCs w:val="32"/>
          <w:lang w:val="en-US" w:eastAsia="zh-CN" w:bidi="ar-SA"/>
        </w:rPr>
        <w:t xml:space="preserve"> （一）项目完成情况</w:t>
      </w:r>
      <w:r>
        <w:rPr>
          <w:rFonts w:hint="eastAsia" w:ascii="Times New Roman" w:hAnsi="Times New Roman" w:eastAsia="楷体_GB2312" w:cs="Times New Roman"/>
          <w:b/>
          <w:color w:val="auto"/>
          <w:kern w:val="2"/>
          <w:sz w:val="32"/>
          <w:szCs w:val="32"/>
          <w:lang w:val="en-US" w:eastAsia="zh-CN" w:bidi="ar-SA"/>
        </w:rPr>
        <w:t>。</w:t>
      </w:r>
    </w:p>
    <w:p w14:paraId="5E328338">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本项目整体工程量完成率超85%，其中墙地面贴瓷砖187.56平方米、墙体打拆及新建轻质隔墙355.39平方米、木地板重装补修120.8平方米、墙地面防水141.1平方米等工程量均100%完成；拆除后墙顶面修补及乳胶漆、石膏找平工程因项目仍在施工，暂完成1900平方米、2000平方米，剩余工程量正有序推进。 </w:t>
      </w:r>
    </w:p>
    <w:p w14:paraId="78E408B3">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ascii="Times New Roman" w:hAnsi="Times New Roman" w:eastAsia="楷体_GB2312" w:cs="Times New Roman"/>
          <w:b/>
          <w:color w:val="auto"/>
          <w:kern w:val="2"/>
          <w:sz w:val="32"/>
          <w:szCs w:val="32"/>
          <w:lang w:val="en-US" w:eastAsia="zh-CN" w:bidi="ar-SA"/>
        </w:rPr>
      </w:pPr>
      <w:r>
        <w:rPr>
          <w:rFonts w:ascii="Times New Roman" w:hAnsi="Times New Roman" w:eastAsia="楷体_GB2312" w:cs="Times New Roman"/>
          <w:b/>
          <w:color w:val="auto"/>
          <w:kern w:val="2"/>
          <w:sz w:val="32"/>
          <w:szCs w:val="32"/>
          <w:lang w:val="en-US" w:eastAsia="zh-CN" w:bidi="ar-SA"/>
        </w:rPr>
        <w:t xml:space="preserve">（二）项目效益情况 </w:t>
      </w:r>
    </w:p>
    <w:p w14:paraId="21F4E904">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1. 经济效益：项目实施后，有效修复办公用房老旧、破损设施，消除了因墙体漏水、地面破损等造成的后续维修成本</w:t>
      </w:r>
      <w:r>
        <w:rPr>
          <w:rFonts w:hint="eastAsia" w:ascii="Times New Roman" w:hAnsi="Times New Roman" w:eastAsia="仿宋_GB2312" w:cs="Times New Roman"/>
          <w:sz w:val="32"/>
          <w:szCs w:val="32"/>
          <w:lang w:val="en-US" w:eastAsia="zh-CN"/>
        </w:rPr>
        <w:t>支出，</w:t>
      </w:r>
      <w:r>
        <w:rPr>
          <w:rFonts w:ascii="Times New Roman" w:hAnsi="Times New Roman" w:eastAsia="仿宋_GB2312" w:cs="Times New Roman"/>
          <w:sz w:val="32"/>
          <w:szCs w:val="32"/>
          <w:lang w:val="en-US" w:eastAsia="zh-CN"/>
        </w:rPr>
        <w:t xml:space="preserve">同时优化办公空间布局，提升办公设施使用效率，降低水电、物业等日常运营维护成本，为部门节约长期行政运行开支。 </w:t>
      </w:r>
    </w:p>
    <w:p w14:paraId="7AD79DEF">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2. 社会效益：办公用房硬件条件得到初步改善，办公环境更加整洁、规范，为干部职工提供了</w:t>
      </w:r>
      <w:r>
        <w:rPr>
          <w:rFonts w:hint="eastAsia" w:ascii="Times New Roman" w:hAnsi="Times New Roman" w:eastAsia="仿宋_GB2312" w:cs="Times New Roman"/>
          <w:sz w:val="32"/>
          <w:szCs w:val="32"/>
          <w:lang w:val="en-US" w:eastAsia="zh-CN"/>
        </w:rPr>
        <w:t>更好</w:t>
      </w:r>
      <w:r>
        <w:rPr>
          <w:rFonts w:ascii="Times New Roman" w:hAnsi="Times New Roman" w:eastAsia="仿宋_GB2312" w:cs="Times New Roman"/>
          <w:sz w:val="32"/>
          <w:szCs w:val="32"/>
          <w:lang w:val="en-US" w:eastAsia="zh-CN"/>
        </w:rPr>
        <w:t xml:space="preserve">的工作环境，同时提升了群众办事体验，进一步增强政府部门的服务形象，为提升政务服务效能奠定硬件基础。 </w:t>
      </w:r>
    </w:p>
    <w:p w14:paraId="4C706A3E">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3. 可持续效益：通过维修改造，延长了办公用房及配套设施的使用年限，建立了办公设施常态化维护管理机制，为部门长期履行自然资源和规划管理职能、保障行政工作持续有序运转提供了稳定的硬件保障。 </w:t>
      </w:r>
    </w:p>
    <w:p w14:paraId="24BD9063">
      <w:pPr>
        <w:adjustRightInd w:val="0"/>
        <w:snapToGrid w:val="0"/>
        <w:spacing w:line="600" w:lineRule="exact"/>
        <w:ind w:firstLine="720"/>
        <w:rPr>
          <w:rFonts w:ascii="Times New Roman" w:hAnsi="Times New Roman" w:eastAsia="仿宋_GB2312" w:cs="Times New Roman"/>
          <w:color w:val="auto"/>
          <w:kern w:val="2"/>
          <w:sz w:val="32"/>
          <w:szCs w:val="32"/>
          <w:lang w:val="en-US" w:eastAsia="zh-CN"/>
        </w:rPr>
      </w:pPr>
      <w:r>
        <w:rPr>
          <w:rFonts w:ascii="Times New Roman" w:hAnsi="Times New Roman" w:eastAsia="仿宋_GB2312" w:cs="Times New Roman"/>
          <w:sz w:val="32"/>
          <w:szCs w:val="32"/>
          <w:lang w:val="en-US" w:eastAsia="zh-CN"/>
        </w:rPr>
        <w:t xml:space="preserve">4. 满意度情况：因项目仍处于施工阶段，暂未开展正式满意度调查，从初步反馈情况来看，干部职工对项目实施效果整体认可，对改善办公环境的预期较高，后续将在项目完工后开展全面满意度调查，确保达到既定满意度目标。 </w:t>
      </w:r>
    </w:p>
    <w:p w14:paraId="3C409D3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黑体" w:cs="Times New Roman"/>
          <w:color w:val="auto"/>
          <w:kern w:val="2"/>
          <w:sz w:val="32"/>
          <w:szCs w:val="32"/>
          <w:lang w:val="en-US" w:eastAsia="zh-CN" w:bidi="ar-SA"/>
        </w:rPr>
      </w:pPr>
      <w:r>
        <w:rPr>
          <w:rFonts w:hint="eastAsia" w:ascii="Times New Roman" w:hAnsi="Times New Roman" w:eastAsia="黑体" w:cs="Times New Roman"/>
          <w:color w:val="auto"/>
          <w:kern w:val="2"/>
          <w:sz w:val="32"/>
          <w:szCs w:val="32"/>
          <w:lang w:val="en-US" w:eastAsia="zh-CN" w:bidi="ar-SA"/>
        </w:rPr>
        <w:t xml:space="preserve">五、评价结论及建议 </w:t>
      </w:r>
    </w:p>
    <w:p w14:paraId="12729287">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ascii="Times New Roman" w:hAnsi="Times New Roman" w:eastAsia="楷体_GB2312" w:cs="Times New Roman"/>
          <w:b/>
          <w:color w:val="auto"/>
          <w:kern w:val="2"/>
          <w:sz w:val="32"/>
          <w:szCs w:val="32"/>
          <w:lang w:val="en-US" w:eastAsia="zh-CN" w:bidi="ar-SA"/>
        </w:rPr>
      </w:pPr>
      <w:r>
        <w:rPr>
          <w:rFonts w:ascii="Times New Roman" w:hAnsi="Times New Roman" w:eastAsia="楷体_GB2312" w:cs="Times New Roman"/>
          <w:b/>
          <w:color w:val="auto"/>
          <w:kern w:val="2"/>
          <w:sz w:val="32"/>
          <w:szCs w:val="32"/>
          <w:lang w:val="en-US" w:eastAsia="zh-CN" w:bidi="ar-SA"/>
        </w:rPr>
        <w:t xml:space="preserve"> （一）评价结论 </w:t>
      </w:r>
    </w:p>
    <w:p w14:paraId="6CB8A57D">
      <w:pPr>
        <w:keepNext w:val="0"/>
        <w:keepLines w:val="0"/>
        <w:pageBreakBefore w:val="0"/>
        <w:widowControl w:val="0"/>
        <w:numPr>
          <w:ilvl w:val="0"/>
          <w:numId w:val="0"/>
        </w:numPr>
        <w:kinsoku/>
        <w:wordWrap/>
        <w:overflowPunct/>
        <w:topLinePunct w:val="0"/>
        <w:autoSpaceDE/>
        <w:autoSpaceDN/>
        <w:bidi w:val="0"/>
        <w:spacing w:line="600" w:lineRule="exact"/>
        <w:ind w:firstLine="640" w:firstLineChars="200"/>
        <w:jc w:val="both"/>
        <w:textAlignment w:val="auto"/>
        <w:rPr>
          <w:rFonts w:ascii="Times New Roman" w:hAnsi="Times New Roman" w:eastAsia="仿宋_GB2312" w:cs="Times New Roman"/>
          <w:color w:val="auto"/>
          <w:kern w:val="2"/>
          <w:sz w:val="32"/>
          <w:szCs w:val="32"/>
          <w:lang w:val="en-US" w:eastAsia="zh-CN" w:bidi="ar-SA"/>
        </w:rPr>
      </w:pPr>
      <w:r>
        <w:rPr>
          <w:rFonts w:ascii="Times New Roman" w:hAnsi="Times New Roman" w:eastAsia="仿宋_GB2312" w:cs="Times New Roman"/>
          <w:color w:val="auto"/>
          <w:kern w:val="2"/>
          <w:sz w:val="32"/>
          <w:szCs w:val="32"/>
          <w:lang w:val="en-US" w:eastAsia="zh-CN" w:bidi="ar-SA"/>
        </w:rPr>
        <w:t>本项目绩效自评总分为86分，整体完成阶段性绩效目标。项目立项贴合部门实际需求，资金使用规范合规，预算执行率100%，各项核心工程量按计划完成，工程质量符合国家相关规范，项目实施后已初步显现经济效益和社会效益，有效改善了部分办公区域条件，为后续提升办公效率和政务服务水平奠定了基础。虽因项目仍在施工，部分工程量未完成、部分绩效指标暂未达满分，但整体实施情况良好，</w:t>
      </w:r>
      <w:r>
        <w:rPr>
          <w:rFonts w:hint="eastAsia" w:ascii="Times New Roman" w:hAnsi="Times New Roman" w:eastAsia="仿宋_GB2312" w:cs="Times New Roman"/>
          <w:color w:val="auto"/>
          <w:kern w:val="2"/>
          <w:sz w:val="32"/>
          <w:szCs w:val="32"/>
          <w:lang w:val="en-US" w:eastAsia="zh-CN" w:bidi="ar-SA"/>
        </w:rPr>
        <w:t>效果显著</w:t>
      </w:r>
      <w:r>
        <w:rPr>
          <w:rFonts w:ascii="Times New Roman" w:hAnsi="Times New Roman" w:eastAsia="仿宋_GB2312" w:cs="Times New Roman"/>
          <w:color w:val="auto"/>
          <w:kern w:val="2"/>
          <w:sz w:val="32"/>
          <w:szCs w:val="32"/>
          <w:lang w:val="en-US" w:eastAsia="zh-CN" w:bidi="ar-SA"/>
        </w:rPr>
        <w:t xml:space="preserve">。 </w:t>
      </w:r>
    </w:p>
    <w:p w14:paraId="0D8CC86D">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ascii="Times New Roman" w:hAnsi="Times New Roman" w:eastAsia="楷体_GB2312" w:cs="Times New Roman"/>
          <w:b/>
          <w:color w:val="auto"/>
          <w:kern w:val="2"/>
          <w:sz w:val="32"/>
          <w:szCs w:val="32"/>
          <w:lang w:val="en-US" w:eastAsia="zh-CN" w:bidi="ar-SA"/>
        </w:rPr>
      </w:pPr>
      <w:r>
        <w:rPr>
          <w:rFonts w:ascii="Times New Roman" w:hAnsi="Times New Roman" w:eastAsia="楷体_GB2312" w:cs="Times New Roman"/>
          <w:b/>
          <w:color w:val="auto"/>
          <w:kern w:val="2"/>
          <w:sz w:val="32"/>
          <w:szCs w:val="32"/>
          <w:lang w:val="en-US" w:eastAsia="zh-CN" w:bidi="ar-SA"/>
        </w:rPr>
        <w:t xml:space="preserve">（二）存在的问题 </w:t>
      </w:r>
    </w:p>
    <w:p w14:paraId="6B36A565">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1. 项目施工进度稍缓，受施工工序衔接、现场办公协调等因素影响，乳胶漆、石膏找平部分工程量未完成，项目整体未能按计划提前推进，时效指标未达满分。</w:t>
      </w:r>
    </w:p>
    <w:p w14:paraId="0684776B">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 2. 部分绩效指标因项目未完工暂无法完全验证，如经济效益中的成本节约数据、满意度指标中的干部职工及群众满意度，暂无法完成精准统计与评估。</w:t>
      </w:r>
    </w:p>
    <w:p w14:paraId="1D91AC2C">
      <w:pPr>
        <w:keepNext w:val="0"/>
        <w:keepLines w:val="0"/>
        <w:pageBreakBefore w:val="0"/>
        <w:widowControl w:val="0"/>
        <w:numPr>
          <w:ilvl w:val="0"/>
          <w:numId w:val="0"/>
        </w:numPr>
        <w:kinsoku/>
        <w:wordWrap/>
        <w:overflowPunct/>
        <w:topLinePunct w:val="0"/>
        <w:autoSpaceDE/>
        <w:autoSpaceDN/>
        <w:bidi w:val="0"/>
        <w:spacing w:line="600" w:lineRule="exact"/>
        <w:ind w:firstLine="643" w:firstLineChars="200"/>
        <w:jc w:val="both"/>
        <w:textAlignment w:val="auto"/>
        <w:rPr>
          <w:rFonts w:ascii="Times New Roman" w:hAnsi="Times New Roman" w:eastAsia="楷体_GB2312" w:cs="Times New Roman"/>
          <w:b/>
          <w:color w:val="auto"/>
          <w:kern w:val="2"/>
          <w:sz w:val="32"/>
          <w:szCs w:val="32"/>
          <w:lang w:val="en-US" w:eastAsia="zh-CN" w:bidi="ar-SA"/>
        </w:rPr>
      </w:pPr>
      <w:r>
        <w:rPr>
          <w:rFonts w:ascii="Times New Roman" w:hAnsi="Times New Roman" w:eastAsia="楷体_GB2312" w:cs="Times New Roman"/>
          <w:b/>
          <w:color w:val="auto"/>
          <w:kern w:val="2"/>
          <w:sz w:val="32"/>
          <w:szCs w:val="32"/>
          <w:lang w:val="en-US" w:eastAsia="zh-CN" w:bidi="ar-SA"/>
        </w:rPr>
        <w:t xml:space="preserve">（三）相关建议 </w:t>
      </w:r>
    </w:p>
    <w:p w14:paraId="1EA19EEC">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1. 加快项目施工进度，优化施工工序衔接，安排专人盯紧剩余乳胶漆、石膏找平工程施工，在保证工程质量的前提下，增加施工人力投入，确保项目在2026年6月前如期完工验收，最大限度降低进度滞后影响。 </w:t>
      </w:r>
    </w:p>
    <w:p w14:paraId="746BE961">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 xml:space="preserve">2. 完善绩效指标跟踪评估机制，项目完工后，及时开展工程量全面核查、成本节约数据统计，组织干部职工和办事群众开展满意度问卷调查，精准评估各项绩效指标完成情况，做好绩效结果分析与运用。 </w:t>
      </w:r>
    </w:p>
    <w:p w14:paraId="6A4465B4">
      <w:pPr>
        <w:adjustRightInd w:val="0"/>
        <w:snapToGrid w:val="0"/>
        <w:spacing w:line="600" w:lineRule="exact"/>
        <w:ind w:firstLine="72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en-US" w:eastAsia="zh-CN"/>
        </w:rPr>
        <w:t>3. 强化施工细节管控与现场协调</w:t>
      </w:r>
      <w:r>
        <w:rPr>
          <w:rFonts w:hint="eastAsia" w:ascii="Times New Roman" w:hAnsi="Times New Roman" w:eastAsia="仿宋_GB2312" w:cs="Times New Roman"/>
          <w:sz w:val="32"/>
          <w:szCs w:val="32"/>
          <w:lang w:val="en-US" w:eastAsia="zh-CN"/>
        </w:rPr>
        <w:t>，在</w:t>
      </w:r>
      <w:r>
        <w:rPr>
          <w:rFonts w:ascii="Times New Roman" w:hAnsi="Times New Roman" w:eastAsia="仿宋_GB2312" w:cs="Times New Roman"/>
          <w:sz w:val="32"/>
          <w:szCs w:val="32"/>
          <w:lang w:val="en-US" w:eastAsia="zh-CN"/>
        </w:rPr>
        <w:t>施工收尾阶段进一步优化施工路线，合理安排施工时间，减少施工对日常办公和政务服务的影响。</w:t>
      </w:r>
    </w:p>
    <w:p w14:paraId="7E726F21">
      <w:pPr>
        <w:adjustRightInd w:val="0"/>
        <w:snapToGrid w:val="0"/>
        <w:spacing w:line="600" w:lineRule="exact"/>
        <w:ind w:firstLine="720"/>
        <w:rPr>
          <w:rFonts w:ascii="Times New Roman" w:hAnsi="Times New Roman" w:eastAsia="仿宋_GB2312" w:cs="Times New Roman"/>
          <w:sz w:val="32"/>
          <w:szCs w:val="32"/>
          <w:lang w:val="zh-CN" w:eastAsia="zh-CN"/>
        </w:rPr>
      </w:pPr>
      <w:r>
        <w:rPr>
          <w:rFonts w:ascii="Times New Roman" w:hAnsi="Times New Roman" w:eastAsia="仿宋_GB2312" w:cs="Times New Roman"/>
          <w:sz w:val="32"/>
          <w:szCs w:val="32"/>
          <w:lang w:val="en-US" w:eastAsia="zh-CN"/>
        </w:rPr>
        <w:t xml:space="preserve"> 4. 总结项目实施经验，梳理本次维修改造项目在预算申报、施工管理、进度把控等方面的经验做法与不足，为后续同类办公设施提升项目提供参考，进一步优化项目实施流程，提升项目管理水平和资金使用效益。 </w:t>
      </w:r>
    </w:p>
    <w:p w14:paraId="26B17CC0">
      <w:pPr>
        <w:keepNext w:val="0"/>
        <w:keepLines w:val="0"/>
        <w:pageBreakBefore w:val="0"/>
        <w:widowControl w:val="0"/>
        <w:kinsoku/>
        <w:wordWrap/>
        <w:overflowPunct/>
        <w:topLinePunct w:val="0"/>
        <w:autoSpaceDE/>
        <w:autoSpaceDN/>
        <w:bidi w:val="0"/>
        <w:spacing w:line="600" w:lineRule="exact"/>
        <w:ind w:firstLine="640" w:firstLineChars="200"/>
        <w:jc w:val="center"/>
        <w:textAlignment w:val="auto"/>
        <w:rPr>
          <w:rFonts w:ascii="Times New Roman" w:hAnsi="Times New Roman" w:eastAsia="宋体" w:cs="Times New Roman"/>
          <w:color w:val="auto"/>
          <w:kern w:val="2"/>
          <w:sz w:val="32"/>
          <w:szCs w:val="32"/>
          <w:lang w:val="zh-CN" w:eastAsia="zh-CN" w:bidi="ar-SA"/>
        </w:rPr>
      </w:pPr>
    </w:p>
    <w:p w14:paraId="6559BF0A">
      <w:pPr>
        <w:rPr>
          <w:rFonts w:hint="eastAsia"/>
        </w:rPr>
      </w:pPr>
    </w:p>
    <w:p w14:paraId="179DE0FE">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76BF775D">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2D55A7CB">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7E3BCB85">
      <w:pPr>
        <w:widowControl w:val="0"/>
        <w:spacing w:line="600" w:lineRule="exact"/>
        <w:ind w:firstLine="1840" w:firstLineChars="575"/>
        <w:jc w:val="both"/>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地质灾害应急车辆采购专项</w:t>
      </w:r>
      <w:r>
        <w:rPr>
          <w:rFonts w:ascii="Times New Roman" w:hAnsi="Times New Roman" w:eastAsia="仿宋_GB2312" w:cs="Times New Roman"/>
          <w:color w:val="auto"/>
          <w:kern w:val="2"/>
          <w:sz w:val="32"/>
          <w:szCs w:val="32"/>
          <w:lang w:val="zh-CN" w:eastAsia="zh-CN" w:bidi="ar-SA"/>
        </w:rPr>
        <w:t>）</w:t>
      </w:r>
    </w:p>
    <w:p w14:paraId="3E941B47">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3FCF2EB4">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4B96859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036161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部门负责统筹地质灾害应急车辆采购专项预算项目实施，履行应急用车需求摸排、采购组织实施、资金管控及车辆验收运维监管职责，保障地质灾害巡查排查、应急抢险、救援转运、物资运输等工作高效落地，满足突发地灾处置、汛期应急值守等特殊场景作业需求。</w:t>
      </w:r>
    </w:p>
    <w:p w14:paraId="0FC93B4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项目立项、资金申报的依据：依据部门年度地质灾害防治工作部署、应急救援履职需求及公务用车管理、应急装备保障相关规定立项，以补齐地灾应急作业车辆缺口、提升突发地质灾害应急响应效率、筑牢地质灾害防治防线为目标，严格遵循财政预算管理、应急车辆购置审批等制度规范，结合历年地灾应急用车损耗、辖区地灾隐患点防控需求完成资金申报。</w:t>
      </w:r>
    </w:p>
    <w:p w14:paraId="09998DB6">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资金专项用于地质灾害应急专用车辆购置、车辆上牌及前期审验、保险购置等相关支出，严格遵照《公务用车管理办法</w:t>
      </w:r>
      <w:r>
        <w:rPr>
          <w:rFonts w:hint="eastAsia" w:eastAsia="仿宋_GB2312" w:cs="Times New Roman"/>
          <w:sz w:val="32"/>
          <w:szCs w:val="32"/>
          <w:lang w:val="zh-CN" w:eastAsia="zh-CN"/>
        </w:rPr>
        <w:t>》和</w:t>
      </w:r>
      <w:r>
        <w:rPr>
          <w:rFonts w:ascii="Times New Roman" w:hAnsi="Times New Roman" w:eastAsia="仿宋_GB2312" w:cs="Times New Roman"/>
          <w:sz w:val="32"/>
          <w:szCs w:val="32"/>
          <w:lang w:val="zh-CN" w:eastAsia="zh-CN"/>
        </w:rPr>
        <w:t>《</w:t>
      </w:r>
      <w:r>
        <w:rPr>
          <w:rFonts w:hint="eastAsia" w:ascii="Times New Roman" w:hAnsi="Times New Roman" w:eastAsia="仿宋_GB2312" w:cs="Times New Roman"/>
          <w:sz w:val="32"/>
          <w:szCs w:val="32"/>
          <w:lang w:val="zh-CN" w:eastAsia="zh-CN"/>
        </w:rPr>
        <w:t>中华人民共和国政府采购法</w:t>
      </w:r>
      <w:r>
        <w:rPr>
          <w:rFonts w:ascii="Times New Roman" w:hAnsi="Times New Roman" w:eastAsia="仿宋_GB2312" w:cs="Times New Roman"/>
          <w:sz w:val="32"/>
          <w:szCs w:val="32"/>
          <w:lang w:val="zh-CN" w:eastAsia="zh-CN"/>
        </w:rPr>
        <w:t>》制定采购方案，明确采购审批流程、资金支付节点、车辆验收标准及全流程监督机制，确保资金使用合规、采购流程透明、车辆应急配置达标。</w:t>
      </w:r>
    </w:p>
    <w:p w14:paraId="49EF85E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按“刚需优先、保障应急、厉行节约”原则分配资金，优先保障山区地灾巡查、突发险情抢险、群众转移救援等核心应急岗位用车需求，严格控制车辆配置标准，杜绝超规格、超编制采购，资金额度结合地灾应急车型参数、市场公允价及应急救援配套需求精准核定，确保资金投向精准高效、贴合应急实战。</w:t>
      </w:r>
    </w:p>
    <w:p w14:paraId="41ED40C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4DB3D45D">
      <w:pPr>
        <w:adjustRightInd w:val="0"/>
        <w:snapToGrid w:val="0"/>
        <w:spacing w:line="600" w:lineRule="exact"/>
        <w:ind w:firstLine="720"/>
        <w:rPr>
          <w:rFonts w:ascii="Times New Roman" w:hAnsi="Times New Roman" w:eastAsia="仿宋_GB2312" w:cs="Times New Roman"/>
          <w:sz w:val="32"/>
          <w:szCs w:val="32"/>
          <w:lang w:val="zh-CN" w:eastAsia="zh-CN"/>
        </w:rPr>
      </w:pPr>
      <w:r>
        <w:rPr>
          <w:rFonts w:ascii="Times New Roman" w:hAnsi="Times New Roman" w:eastAsia="仿宋_GB2312" w:cs="Times New Roman"/>
          <w:sz w:val="32"/>
          <w:szCs w:val="32"/>
          <w:lang w:val="en-US" w:eastAsia="zh-CN"/>
        </w:rPr>
        <w:t>1. 通过规范采购流程，完成既定数量地质灾害应急车辆购置、审验及交付使用；建立地灾应急用车专属台账管理机制，规范车辆调度、运维及应急调用流程。</w:t>
      </w:r>
    </w:p>
    <w:p w14:paraId="53148BF5">
      <w:pPr>
        <w:adjustRightInd w:val="0"/>
        <w:snapToGrid w:val="0"/>
        <w:spacing w:line="600" w:lineRule="exact"/>
        <w:ind w:firstLine="720"/>
        <w:rPr>
          <w:rFonts w:ascii="Times New Roman" w:hAnsi="Times New Roman" w:eastAsia="仿宋_GB2312" w:cs="Times New Roman"/>
          <w:sz w:val="32"/>
          <w:szCs w:val="32"/>
          <w:lang w:val="zh-CN" w:eastAsia="zh-CN"/>
        </w:rPr>
      </w:pPr>
      <w:r>
        <w:rPr>
          <w:rFonts w:ascii="Times New Roman" w:hAnsi="Times New Roman" w:eastAsia="仿宋_GB2312" w:cs="Times New Roman"/>
          <w:sz w:val="32"/>
          <w:szCs w:val="32"/>
          <w:lang w:val="en-US" w:eastAsia="zh-CN"/>
        </w:rPr>
        <w:t>2. 地质灾害应急车辆采购完成率100%，车辆验收合格率100%，资金支付及时率≥98%；车辆应急投用及时率≥95%，一线地灾防治科室满意度≥90%；突发地灾应急响应效率较上年提升20%，地灾巡查、抢险出行保障率100%，无因应急用车缺位导致的抢险延误、处置滞后情况。</w:t>
      </w:r>
    </w:p>
    <w:p w14:paraId="08976F5C">
      <w:pPr>
        <w:adjustRightInd w:val="0"/>
        <w:snapToGrid w:val="0"/>
        <w:spacing w:line="600" w:lineRule="exact"/>
        <w:ind w:firstLine="720"/>
        <w:rPr>
          <w:rFonts w:ascii="Times New Roman" w:hAnsi="Times New Roman" w:eastAsia="仿宋_GB2312" w:cs="Times New Roman"/>
          <w:sz w:val="32"/>
          <w:szCs w:val="32"/>
          <w:lang w:val="zh-CN" w:eastAsia="zh-CN"/>
        </w:rPr>
      </w:pPr>
      <w:r>
        <w:rPr>
          <w:rFonts w:ascii="Times New Roman" w:hAnsi="Times New Roman" w:eastAsia="仿宋_GB2312" w:cs="Times New Roman"/>
          <w:sz w:val="32"/>
          <w:szCs w:val="32"/>
          <w:lang w:val="en-US" w:eastAsia="zh-CN"/>
        </w:rPr>
        <w:t>3. 目标贴合地质灾害防治履职实际，指标量化可考核、可追溯，与地灾巡查排查、应急抢险、群众转移等核心应急职能高度匹配，兼顾合规性与实战性，具备较强落地可行性。</w:t>
      </w:r>
    </w:p>
    <w:p w14:paraId="025FD9E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6B767F1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采用“资料核查+现场查验+满意度调研+应急效益复盘”相结合的方式，对照绩效指标逐项核查资金使用规范性、采购流程合规性、车辆交付质量及应急处置效益达成情况；通过查阅采购台账、合同文书、财务凭证、车辆验收报告、应急出车记录，实地查验车辆车况、应急设备配置，发放一线科室满意度问卷，复盘地灾应急保障成效，确保自评结果客观、真实、公正。</w:t>
      </w:r>
    </w:p>
    <w:p w14:paraId="621792E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36BB097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438318C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项目申报预算</w:t>
      </w:r>
      <w:r>
        <w:rPr>
          <w:rFonts w:hint="eastAsia" w:ascii="Times New Roman" w:hAnsi="Times New Roman" w:eastAsia="仿宋_GB2312" w:cs="Times New Roman"/>
          <w:sz w:val="32"/>
          <w:szCs w:val="32"/>
          <w:lang w:val="en-US" w:eastAsia="zh-CN"/>
        </w:rPr>
        <w:t>34.8</w:t>
      </w:r>
      <w:r>
        <w:rPr>
          <w:rFonts w:ascii="Times New Roman" w:hAnsi="Times New Roman" w:eastAsia="仿宋_GB2312" w:cs="Times New Roman"/>
          <w:sz w:val="32"/>
          <w:szCs w:val="32"/>
          <w:lang w:val="zh-CN" w:eastAsia="zh-CN"/>
        </w:rPr>
        <w:t>万元，专项用于地质灾害应急车辆购置及配套应急装备支出，经财政部门、公务用车主管部门、应急管理部门联合审核后全额批复，实施周期内严格执行批复预算，无预算追加、调减、变更等情况，预算执行刚性落实到位</w:t>
      </w:r>
      <w:r>
        <w:rPr>
          <w:rFonts w:ascii="Times New Roman" w:hAnsi="Times New Roman" w:eastAsia="仿宋_GB2312" w:cs="Times New Roman"/>
          <w:sz w:val="32"/>
          <w:szCs w:val="32"/>
          <w:lang w:val="zh-CN"/>
        </w:rPr>
        <w:t>。</w:t>
      </w:r>
    </w:p>
    <w:p w14:paraId="2E7FAEE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0B4E5E7D">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ascii="Times New Roman" w:hAnsi="Times New Roman" w:eastAsia="仿宋_GB2312" w:cs="Times New Roman"/>
          <w:sz w:val="32"/>
          <w:szCs w:val="32"/>
          <w:lang w:val="zh-CN" w:eastAsia="zh-CN"/>
        </w:rPr>
        <w:t>结合采购进度、合同付款节点制定精细化资金使用计划，明确资金额度、支付时限及审核要件，确保资金拨付与采购进度、应急筹备节奏同步，保障项目顺利推进</w:t>
      </w:r>
      <w:r>
        <w:rPr>
          <w:rFonts w:ascii="Times New Roman" w:hAnsi="Times New Roman" w:eastAsia="仿宋_GB2312" w:cs="Times New Roman"/>
          <w:sz w:val="32"/>
          <w:szCs w:val="32"/>
          <w:lang w:val="zh-CN"/>
        </w:rPr>
        <w:t>。</w:t>
      </w:r>
    </w:p>
    <w:p w14:paraId="65873F42">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lang w:val="zh-CN" w:eastAsia="zh-CN"/>
        </w:rPr>
        <w:t>批复预算资金</w:t>
      </w:r>
      <w:r>
        <w:rPr>
          <w:rFonts w:hint="eastAsia" w:ascii="Times New Roman" w:hAnsi="Times New Roman" w:eastAsia="仿宋_GB2312" w:cs="Times New Roman"/>
          <w:sz w:val="32"/>
          <w:szCs w:val="32"/>
          <w:lang w:val="en-US" w:eastAsia="zh-CN"/>
        </w:rPr>
        <w:t>34.8</w:t>
      </w:r>
      <w:r>
        <w:rPr>
          <w:rFonts w:ascii="Times New Roman" w:hAnsi="Times New Roman" w:eastAsia="仿宋_GB2312" w:cs="Times New Roman"/>
          <w:sz w:val="32"/>
          <w:szCs w:val="32"/>
          <w:lang w:val="zh-CN" w:eastAsia="zh-CN"/>
        </w:rPr>
        <w:t>万元已全额足额到位，资金到位率100%，到位及时率100%，无资金滞后到位、拨付不到位等问题，为地灾应急车辆采购提供充足资金保障</w:t>
      </w:r>
      <w:r>
        <w:rPr>
          <w:rFonts w:ascii="Times New Roman" w:hAnsi="Times New Roman" w:eastAsia="仿宋_GB2312" w:cs="Times New Roman"/>
          <w:sz w:val="32"/>
          <w:szCs w:val="32"/>
          <w:lang w:val="zh-CN"/>
        </w:rPr>
        <w:t>。</w:t>
      </w:r>
    </w:p>
    <w:p w14:paraId="1EA6BDD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lang w:val="zh-CN" w:eastAsia="zh-CN"/>
        </w:rPr>
        <w:t>截至自评日，项目资金累计支出</w:t>
      </w:r>
      <w:r>
        <w:rPr>
          <w:rFonts w:hint="eastAsia" w:ascii="Times New Roman" w:hAnsi="Times New Roman" w:eastAsia="仿宋_GB2312" w:cs="Times New Roman"/>
          <w:sz w:val="32"/>
          <w:szCs w:val="32"/>
          <w:lang w:val="en-US" w:eastAsia="zh-CN"/>
        </w:rPr>
        <w:t>34.8</w:t>
      </w:r>
      <w:r>
        <w:rPr>
          <w:rFonts w:ascii="Times New Roman" w:hAnsi="Times New Roman" w:eastAsia="仿宋_GB2312" w:cs="Times New Roman"/>
          <w:sz w:val="32"/>
          <w:szCs w:val="32"/>
          <w:lang w:val="zh-CN" w:eastAsia="zh-CN"/>
        </w:rPr>
        <w:t>万元，资金使用率100%，无资金结余、超支情况。资金全部用于地质灾害应急</w:t>
      </w:r>
      <w:r>
        <w:rPr>
          <w:rFonts w:hint="eastAsia" w:eastAsia="仿宋_GB2312" w:cs="Times New Roman"/>
          <w:sz w:val="32"/>
          <w:szCs w:val="32"/>
          <w:lang w:val="zh-CN" w:eastAsia="zh-CN"/>
        </w:rPr>
        <w:t>专用车道</w:t>
      </w:r>
      <w:r>
        <w:rPr>
          <w:rFonts w:ascii="Times New Roman" w:hAnsi="Times New Roman" w:eastAsia="仿宋_GB2312" w:cs="Times New Roman"/>
          <w:sz w:val="32"/>
          <w:szCs w:val="32"/>
          <w:lang w:val="zh-CN" w:eastAsia="zh-CN"/>
        </w:rPr>
        <w:t>购置、车辆购置税、上牌审验、</w:t>
      </w:r>
      <w:r>
        <w:rPr>
          <w:rFonts w:hint="eastAsia" w:ascii="Times New Roman" w:hAnsi="Times New Roman" w:eastAsia="仿宋_GB2312" w:cs="Times New Roman"/>
          <w:sz w:val="32"/>
          <w:szCs w:val="32"/>
          <w:lang w:val="zh-CN" w:eastAsia="zh-CN"/>
        </w:rPr>
        <w:t>车辆</w:t>
      </w:r>
      <w:r>
        <w:rPr>
          <w:rFonts w:ascii="Times New Roman" w:hAnsi="Times New Roman" w:eastAsia="仿宋_GB2312" w:cs="Times New Roman"/>
          <w:sz w:val="32"/>
          <w:szCs w:val="32"/>
          <w:lang w:val="zh-CN" w:eastAsia="zh-CN"/>
        </w:rPr>
        <w:t>保险等合规支出，严格按照合同约定及财务制度支付，每笔支出均履行审核审批手续，支付凭证齐全、账务清晰</w:t>
      </w:r>
      <w:r>
        <w:rPr>
          <w:rFonts w:ascii="Times New Roman" w:hAnsi="Times New Roman" w:eastAsia="仿宋_GB2312" w:cs="Times New Roman"/>
          <w:sz w:val="32"/>
          <w:szCs w:val="32"/>
          <w:lang w:val="zh-CN"/>
        </w:rPr>
        <w:t>。</w:t>
      </w:r>
    </w:p>
    <w:p w14:paraId="7B957D2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31F53E8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项目财务管理制度健全，严格执行政府采购资金支付、财务核算相关规定，专人负责账务处理，会计核算规范精准，凭证归档完整；全程落实资金监管责任，无资金截留、挤占、挪用、套取等违规违纪问题，资金使用全程可追溯、可核查</w:t>
      </w:r>
      <w:r>
        <w:rPr>
          <w:rFonts w:ascii="Times New Roman" w:hAnsi="Times New Roman" w:eastAsia="仿宋_GB2312" w:cs="Times New Roman"/>
          <w:sz w:val="32"/>
          <w:szCs w:val="32"/>
          <w:lang w:val="zh-CN"/>
        </w:rPr>
        <w:t>。</w:t>
      </w:r>
    </w:p>
    <w:p w14:paraId="1CAB182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三、项目实施及管理情况</w:t>
      </w:r>
    </w:p>
    <w:p w14:paraId="309319E2">
      <w:pPr>
        <w:keepNext w:val="0"/>
        <w:keepLines w:val="0"/>
        <w:widowControl/>
        <w:suppressLineNumbers w:val="0"/>
        <w:ind w:firstLine="643" w:firstLineChars="200"/>
        <w:jc w:val="left"/>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ascii="Times New Roman" w:hAnsi="Times New Roman" w:eastAsia="仿宋_GB2312" w:cs="Times New Roman"/>
          <w:sz w:val="32"/>
          <w:szCs w:val="32"/>
          <w:lang w:val="en-US" w:eastAsia="zh-CN"/>
        </w:rPr>
        <w:t>成立专项采购工作小组，由办公室牵头，财务科、地灾防治科、</w:t>
      </w:r>
      <w:r>
        <w:rPr>
          <w:rFonts w:hint="eastAsia" w:ascii="Times New Roman" w:hAnsi="Times New Roman" w:eastAsia="仿宋_GB2312" w:cs="Times New Roman"/>
          <w:sz w:val="32"/>
          <w:szCs w:val="32"/>
          <w:lang w:val="en-US" w:eastAsia="zh-CN"/>
        </w:rPr>
        <w:t>党委办、法规科</w:t>
      </w:r>
      <w:r>
        <w:rPr>
          <w:rFonts w:ascii="Times New Roman" w:hAnsi="Times New Roman" w:eastAsia="仿宋_GB2312" w:cs="Times New Roman"/>
          <w:sz w:val="32"/>
          <w:szCs w:val="32"/>
          <w:lang w:val="en-US" w:eastAsia="zh-CN"/>
        </w:rPr>
        <w:t>协同配合，明确各岗位职责分工；构建“需求摸排—编制方案—审批报备—招标采购—合同签订—车辆验收—交付投用—台账建档”全流程闭环管理体系，确保各环节无缝衔接、规范有序。</w:t>
      </w:r>
    </w:p>
    <w:p w14:paraId="4B6B0D01">
      <w:pPr>
        <w:numPr>
          <w:ilvl w:val="0"/>
          <w:numId w:val="22"/>
        </w:num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项目管理情况。</w:t>
      </w:r>
      <w:r>
        <w:rPr>
          <w:rFonts w:ascii="Times New Roman" w:hAnsi="Times New Roman" w:eastAsia="仿宋_GB2312" w:cs="Times New Roman"/>
          <w:sz w:val="32"/>
          <w:szCs w:val="32"/>
          <w:lang w:val="zh-CN" w:eastAsia="zh-CN"/>
        </w:rPr>
        <w:t>地质灾害应急车辆采购严格遵循政府采购相关规定，根据采购额度及要求，履行询价采购程序，择优选择具备地灾应急车辆的专业供应商；全程把控车辆越野性能、涉水能力等技术参数，合同条款细化应急质保、售后、验收标准及保障，实施过程公开、公平、公正，全程留存采购档案资料。</w:t>
      </w:r>
    </w:p>
    <w:p w14:paraId="4E1D243E">
      <w:pPr>
        <w:numPr>
          <w:ilvl w:val="0"/>
          <w:numId w:val="0"/>
        </w:numPr>
        <w:adjustRightInd w:val="0"/>
        <w:snapToGrid w:val="0"/>
        <w:spacing w:line="600" w:lineRule="exact"/>
        <w:ind w:firstLine="643" w:firstLineChars="20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eastAsia="zh-CN"/>
        </w:rPr>
        <w:t>党委办</w:t>
      </w:r>
      <w:r>
        <w:rPr>
          <w:rFonts w:ascii="Times New Roman" w:hAnsi="Times New Roman" w:eastAsia="仿宋_GB2312" w:cs="Times New Roman"/>
          <w:sz w:val="32"/>
          <w:szCs w:val="32"/>
          <w:lang w:val="zh-CN" w:eastAsia="zh-CN"/>
        </w:rPr>
        <w:t>全程监督采购流程，防范廉政风险；工作小组定期跟进采购进度；车辆交付后严格按照合同及应急技术标准开展验收，查验车辆资质、车况；建立地质灾害应急车辆专属管理台账，实时跟踪车辆应急调度、运维保养、出车频次情况，确保车辆随时处于战备状态、高效运转</w:t>
      </w:r>
      <w:r>
        <w:rPr>
          <w:rFonts w:ascii="Times New Roman" w:hAnsi="Times New Roman" w:eastAsia="仿宋_GB2312" w:cs="Times New Roman"/>
          <w:sz w:val="32"/>
          <w:szCs w:val="32"/>
          <w:lang w:val="zh-CN"/>
        </w:rPr>
        <w:t>。</w:t>
      </w:r>
    </w:p>
    <w:p w14:paraId="345F113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333B88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2C5FDDC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仿宋_GB2312" w:cs="Times New Roman"/>
          <w:sz w:val="32"/>
          <w:szCs w:val="32"/>
          <w:lang w:val="zh-CN" w:eastAsia="zh-CN"/>
        </w:rPr>
        <w:t>地质灾害应急车辆采购任务全部完成，采购完成率100%；车辆通过专业验收，验收合格率100%，车辆越野性能、应急配置、技术参数完全符合地灾应急抢险作业需求；采购及交付工作严格按照计划周期完成，无延误情况；资金支付及时率100%，全程控制在批复预算范围内，无超支、违规支出，各项任务指标均圆满达成</w:t>
      </w:r>
      <w:r>
        <w:rPr>
          <w:rFonts w:ascii="Times New Roman" w:hAnsi="Times New Roman" w:eastAsia="仿宋_GB2312" w:cs="Times New Roman"/>
          <w:sz w:val="32"/>
          <w:szCs w:val="32"/>
          <w:lang w:val="zh-CN"/>
        </w:rPr>
        <w:t>。</w:t>
      </w:r>
    </w:p>
    <w:p w14:paraId="7CF9BA8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3CBA10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应急履职效益</w:t>
      </w:r>
    </w:p>
    <w:p w14:paraId="23BDDD3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地质灾害应急车辆及时投用后，彻底补齐一线地灾防治用车缺口，隐患巡查、突发险情、群众转移等应急响应速度大幅提升，因用车不足导致的抢险延误率降至0，地灾应急处置效率较上年提升；车辆适配山区、泥泞等复杂作业场景，可快速抵达隐患点位开展抢险，有效降低应急出行安全隐患，筑牢辖区地质灾害防治安全防线。</w:t>
      </w:r>
    </w:p>
    <w:p w14:paraId="2B11D33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可持续效益</w:t>
      </w:r>
    </w:p>
    <w:p w14:paraId="68EF9A5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建立地质灾害应急车辆全生命周期管理机制，规范采购、运维、调度、报废全流程管理，为部门长期开展地灾巡查、应急抢险、汛期值守等工作提供稳定用车保障</w:t>
      </w:r>
      <w:r>
        <w:rPr>
          <w:rFonts w:hint="eastAsia" w:eastAsia="仿宋_GB2312" w:cs="Times New Roman"/>
          <w:sz w:val="32"/>
          <w:szCs w:val="32"/>
          <w:lang w:val="zh-CN" w:eastAsia="zh-CN"/>
        </w:rPr>
        <w:t>；将</w:t>
      </w:r>
      <w:r>
        <w:rPr>
          <w:rFonts w:ascii="Times New Roman" w:hAnsi="Times New Roman" w:eastAsia="仿宋_GB2312" w:cs="Times New Roman"/>
          <w:sz w:val="32"/>
          <w:szCs w:val="32"/>
          <w:lang w:val="zh-CN" w:eastAsia="zh-CN"/>
        </w:rPr>
        <w:t>车辆合规纳入公务应急用车管理体系，实现集约化、规范化管控，降低后期应急运维成本，提升长期应急保障能力。</w:t>
      </w:r>
    </w:p>
    <w:p w14:paraId="61BACF5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 满意度情况</w:t>
      </w:r>
    </w:p>
    <w:p w14:paraId="037C649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一线地灾防治、应急抢险科室对车辆采购质量、投用时效、应急性能满意度达96%，应急值守人员对用车保障服务认可度高，项目实施切实解决了地灾应急处置的痛点难点，筑牢基层防灾减灾硬件基础</w:t>
      </w:r>
      <w:r>
        <w:rPr>
          <w:rFonts w:ascii="Times New Roman" w:hAnsi="Times New Roman" w:eastAsia="仿宋_GB2312" w:cs="Times New Roman"/>
          <w:sz w:val="32"/>
          <w:szCs w:val="32"/>
          <w:lang w:val="zh-CN"/>
        </w:rPr>
        <w:t>。</w:t>
      </w:r>
    </w:p>
    <w:p w14:paraId="0E22719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723E505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A91AF0F">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ascii="Times New Roman" w:hAnsi="Times New Roman" w:eastAsia="仿宋_GB2312" w:cs="Times New Roman"/>
          <w:sz w:val="32"/>
          <w:szCs w:val="32"/>
          <w:lang w:val="zh-CN" w:eastAsia="zh-CN"/>
        </w:rPr>
        <w:t>项目总体评分为96分，圆满完成既定绩效目标，资金使用规范合规，采购流程公开透明，车辆应急性能达标投用，切实提升了地质灾害应急处置效能，达到“补短板、强应急、保安全”的预期效果，项目实施成效显著</w:t>
      </w:r>
      <w:r>
        <w:rPr>
          <w:rFonts w:ascii="Times New Roman" w:hAnsi="Times New Roman" w:eastAsia="仿宋_GB2312" w:cs="Times New Roman"/>
          <w:sz w:val="32"/>
          <w:szCs w:val="32"/>
          <w:lang w:val="zh-CN"/>
        </w:rPr>
        <w:t>。</w:t>
      </w:r>
    </w:p>
    <w:p w14:paraId="091F47B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448D44F4">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1. 采购管理方面：地灾应急车辆专业性、特殊性较强，采购前期市场调研深度不足，对小众应急车型的配件供应、售后抢修效率摸排不够全面；部分应急设备选型与山区地灾抢险场景的适配性有待优化。</w:t>
      </w:r>
    </w:p>
    <w:p w14:paraId="07DC185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2. 运维管理方面：初期未建立针对性的地灾应急车辆运维台账，应急保养、故障抢修记录不够</w:t>
      </w:r>
      <w:r>
        <w:rPr>
          <w:rFonts w:hint="eastAsia" w:eastAsia="仿宋_GB2312" w:cs="Times New Roman"/>
          <w:sz w:val="32"/>
          <w:szCs w:val="32"/>
          <w:lang w:val="zh-CN" w:eastAsia="zh-CN"/>
        </w:rPr>
        <w:t>精细</w:t>
      </w:r>
      <w:r>
        <w:rPr>
          <w:rFonts w:ascii="Times New Roman" w:hAnsi="Times New Roman" w:eastAsia="仿宋_GB2312" w:cs="Times New Roman"/>
          <w:sz w:val="32"/>
          <w:szCs w:val="32"/>
          <w:lang w:val="zh-CN" w:eastAsia="zh-CN"/>
        </w:rPr>
        <w:t>，缺乏专业化应急用车操作培训，部分操作人员对车载应急设备使用熟练度不足。</w:t>
      </w:r>
    </w:p>
    <w:p w14:paraId="0A7ABB48">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3. 绩效评估方面：指标体系侧重采购完成率、投用及时率等短期产出指标，对车辆应急出车频次、抢险响应时长、运维成本管控等长效应急效益指标缺乏量化跟踪</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79515DA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65B49489">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1. 优化采购前期筹备：组建地灾专业调研小组，提前开展应急车辆市场深度调研，比对多家供应商资质、车辆性能、报价及应急售后体系，推行批量议价降低采购成本；结合辖区地灾隐患点地形、抢险需求精准核定车型及应急设备参数，提升实战适配性。</w:t>
      </w:r>
    </w:p>
    <w:p w14:paraId="41C8A778">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2. 健全应急运维体系：建立地质灾害应急车辆专属数字化运维台账，细化应急保养、故障抢修、油耗管控、出车记录等内容；定期开展专业化应急用车及车载设备操作培训，提升操作人员规范使用、应急养护能力，保障车辆随时处于战备状态。</w:t>
      </w:r>
    </w:p>
    <w:p w14:paraId="24DA9D1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eastAsia="zh-CN"/>
        </w:rPr>
        <w:t>3. 完善绩效指标体系：增设“应急出车响应时长”“车辆年应急利用率≥90%”“单车运维成本控制率”等长效应急指标，强化全生命周期绩效跟踪，提升项目绩效管理精细化水平；定期开展应急保障效益复盘，动态优化采购及管理策略</w:t>
      </w:r>
      <w:r>
        <w:rPr>
          <w:rFonts w:ascii="Times New Roman" w:hAnsi="Times New Roman" w:eastAsia="仿宋_GB2312" w:cs="Times New Roman"/>
          <w:sz w:val="32"/>
          <w:szCs w:val="32"/>
          <w:lang w:val="zh-CN"/>
        </w:rPr>
        <w:t>。</w:t>
      </w:r>
    </w:p>
    <w:p w14:paraId="14173D29">
      <w:pPr>
        <w:rPr>
          <w:rFonts w:ascii="Times New Roman" w:hAnsi="Times New Roman" w:eastAsia="仿宋_GB2312" w:cs="Times New Roman"/>
          <w:sz w:val="32"/>
          <w:szCs w:val="32"/>
        </w:rPr>
      </w:pPr>
    </w:p>
    <w:p w14:paraId="623D7649">
      <w:pPr>
        <w:rPr>
          <w:rFonts w:hint="eastAsia"/>
        </w:rPr>
      </w:pPr>
    </w:p>
    <w:p w14:paraId="185BCC1E">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1A69A32C">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06BD2CE1">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 w:hAnsi="??" w:eastAsia="方正小标宋简体" w:cs="Times New Roman"/>
          <w:color w:val="000000"/>
          <w:kern w:val="0"/>
          <w:sz w:val="40"/>
          <w:szCs w:val="40"/>
          <w:lang w:val="zh-CN" w:eastAsia="zh-CN" w:bidi="ar-SA"/>
        </w:rPr>
        <w:t>专项预算项目绩效评价报告</w:t>
      </w:r>
    </w:p>
    <w:p w14:paraId="33653C3D">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第三次全国国土调查项目</w:t>
      </w:r>
      <w:r>
        <w:rPr>
          <w:rFonts w:ascii="Times New Roman" w:hAnsi="Times New Roman" w:eastAsia="仿宋_GB2312" w:cs="Times New Roman"/>
          <w:color w:val="auto"/>
          <w:kern w:val="2"/>
          <w:sz w:val="32"/>
          <w:szCs w:val="32"/>
          <w:lang w:val="zh-CN" w:eastAsia="zh-CN" w:bidi="ar-SA"/>
        </w:rPr>
        <w:t>）</w:t>
      </w:r>
    </w:p>
    <w:p w14:paraId="7A984538">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35E9BDF">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5DECDBE1">
      <w:pPr>
        <w:adjustRightInd w:val="0"/>
        <w:snapToGrid w:val="0"/>
        <w:spacing w:line="600" w:lineRule="exact"/>
        <w:ind w:firstLine="720"/>
        <w:rPr>
          <w:rFonts w:hint="eastAsia"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7BC6346B">
      <w:pPr>
        <w:snapToGrid w:val="0"/>
        <w:spacing w:line="600" w:lineRule="exact"/>
        <w:ind w:firstLine="640" w:firstLineChars="200"/>
        <w:rPr>
          <w:rFonts w:hint="eastAsia" w:ascii="Times New Roman" w:hAnsi="Times New Roman" w:eastAsia="仿宋_GB2312" w:cs="Times New Roman"/>
          <w:sz w:val="32"/>
          <w:szCs w:val="32"/>
          <w:lang w:val="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说明项目主管部门（单位）在该项目管理中的职能。</w:t>
      </w:r>
    </w:p>
    <w:p w14:paraId="094745CF">
      <w:pPr>
        <w:spacing w:line="640" w:lineRule="exact"/>
        <w:ind w:firstLine="645"/>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w:t>
      </w:r>
      <w:r>
        <w:rPr>
          <w:rFonts w:hint="eastAsia" w:eastAsia="仿宋_GB2312" w:cs="Times New Roman"/>
          <w:sz w:val="32"/>
          <w:szCs w:val="32"/>
          <w:lang w:eastAsia="zh-CN"/>
        </w:rPr>
        <w:t>》《</w:t>
      </w:r>
      <w:r>
        <w:rPr>
          <w:rFonts w:hint="eastAsia" w:ascii="Times New Roman" w:hAnsi="Times New Roman" w:eastAsia="仿宋_GB2312" w:cs="Times New Roman"/>
          <w:sz w:val="32"/>
          <w:szCs w:val="32"/>
        </w:rPr>
        <w:t>土地调查条例》有关规定，国务院决定自2017年10月起，开展第三次全国国土调查，掌握</w:t>
      </w:r>
      <w:r>
        <w:rPr>
          <w:rFonts w:hint="eastAsia" w:eastAsia="仿宋_GB2312" w:cs="Times New Roman"/>
          <w:sz w:val="32"/>
          <w:szCs w:val="32"/>
          <w:lang w:eastAsia="zh-CN"/>
        </w:rPr>
        <w:t>翔实</w:t>
      </w:r>
      <w:r>
        <w:rPr>
          <w:rFonts w:hint="eastAsia" w:ascii="Times New Roman" w:hAnsi="Times New Roman" w:eastAsia="仿宋_GB2312" w:cs="Times New Roman"/>
          <w:sz w:val="32"/>
          <w:szCs w:val="32"/>
        </w:rPr>
        <w:t>准确的全国土地利用现状和土地资源变化情况，对山水林田湖草进行一次全面大摸底调查。“三调”作为党中央、国务院在新时代部署的一项重大国情国力调查，事关“两个一百年”重大战略目标实现的基础决策依据，知晓国情国力，查实土地家底，为“十四五”规划、国土空间规划及2020年之后的国家重大决策提供判断，为各级政府加强自然资源管理，科学编制国土空间规划、严格用途管制等提供准确翔实的基础数据支撑。</w:t>
      </w:r>
    </w:p>
    <w:p w14:paraId="52E9157C">
      <w:pPr>
        <w:snapToGrid w:val="0"/>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按照《四川省人民政府转发国务院关于开展第三次全国土地调查的通知的通知（川府发〔2018〕10号）》要求：开展第三次土地调查是查实查清省情省力的重要基础性工作，各地各部门要高度重视，严格按照国发〔2017〕48号文件的任务安排、时间节点和工作要求扎实做好调查工作。要将第三次土地调查必需工作经费纳入同级财政预算，确保调查工作顺利进行。</w:t>
      </w:r>
    </w:p>
    <w:p w14:paraId="7C863476">
      <w:pPr>
        <w:snapToGrid w:val="0"/>
        <w:spacing w:line="600" w:lineRule="exact"/>
        <w:ind w:firstLine="640" w:firstLineChars="200"/>
        <w:rPr>
          <w:rFonts w:ascii="Times New Roman" w:hAnsi="Times New Roman" w:eastAsia="仿宋_GB2312" w:cs="Times New Roman"/>
          <w:sz w:val="32"/>
          <w:szCs w:val="32"/>
        </w:rPr>
      </w:pPr>
      <w:r>
        <w:rPr>
          <w:rFonts w:hint="eastAsia" w:eastAsia="仿宋_GB2312" w:cs="Times New Roman"/>
          <w:sz w:val="32"/>
          <w:szCs w:val="32"/>
          <w:lang w:val="zh-CN"/>
        </w:rPr>
        <w:t>2.</w:t>
      </w:r>
      <w:r>
        <w:rPr>
          <w:rFonts w:ascii="Times New Roman" w:hAnsi="Times New Roman" w:eastAsia="仿宋_GB2312" w:cs="Times New Roman"/>
          <w:sz w:val="32"/>
          <w:szCs w:val="32"/>
          <w:lang w:val="zh-CN"/>
        </w:rPr>
        <w:t>项目立项、资金申报的依据。</w:t>
      </w:r>
      <w:r>
        <w:rPr>
          <w:rFonts w:hint="eastAsia" w:ascii="Times New Roman" w:hAnsi="Times New Roman" w:eastAsia="仿宋_GB2312" w:cs="Times New Roman"/>
          <w:sz w:val="32"/>
          <w:szCs w:val="32"/>
        </w:rPr>
        <w:t>我局根据“三调”工作要求向市政府申报了“三调”项目经费预算，2018年9月市政府领导同意《关于解决攀枝花市第三次全国土地调查经费的请示》。我局根据领导批示，编制市本级三调招投标方案，经局党委审查通过后，组织实施公开招投标工作，确定作业技术服务单位（269.00万元）。</w:t>
      </w:r>
    </w:p>
    <w:p w14:paraId="3EFDA19B">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kern w:val="0"/>
          <w:sz w:val="32"/>
          <w:szCs w:val="32"/>
        </w:rPr>
        <w:t>按照《攀枝花市自然资源和规划局财务管理办法》规定，规范使用资金。</w:t>
      </w:r>
    </w:p>
    <w:p w14:paraId="66DE552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4. 资金分配的原则及考虑因素。</w:t>
      </w:r>
      <w:r>
        <w:rPr>
          <w:rFonts w:hint="eastAsia" w:ascii="Times New Roman" w:hAnsi="Times New Roman" w:eastAsia="仿宋_GB2312" w:cs="Times New Roman"/>
          <w:sz w:val="32"/>
          <w:szCs w:val="32"/>
          <w:lang w:val="zh-CN"/>
        </w:rPr>
        <w:t>资金来源为财政资金。</w:t>
      </w:r>
    </w:p>
    <w:p w14:paraId="4C6873F6">
      <w:pPr>
        <w:adjustRightInd w:val="0"/>
        <w:snapToGrid w:val="0"/>
        <w:spacing w:line="600" w:lineRule="exact"/>
        <w:ind w:firstLine="720"/>
        <w:rPr>
          <w:rFonts w:hint="eastAsia"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550119E6">
      <w:pPr>
        <w:snapToGrid w:val="0"/>
        <w:spacing w:line="60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按照国家统一部署，全面查清我市土地利用状况，掌握真实的土地基础数据，并将调查成果用于信息化服务，满足经济社会发展、土地宏观调控及国土资源管理的需要。按照国家制定的统一技术标准，全面调查攀枝花市土地利用现状及变化情况，包括地类、位置、面积、分布等状况</w:t>
      </w:r>
      <w:r>
        <w:rPr>
          <w:rFonts w:hint="eastAsia" w:eastAsia="仿宋_GB2312" w:cs="Times New Roman"/>
          <w:sz w:val="32"/>
          <w:szCs w:val="32"/>
          <w:lang w:eastAsia="zh-CN"/>
        </w:rPr>
        <w:t>；</w:t>
      </w:r>
      <w:r>
        <w:rPr>
          <w:rFonts w:hint="eastAsia" w:ascii="Times New Roman" w:hAnsi="Times New Roman" w:eastAsia="仿宋_GB2312" w:cs="Times New Roman"/>
          <w:sz w:val="32"/>
          <w:szCs w:val="32"/>
        </w:rPr>
        <w:t>土地权属及变化情况，包括土地的所有权和使用权状况</w:t>
      </w:r>
      <w:r>
        <w:rPr>
          <w:rFonts w:hint="eastAsia" w:eastAsia="仿宋_GB2312" w:cs="Times New Roman"/>
          <w:sz w:val="32"/>
          <w:szCs w:val="32"/>
          <w:lang w:eastAsia="zh-CN"/>
        </w:rPr>
        <w:t>：</w:t>
      </w:r>
      <w:r>
        <w:rPr>
          <w:rFonts w:hint="eastAsia" w:ascii="Times New Roman" w:hAnsi="Times New Roman" w:eastAsia="仿宋_GB2312" w:cs="Times New Roman"/>
          <w:sz w:val="32"/>
          <w:szCs w:val="32"/>
        </w:rPr>
        <w:t>土地条件，包括土地的自然条件、社会经济条件等状况</w:t>
      </w:r>
      <w:r>
        <w:rPr>
          <w:rFonts w:hint="eastAsia" w:eastAsia="仿宋_GB2312" w:cs="Times New Roman"/>
          <w:sz w:val="32"/>
          <w:szCs w:val="32"/>
          <w:lang w:eastAsia="zh-CN"/>
        </w:rPr>
        <w:t>；</w:t>
      </w:r>
      <w:r>
        <w:rPr>
          <w:rFonts w:hint="eastAsia" w:ascii="Times New Roman" w:hAnsi="Times New Roman" w:eastAsia="仿宋_GB2312" w:cs="Times New Roman"/>
          <w:sz w:val="32"/>
          <w:szCs w:val="32"/>
        </w:rPr>
        <w:t>以及重点调查永久基本农田现状及变化情况，包括永久基本农田的数量、分布和保护状况。</w:t>
      </w:r>
    </w:p>
    <w:p w14:paraId="2B8BC29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2B4E01E0">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按照《攀枝花市财政局关于开展市本级预算绩效自评工作的通知》（攀财绩〔</w:t>
      </w:r>
      <w:r>
        <w:rPr>
          <w:rFonts w:ascii="Times New Roman" w:hAnsi="Times New Roman" w:eastAsia="仿宋_GB2312" w:cs="Times New Roman"/>
          <w:sz w:val="32"/>
          <w:szCs w:val="32"/>
          <w:lang w:val="zh-CN"/>
        </w:rPr>
        <w:t>2025</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3</w:t>
      </w:r>
      <w:r>
        <w:rPr>
          <w:rFonts w:hint="eastAsia" w:ascii="Times New Roman" w:hAnsi="Times New Roman" w:eastAsia="仿宋_GB2312" w:cs="Times New Roman"/>
          <w:sz w:val="32"/>
          <w:szCs w:val="32"/>
          <w:lang w:val="zh-CN"/>
        </w:rPr>
        <w:t>号）要求，积极组织开展项目自评工作，通过与项目相关人员座谈或讨论等方法了解项目经费情况，收集相关资料，综合分析相关情况后，对项目决策、项目实施、完成效果、项目效果、社会效益及经济效益等进行评估。</w:t>
      </w:r>
    </w:p>
    <w:p w14:paraId="120B0973">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0B83347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29AF1EC5">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rPr>
        <w:t>项目</w:t>
      </w:r>
      <w:r>
        <w:rPr>
          <w:rFonts w:hint="eastAsia" w:ascii="Times New Roman" w:hAnsi="Times New Roman" w:eastAsia="仿宋_GB2312" w:cs="Times New Roman"/>
          <w:sz w:val="32"/>
          <w:szCs w:val="32"/>
          <w:lang w:val="zh-CN"/>
        </w:rPr>
        <w:t>经费纳入财政预算，我单位按照申请事项和具体工作开展</w:t>
      </w:r>
      <w:r>
        <w:rPr>
          <w:rFonts w:hint="eastAsia" w:ascii="Times New Roman" w:hAnsi="Times New Roman" w:eastAsia="仿宋_GB2312" w:cs="Times New Roman"/>
          <w:sz w:val="32"/>
          <w:szCs w:val="32"/>
        </w:rPr>
        <w:t>情况</w:t>
      </w:r>
      <w:r>
        <w:rPr>
          <w:rFonts w:hint="eastAsia" w:ascii="Times New Roman" w:hAnsi="Times New Roman" w:eastAsia="仿宋_GB2312" w:cs="Times New Roman"/>
          <w:sz w:val="32"/>
          <w:szCs w:val="32"/>
          <w:lang w:val="zh-CN"/>
        </w:rPr>
        <w:t>确定，根据使用进度向财政申请相应资金及时支付。</w:t>
      </w:r>
    </w:p>
    <w:p w14:paraId="274D3CC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0CBF189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1</w:t>
      </w:r>
      <w:r>
        <w:rPr>
          <w:rFonts w:hint="eastAsia" w:ascii="Times New Roman" w:hAnsi="Times New Roman" w:eastAsia="楷体_GB2312" w:cs="Times New Roman"/>
          <w:sz w:val="32"/>
          <w:szCs w:val="32"/>
          <w:lang w:val="zh-CN"/>
        </w:rPr>
        <w:t>.</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项目由</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ascii="Times New Roman" w:hAnsi="Times New Roman" w:eastAsia="仿宋_GB2312" w:cs="Times New Roman"/>
          <w:sz w:val="32"/>
          <w:szCs w:val="32"/>
          <w:lang w:val="zh-CN"/>
        </w:rPr>
        <w:t>。</w:t>
      </w:r>
    </w:p>
    <w:p w14:paraId="7D708B94">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rPr>
        <w:t>2019</w:t>
      </w:r>
      <w:r>
        <w:rPr>
          <w:rFonts w:hint="eastAsia" w:ascii="Times New Roman" w:hAnsi="Times New Roman" w:eastAsia="仿宋_GB2312" w:cs="Times New Roman"/>
          <w:sz w:val="32"/>
          <w:szCs w:val="32"/>
        </w:rPr>
        <w:t>年支付项目启动款和设备安装费</w:t>
      </w:r>
      <w:r>
        <w:rPr>
          <w:rFonts w:ascii="Times New Roman" w:hAnsi="Times New Roman" w:eastAsia="仿宋_GB2312" w:cs="Times New Roman"/>
          <w:sz w:val="32"/>
          <w:szCs w:val="32"/>
        </w:rPr>
        <w:t>53.8</w:t>
      </w:r>
      <w:r>
        <w:rPr>
          <w:rFonts w:hint="eastAsia" w:ascii="Times New Roman" w:hAnsi="Times New Roman" w:eastAsia="仿宋_GB2312" w:cs="Times New Roman"/>
          <w:sz w:val="32"/>
          <w:szCs w:val="32"/>
        </w:rPr>
        <w:t>万元</w:t>
      </w:r>
      <w:r>
        <w:rPr>
          <w:rFonts w:hint="eastAsia" w:eastAsia="仿宋_GB2312" w:cs="Times New Roman"/>
          <w:sz w:val="32"/>
          <w:szCs w:val="32"/>
          <w:lang w:eastAsia="zh-CN"/>
        </w:rPr>
        <w:t>，</w:t>
      </w:r>
      <w:r>
        <w:rPr>
          <w:rFonts w:ascii="Times New Roman" w:hAnsi="Times New Roman" w:eastAsia="仿宋_GB2312" w:cs="Times New Roman"/>
          <w:sz w:val="32"/>
          <w:szCs w:val="32"/>
        </w:rPr>
        <w:t>2024</w:t>
      </w:r>
      <w:r>
        <w:rPr>
          <w:rFonts w:hint="eastAsia" w:ascii="Times New Roman" w:hAnsi="Times New Roman" w:eastAsia="仿宋_GB2312" w:cs="Times New Roman"/>
          <w:sz w:val="32"/>
          <w:szCs w:val="32"/>
        </w:rPr>
        <w:t>年</w:t>
      </w: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月</w:t>
      </w:r>
      <w:r>
        <w:rPr>
          <w:rFonts w:ascii="Times New Roman" w:hAnsi="Times New Roman" w:eastAsia="仿宋_GB2312" w:cs="Times New Roman"/>
          <w:sz w:val="32"/>
          <w:szCs w:val="32"/>
        </w:rPr>
        <w:t>5</w:t>
      </w:r>
      <w:r>
        <w:rPr>
          <w:rFonts w:hint="eastAsia" w:ascii="Times New Roman" w:hAnsi="Times New Roman" w:eastAsia="仿宋_GB2312" w:cs="Times New Roman"/>
          <w:sz w:val="32"/>
          <w:szCs w:val="32"/>
        </w:rPr>
        <w:t>日支付</w:t>
      </w:r>
      <w:r>
        <w:rPr>
          <w:rFonts w:ascii="Times New Roman" w:hAnsi="Times New Roman" w:eastAsia="仿宋_GB2312" w:cs="Times New Roman"/>
          <w:sz w:val="32"/>
          <w:szCs w:val="32"/>
        </w:rPr>
        <w:t>20</w:t>
      </w:r>
      <w:r>
        <w:rPr>
          <w:rFonts w:hint="eastAsia" w:ascii="Times New Roman" w:hAnsi="Times New Roman" w:eastAsia="仿宋_GB2312" w:cs="Times New Roman"/>
          <w:sz w:val="32"/>
          <w:szCs w:val="32"/>
          <w:u w:val="none"/>
        </w:rPr>
        <w:t>万元，剩余</w:t>
      </w:r>
      <w:r>
        <w:rPr>
          <w:rFonts w:ascii="Times New Roman" w:hAnsi="Times New Roman" w:eastAsia="仿宋_GB2312" w:cs="Times New Roman"/>
          <w:sz w:val="32"/>
          <w:szCs w:val="32"/>
          <w:u w:val="none"/>
        </w:rPr>
        <w:t>195.2万元未</w:t>
      </w:r>
      <w:r>
        <w:rPr>
          <w:rFonts w:ascii="Times New Roman" w:hAnsi="Times New Roman" w:eastAsia="仿宋_GB2312" w:cs="Times New Roman"/>
          <w:sz w:val="32"/>
          <w:szCs w:val="32"/>
        </w:rPr>
        <w:t>支付</w:t>
      </w:r>
      <w:r>
        <w:rPr>
          <w:rFonts w:ascii="Times New Roman" w:hAnsi="Times New Roman" w:eastAsia="仿宋_GB2312" w:cs="Times New Roman"/>
          <w:sz w:val="32"/>
          <w:szCs w:val="32"/>
          <w:lang w:val="zh-CN"/>
        </w:rPr>
        <w:t>。</w:t>
      </w:r>
    </w:p>
    <w:p w14:paraId="602AE4F2">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3</w:t>
      </w:r>
      <w:r>
        <w:rPr>
          <w:rFonts w:hint="eastAsia" w:ascii="Times New Roman" w:hAnsi="Times New Roman" w:eastAsia="楷体_GB2312" w:cs="Times New Roman"/>
          <w:sz w:val="32"/>
          <w:szCs w:val="32"/>
          <w:lang w:val="zh-CN"/>
        </w:rPr>
        <w:t>.</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资金支付范围、支付标准、支付进度、支付依据合规合法、与预算相符。</w:t>
      </w:r>
    </w:p>
    <w:p w14:paraId="33791CA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78609167">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按照《攀枝花市自然资源和规划局财务管理办法》规定，严格执行财务管理制度，及时财务处理，规范会计核算。</w:t>
      </w:r>
    </w:p>
    <w:p w14:paraId="384A654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02F21BB7">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由</w:t>
      </w:r>
      <w:r>
        <w:rPr>
          <w:rFonts w:hint="eastAsia" w:ascii="Times New Roman" w:hAnsi="Times New Roman" w:eastAsia="仿宋_GB2312" w:cs="Times New Roman"/>
          <w:sz w:val="32"/>
          <w:szCs w:val="32"/>
        </w:rPr>
        <w:t>调查登记科</w:t>
      </w:r>
      <w:r>
        <w:rPr>
          <w:rFonts w:hint="eastAsia" w:ascii="Times New Roman" w:hAnsi="Times New Roman" w:eastAsia="仿宋_GB2312" w:cs="Times New Roman"/>
          <w:sz w:val="32"/>
          <w:szCs w:val="32"/>
          <w:lang w:val="zh-CN"/>
        </w:rPr>
        <w:t>负责项目实施，资金支出严格执行相关规章制度，票据真实有效，会计核算规范。</w:t>
      </w:r>
    </w:p>
    <w:p w14:paraId="77F936E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184D53F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5D02AD94">
      <w:pPr>
        <w:widowControl w:val="0"/>
        <w:shd w:val="clear" w:color="auto" w:fill="auto"/>
        <w:spacing w:before="0" w:after="0" w:line="580" w:lineRule="exact"/>
        <w:ind w:left="40" w:firstLine="660"/>
        <w:jc w:val="both"/>
        <w:rPr>
          <w:rFonts w:ascii="Times New Roman" w:hAnsi="Times New Roman" w:eastAsia="仿宋_GB2312" w:cs="Times New Roman"/>
          <w:spacing w:val="0"/>
          <w:kern w:val="2"/>
          <w:sz w:val="32"/>
          <w:szCs w:val="32"/>
          <w:lang w:val="en-US" w:eastAsia="zh-CN" w:bidi="ar-SA"/>
        </w:rPr>
      </w:pPr>
      <w:r>
        <w:rPr>
          <w:rFonts w:ascii="Times New Roman" w:hAnsi="Times New Roman" w:eastAsia="仿宋_GB2312" w:cs="Times New Roman"/>
          <w:spacing w:val="0"/>
          <w:kern w:val="2"/>
          <w:sz w:val="32"/>
          <w:szCs w:val="32"/>
          <w:lang w:val="en-US" w:eastAsia="zh-CN" w:bidi="ar-SA"/>
        </w:rPr>
        <w:t>2019</w:t>
      </w:r>
      <w:r>
        <w:rPr>
          <w:rFonts w:hint="eastAsia" w:ascii="Times New Roman" w:hAnsi="Times New Roman" w:eastAsia="仿宋_GB2312" w:cs="Times New Roman"/>
          <w:spacing w:val="0"/>
          <w:kern w:val="2"/>
          <w:sz w:val="32"/>
          <w:szCs w:val="32"/>
          <w:lang w:val="en-US" w:eastAsia="zh-CN" w:bidi="ar-SA"/>
        </w:rPr>
        <w:t>年</w:t>
      </w:r>
      <w:r>
        <w:rPr>
          <w:rFonts w:ascii="Times New Roman" w:hAnsi="Times New Roman" w:eastAsia="仿宋_GB2312" w:cs="Times New Roman"/>
          <w:spacing w:val="0"/>
          <w:kern w:val="2"/>
          <w:sz w:val="32"/>
          <w:szCs w:val="32"/>
          <w:lang w:val="en-US" w:eastAsia="zh-CN" w:bidi="ar-SA"/>
        </w:rPr>
        <w:t>6</w:t>
      </w:r>
      <w:r>
        <w:rPr>
          <w:rFonts w:hint="eastAsia" w:ascii="Times New Roman" w:hAnsi="Times New Roman" w:eastAsia="仿宋_GB2312" w:cs="Times New Roman"/>
          <w:spacing w:val="0"/>
          <w:kern w:val="2"/>
          <w:sz w:val="32"/>
          <w:szCs w:val="32"/>
          <w:lang w:val="en-US" w:eastAsia="zh-CN" w:bidi="ar-SA"/>
        </w:rPr>
        <w:t>月</w:t>
      </w:r>
      <w:r>
        <w:rPr>
          <w:rFonts w:ascii="Times New Roman" w:hAnsi="Times New Roman" w:eastAsia="仿宋_GB2312" w:cs="Times New Roman"/>
          <w:spacing w:val="0"/>
          <w:kern w:val="2"/>
          <w:sz w:val="32"/>
          <w:szCs w:val="32"/>
          <w:lang w:val="en-US" w:eastAsia="zh-CN" w:bidi="ar-SA"/>
        </w:rPr>
        <w:t>25</w:t>
      </w:r>
      <w:r>
        <w:rPr>
          <w:rFonts w:hint="eastAsia" w:ascii="Times New Roman" w:hAnsi="Times New Roman" w:eastAsia="仿宋_GB2312" w:cs="Times New Roman"/>
          <w:spacing w:val="0"/>
          <w:kern w:val="2"/>
          <w:sz w:val="32"/>
          <w:szCs w:val="32"/>
          <w:lang w:val="en-US" w:eastAsia="zh-CN" w:bidi="ar-SA"/>
        </w:rPr>
        <w:t>日，第一轮调查成果在全省率先通过省级核查；</w:t>
      </w:r>
      <w:r>
        <w:rPr>
          <w:rFonts w:ascii="Times New Roman" w:hAnsi="Times New Roman" w:eastAsia="仿宋_GB2312" w:cs="Times New Roman"/>
          <w:spacing w:val="0"/>
          <w:kern w:val="2"/>
          <w:sz w:val="32"/>
          <w:szCs w:val="32"/>
          <w:lang w:val="en-US" w:eastAsia="zh-CN" w:bidi="ar-SA"/>
        </w:rPr>
        <w:t>2019</w:t>
      </w:r>
      <w:r>
        <w:rPr>
          <w:rFonts w:hint="eastAsia" w:ascii="Times New Roman" w:hAnsi="Times New Roman" w:eastAsia="仿宋_GB2312" w:cs="Times New Roman"/>
          <w:spacing w:val="0"/>
          <w:kern w:val="2"/>
          <w:sz w:val="32"/>
          <w:szCs w:val="32"/>
          <w:lang w:val="en-US" w:eastAsia="zh-CN" w:bidi="ar-SA"/>
        </w:rPr>
        <w:t>年</w:t>
      </w:r>
      <w:r>
        <w:rPr>
          <w:rFonts w:ascii="Times New Roman" w:hAnsi="Times New Roman" w:eastAsia="仿宋_GB2312" w:cs="Times New Roman"/>
          <w:spacing w:val="0"/>
          <w:kern w:val="2"/>
          <w:sz w:val="32"/>
          <w:szCs w:val="32"/>
          <w:lang w:val="en-US" w:eastAsia="zh-CN" w:bidi="ar-SA"/>
        </w:rPr>
        <w:t>9</w:t>
      </w:r>
      <w:r>
        <w:rPr>
          <w:rFonts w:hint="eastAsia" w:ascii="Times New Roman" w:hAnsi="Times New Roman" w:eastAsia="仿宋_GB2312" w:cs="Times New Roman"/>
          <w:spacing w:val="0"/>
          <w:kern w:val="2"/>
          <w:sz w:val="32"/>
          <w:szCs w:val="32"/>
          <w:lang w:val="en-US" w:eastAsia="zh-CN" w:bidi="ar-SA"/>
        </w:rPr>
        <w:t>月</w:t>
      </w:r>
      <w:r>
        <w:rPr>
          <w:rFonts w:ascii="Times New Roman" w:hAnsi="Times New Roman" w:eastAsia="仿宋_GB2312" w:cs="Times New Roman"/>
          <w:spacing w:val="0"/>
          <w:kern w:val="2"/>
          <w:sz w:val="32"/>
          <w:szCs w:val="32"/>
          <w:lang w:val="en-US" w:eastAsia="zh-CN" w:bidi="ar-SA"/>
        </w:rPr>
        <w:t>7</w:t>
      </w:r>
      <w:r>
        <w:rPr>
          <w:rFonts w:hint="eastAsia" w:ascii="Times New Roman" w:hAnsi="Times New Roman" w:eastAsia="仿宋_GB2312" w:cs="Times New Roman"/>
          <w:spacing w:val="0"/>
          <w:kern w:val="2"/>
          <w:sz w:val="32"/>
          <w:szCs w:val="32"/>
          <w:lang w:val="en-US" w:eastAsia="zh-CN" w:bidi="ar-SA"/>
        </w:rPr>
        <w:t>日，第二轮整改质量和效率获全省双第一；</w:t>
      </w:r>
      <w:r>
        <w:rPr>
          <w:rFonts w:ascii="Times New Roman" w:hAnsi="Times New Roman" w:eastAsia="仿宋_GB2312" w:cs="Times New Roman"/>
          <w:spacing w:val="0"/>
          <w:kern w:val="2"/>
          <w:sz w:val="32"/>
          <w:szCs w:val="32"/>
          <w:lang w:val="en-US" w:eastAsia="zh-CN" w:bidi="ar-SA"/>
        </w:rPr>
        <w:t>2019</w:t>
      </w:r>
      <w:r>
        <w:rPr>
          <w:rFonts w:hint="eastAsia" w:ascii="Times New Roman" w:hAnsi="Times New Roman" w:eastAsia="仿宋_GB2312" w:cs="Times New Roman"/>
          <w:spacing w:val="0"/>
          <w:kern w:val="2"/>
          <w:sz w:val="32"/>
          <w:szCs w:val="32"/>
          <w:lang w:val="en-US" w:eastAsia="zh-CN" w:bidi="ar-SA"/>
        </w:rPr>
        <w:t>年</w:t>
      </w:r>
      <w:r>
        <w:rPr>
          <w:rFonts w:ascii="Times New Roman" w:hAnsi="Times New Roman" w:eastAsia="仿宋_GB2312" w:cs="Times New Roman"/>
          <w:spacing w:val="0"/>
          <w:kern w:val="2"/>
          <w:sz w:val="32"/>
          <w:szCs w:val="32"/>
          <w:lang w:val="en-US" w:eastAsia="zh-CN" w:bidi="ar-SA"/>
        </w:rPr>
        <w:t>12</w:t>
      </w:r>
      <w:r>
        <w:rPr>
          <w:rFonts w:hint="eastAsia" w:ascii="Times New Roman" w:hAnsi="Times New Roman" w:eastAsia="仿宋_GB2312" w:cs="Times New Roman"/>
          <w:spacing w:val="0"/>
          <w:kern w:val="2"/>
          <w:sz w:val="32"/>
          <w:szCs w:val="32"/>
          <w:lang w:val="en-US" w:eastAsia="zh-CN" w:bidi="ar-SA"/>
        </w:rPr>
        <w:t>月</w:t>
      </w:r>
      <w:r>
        <w:rPr>
          <w:rFonts w:ascii="Times New Roman" w:hAnsi="Times New Roman" w:eastAsia="仿宋_GB2312" w:cs="Times New Roman"/>
          <w:spacing w:val="0"/>
          <w:kern w:val="2"/>
          <w:sz w:val="32"/>
          <w:szCs w:val="32"/>
          <w:lang w:val="en-US" w:eastAsia="zh-CN" w:bidi="ar-SA"/>
        </w:rPr>
        <w:t>20</w:t>
      </w:r>
      <w:r>
        <w:rPr>
          <w:rFonts w:hint="eastAsia" w:ascii="Times New Roman" w:hAnsi="Times New Roman" w:eastAsia="仿宋_GB2312" w:cs="Times New Roman"/>
          <w:spacing w:val="0"/>
          <w:kern w:val="2"/>
          <w:sz w:val="32"/>
          <w:szCs w:val="32"/>
          <w:lang w:val="en-US" w:eastAsia="zh-CN" w:bidi="ar-SA"/>
        </w:rPr>
        <w:t>日，第三轮核查整改全省首批全面报部且差错率最低；</w:t>
      </w:r>
      <w:r>
        <w:rPr>
          <w:rFonts w:ascii="Times New Roman" w:hAnsi="Times New Roman" w:eastAsia="仿宋_GB2312" w:cs="Times New Roman"/>
          <w:spacing w:val="0"/>
          <w:kern w:val="2"/>
          <w:sz w:val="32"/>
          <w:szCs w:val="32"/>
          <w:lang w:val="en-US" w:eastAsia="zh-CN" w:bidi="ar-SA"/>
        </w:rPr>
        <w:t>2020</w:t>
      </w:r>
      <w:r>
        <w:rPr>
          <w:rFonts w:hint="eastAsia" w:ascii="Times New Roman" w:hAnsi="Times New Roman" w:eastAsia="仿宋_GB2312" w:cs="Times New Roman"/>
          <w:spacing w:val="0"/>
          <w:kern w:val="2"/>
          <w:sz w:val="32"/>
          <w:szCs w:val="32"/>
          <w:lang w:val="en-US" w:eastAsia="zh-CN" w:bidi="ar-SA"/>
        </w:rPr>
        <w:t>年</w:t>
      </w:r>
      <w:r>
        <w:rPr>
          <w:rFonts w:ascii="Times New Roman" w:hAnsi="Times New Roman" w:eastAsia="仿宋_GB2312" w:cs="Times New Roman"/>
          <w:spacing w:val="0"/>
          <w:kern w:val="2"/>
          <w:sz w:val="32"/>
          <w:szCs w:val="32"/>
          <w:lang w:val="en-US" w:eastAsia="zh-CN" w:bidi="ar-SA"/>
        </w:rPr>
        <w:t>1</w:t>
      </w:r>
      <w:r>
        <w:rPr>
          <w:rFonts w:hint="eastAsia" w:ascii="Times New Roman" w:hAnsi="Times New Roman" w:eastAsia="仿宋_GB2312" w:cs="Times New Roman"/>
          <w:spacing w:val="0"/>
          <w:kern w:val="2"/>
          <w:sz w:val="32"/>
          <w:szCs w:val="32"/>
          <w:lang w:val="en-US" w:eastAsia="zh-CN" w:bidi="ar-SA"/>
        </w:rPr>
        <w:t>月</w:t>
      </w:r>
      <w:r>
        <w:rPr>
          <w:rFonts w:ascii="Times New Roman" w:hAnsi="Times New Roman" w:eastAsia="仿宋_GB2312" w:cs="Times New Roman"/>
          <w:spacing w:val="0"/>
          <w:kern w:val="2"/>
          <w:sz w:val="32"/>
          <w:szCs w:val="32"/>
          <w:lang w:val="en-US" w:eastAsia="zh-CN" w:bidi="ar-SA"/>
        </w:rPr>
        <w:t>31</w:t>
      </w:r>
      <w:r>
        <w:rPr>
          <w:rFonts w:hint="eastAsia" w:ascii="Times New Roman" w:hAnsi="Times New Roman" w:eastAsia="仿宋_GB2312" w:cs="Times New Roman"/>
          <w:spacing w:val="0"/>
          <w:kern w:val="2"/>
          <w:sz w:val="32"/>
          <w:szCs w:val="32"/>
          <w:lang w:val="en-US" w:eastAsia="zh-CN" w:bidi="ar-SA"/>
        </w:rPr>
        <w:t>日，国家核查反馈全市调查成果差错率</w:t>
      </w:r>
      <w:r>
        <w:rPr>
          <w:rFonts w:ascii="Times New Roman" w:hAnsi="Times New Roman" w:eastAsia="仿宋_GB2312" w:cs="Times New Roman"/>
          <w:spacing w:val="0"/>
          <w:kern w:val="2"/>
          <w:sz w:val="32"/>
          <w:szCs w:val="32"/>
          <w:lang w:val="en-US" w:eastAsia="zh-CN" w:bidi="ar-SA"/>
        </w:rPr>
        <w:t>0.2%</w:t>
      </w:r>
      <w:r>
        <w:rPr>
          <w:rFonts w:hint="eastAsia" w:ascii="Times New Roman" w:hAnsi="Times New Roman" w:eastAsia="仿宋_GB2312" w:cs="Times New Roman"/>
          <w:spacing w:val="0"/>
          <w:kern w:val="2"/>
          <w:sz w:val="32"/>
          <w:szCs w:val="32"/>
          <w:lang w:val="en-US" w:eastAsia="zh-CN" w:bidi="ar-SA"/>
        </w:rPr>
        <w:t>，远低于国家差错率控制在</w:t>
      </w:r>
      <w:r>
        <w:rPr>
          <w:rFonts w:ascii="Times New Roman" w:hAnsi="Times New Roman" w:eastAsia="仿宋_GB2312" w:cs="Times New Roman"/>
          <w:spacing w:val="0"/>
          <w:kern w:val="2"/>
          <w:sz w:val="32"/>
          <w:szCs w:val="32"/>
          <w:lang w:val="en-US" w:eastAsia="zh-CN" w:bidi="ar-SA"/>
        </w:rPr>
        <w:t>1%</w:t>
      </w:r>
      <w:r>
        <w:rPr>
          <w:rFonts w:hint="eastAsia" w:ascii="Times New Roman" w:hAnsi="Times New Roman" w:eastAsia="仿宋_GB2312" w:cs="Times New Roman"/>
          <w:spacing w:val="0"/>
          <w:kern w:val="2"/>
          <w:sz w:val="32"/>
          <w:szCs w:val="32"/>
          <w:lang w:val="en-US" w:eastAsia="zh-CN" w:bidi="ar-SA"/>
        </w:rPr>
        <w:t>以下要求；</w:t>
      </w:r>
      <w:r>
        <w:rPr>
          <w:rFonts w:ascii="Times New Roman" w:hAnsi="Times New Roman" w:eastAsia="仿宋_GB2312" w:cs="Times New Roman"/>
          <w:spacing w:val="0"/>
          <w:kern w:val="2"/>
          <w:sz w:val="32"/>
          <w:szCs w:val="32"/>
          <w:lang w:val="en-US" w:eastAsia="zh-CN" w:bidi="ar-SA"/>
        </w:rPr>
        <w:t>2020</w:t>
      </w:r>
      <w:r>
        <w:rPr>
          <w:rFonts w:hint="eastAsia" w:ascii="Times New Roman" w:hAnsi="Times New Roman" w:eastAsia="仿宋_GB2312" w:cs="Times New Roman"/>
          <w:spacing w:val="0"/>
          <w:kern w:val="2"/>
          <w:sz w:val="32"/>
          <w:szCs w:val="32"/>
          <w:lang w:val="en-US" w:eastAsia="zh-CN" w:bidi="ar-SA"/>
        </w:rPr>
        <w:t>年</w:t>
      </w:r>
      <w:r>
        <w:rPr>
          <w:rFonts w:ascii="Times New Roman" w:hAnsi="Times New Roman" w:eastAsia="仿宋_GB2312" w:cs="Times New Roman"/>
          <w:spacing w:val="0"/>
          <w:kern w:val="2"/>
          <w:sz w:val="32"/>
          <w:szCs w:val="32"/>
          <w:lang w:val="en-US" w:eastAsia="zh-CN" w:bidi="ar-SA"/>
        </w:rPr>
        <w:t>7</w:t>
      </w:r>
      <w:r>
        <w:rPr>
          <w:rFonts w:hint="eastAsia" w:ascii="Times New Roman" w:hAnsi="Times New Roman" w:eastAsia="仿宋_GB2312" w:cs="Times New Roman"/>
          <w:spacing w:val="0"/>
          <w:kern w:val="2"/>
          <w:sz w:val="32"/>
          <w:szCs w:val="32"/>
          <w:lang w:val="en-US" w:eastAsia="zh-CN" w:bidi="ar-SA"/>
        </w:rPr>
        <w:t>月</w:t>
      </w:r>
      <w:r>
        <w:rPr>
          <w:rFonts w:ascii="Times New Roman" w:hAnsi="Times New Roman" w:eastAsia="仿宋_GB2312" w:cs="Times New Roman"/>
          <w:spacing w:val="0"/>
          <w:kern w:val="2"/>
          <w:sz w:val="32"/>
          <w:szCs w:val="32"/>
          <w:lang w:val="en-US" w:eastAsia="zh-CN" w:bidi="ar-SA"/>
        </w:rPr>
        <w:t>20</w:t>
      </w:r>
      <w:r>
        <w:rPr>
          <w:rFonts w:hint="eastAsia" w:ascii="Times New Roman" w:hAnsi="Times New Roman" w:eastAsia="仿宋_GB2312" w:cs="Times New Roman"/>
          <w:spacing w:val="0"/>
          <w:kern w:val="2"/>
          <w:sz w:val="32"/>
          <w:szCs w:val="32"/>
          <w:lang w:val="en-US" w:eastAsia="zh-CN" w:bidi="ar-SA"/>
        </w:rPr>
        <w:t>日，全市“三调”时点更新成果率先通过省级核查上报国家；</w:t>
      </w:r>
      <w:r>
        <w:rPr>
          <w:rFonts w:ascii="Times New Roman" w:hAnsi="Times New Roman" w:eastAsia="仿宋_GB2312" w:cs="Times New Roman"/>
          <w:spacing w:val="0"/>
          <w:kern w:val="2"/>
          <w:sz w:val="32"/>
          <w:szCs w:val="32"/>
          <w:lang w:val="en-US" w:eastAsia="zh-CN" w:bidi="ar-SA"/>
        </w:rPr>
        <w:t>2021</w:t>
      </w:r>
      <w:r>
        <w:rPr>
          <w:rFonts w:hint="eastAsia" w:ascii="Times New Roman" w:hAnsi="Times New Roman" w:eastAsia="仿宋_GB2312" w:cs="Times New Roman"/>
          <w:spacing w:val="0"/>
          <w:kern w:val="2"/>
          <w:sz w:val="32"/>
          <w:szCs w:val="32"/>
          <w:lang w:val="en-US" w:eastAsia="zh-CN" w:bidi="ar-SA"/>
        </w:rPr>
        <w:t>年</w:t>
      </w:r>
      <w:r>
        <w:rPr>
          <w:rFonts w:ascii="Times New Roman" w:hAnsi="Times New Roman" w:eastAsia="仿宋_GB2312" w:cs="Times New Roman"/>
          <w:spacing w:val="0"/>
          <w:kern w:val="2"/>
          <w:sz w:val="32"/>
          <w:szCs w:val="32"/>
          <w:lang w:val="en-US" w:eastAsia="zh-CN" w:bidi="ar-SA"/>
        </w:rPr>
        <w:t>12</w:t>
      </w:r>
      <w:r>
        <w:rPr>
          <w:rFonts w:hint="eastAsia" w:ascii="Times New Roman" w:hAnsi="Times New Roman" w:eastAsia="仿宋_GB2312" w:cs="Times New Roman"/>
          <w:spacing w:val="0"/>
          <w:kern w:val="2"/>
          <w:sz w:val="32"/>
          <w:szCs w:val="32"/>
          <w:lang w:val="en-US" w:eastAsia="zh-CN" w:bidi="ar-SA"/>
        </w:rPr>
        <w:t>月底完成“三调”数据共享平台建设。</w:t>
      </w:r>
    </w:p>
    <w:p w14:paraId="0E49F3F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28216D8C">
      <w:pPr>
        <w:widowControl w:val="0"/>
        <w:shd w:val="clear" w:color="auto" w:fill="auto"/>
        <w:spacing w:before="0" w:after="0" w:line="580" w:lineRule="exact"/>
        <w:ind w:left="40" w:firstLine="660"/>
        <w:jc w:val="both"/>
        <w:rPr>
          <w:rFonts w:ascii="Times New Roman" w:hAnsi="Times New Roman" w:eastAsia="仿宋_GB2312" w:cs="Times New Roman"/>
          <w:spacing w:val="0"/>
          <w:kern w:val="2"/>
          <w:sz w:val="32"/>
          <w:szCs w:val="32"/>
          <w:lang w:val="en-US" w:eastAsia="zh-CN" w:bidi="ar-SA"/>
        </w:rPr>
      </w:pPr>
      <w:r>
        <w:rPr>
          <w:rFonts w:hint="eastAsia" w:ascii="Times New Roman" w:hAnsi="Times New Roman" w:eastAsia="仿宋_GB2312" w:cs="Times New Roman"/>
          <w:spacing w:val="0"/>
          <w:kern w:val="2"/>
          <w:sz w:val="32"/>
          <w:szCs w:val="32"/>
          <w:lang w:val="en-US" w:eastAsia="zh-CN" w:bidi="ar-SA"/>
        </w:rPr>
        <w:t>全市“三调”进度和质量全省领先，受到自然资源厅、省三调办的充分肯定和通报表扬。通过“三调”项目，全面摸清了自然资源家底，查清当前最新的土地利用状况，掌握真实准确的土地基础数据，健全土地调查、监测、统计和登记制度，强化土地资源信息社会化服务，满足经济社会发展和国土资源管理工作需要。</w:t>
      </w:r>
    </w:p>
    <w:p w14:paraId="452EBF6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535C824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0AB0764">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zh-CN"/>
        </w:rPr>
        <w:t>经评价，该项目预算合理，资金管理较好，资金使用总体规范，整体工作发展态势良好，达到预期目标。</w:t>
      </w:r>
    </w:p>
    <w:p w14:paraId="314C1A3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27847A52">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352D4B7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01A6F1EA">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6289D8B2">
      <w:pPr>
        <w:rPr>
          <w:rFonts w:ascii="Times New Roman" w:hAnsi="Times New Roman" w:eastAsia="仿宋_GB2312" w:cs="Times New Roman"/>
          <w:sz w:val="32"/>
          <w:szCs w:val="32"/>
        </w:rPr>
      </w:pPr>
    </w:p>
    <w:p w14:paraId="6390B382">
      <w:pPr>
        <w:widowControl/>
        <w:jc w:val="center"/>
        <w:outlineLvl w:val="0"/>
        <w:rPr>
          <w:rFonts w:hint="eastAsia" w:ascii="Times New Roman" w:hAnsi="Times New Roman" w:eastAsia="黑体"/>
          <w:color w:val="auto"/>
          <w:sz w:val="44"/>
          <w:szCs w:val="44"/>
          <w:highlight w:val="none"/>
        </w:rPr>
      </w:pPr>
    </w:p>
    <w:p w14:paraId="58FF0E87">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1BD334A9">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63B49CE7">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en-US" w:eastAsia="zh-CN" w:bidi="ar-SA"/>
        </w:rPr>
        <w:t>专项预算</w:t>
      </w:r>
      <w:r>
        <w:rPr>
          <w:rFonts w:ascii="Times New Roman" w:hAnsi="Times New Roman" w:eastAsia="方正小标宋简体" w:cs="Times New Roman"/>
          <w:color w:val="auto"/>
          <w:kern w:val="2"/>
          <w:sz w:val="40"/>
          <w:szCs w:val="40"/>
          <w:lang w:val="zh-CN" w:eastAsia="zh-CN" w:bidi="ar-SA"/>
        </w:rPr>
        <w:t>项目支出绩效自评报告</w:t>
      </w:r>
    </w:p>
    <w:p w14:paraId="135439DD">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东区斜坡地质灾害隐患风险详查及3个重点乡（镇、街办）1:10000地质灾害精细化调查</w:t>
      </w:r>
      <w:r>
        <w:rPr>
          <w:rFonts w:ascii="Times New Roman" w:hAnsi="Times New Roman" w:eastAsia="仿宋_GB2312" w:cs="Times New Roman"/>
          <w:color w:val="auto"/>
          <w:kern w:val="2"/>
          <w:sz w:val="32"/>
          <w:szCs w:val="32"/>
          <w:lang w:val="zh-CN" w:eastAsia="zh-CN" w:bidi="ar-SA"/>
        </w:rPr>
        <w:t>）</w:t>
      </w:r>
    </w:p>
    <w:p w14:paraId="3D2027A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09A0AA67">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567A357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58327A7B">
      <w:pPr>
        <w:adjustRightInd w:val="0"/>
        <w:snapToGrid w:val="0"/>
        <w:spacing w:line="600" w:lineRule="exact"/>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根据《四川省自然资源厅关于开展2024年度斜坡地质灾害隐患风险详查和地质灾害“隐患点+风险区”双控试点工作的通知》（川自然资函</w:t>
      </w:r>
      <w:r>
        <w:rPr>
          <w:rFonts w:hint="eastAsia" w:ascii="仿宋_GB2312" w:hAnsi="仿宋_GB2312" w:eastAsia="仿宋_GB2312" w:cs="仿宋_GB2312"/>
          <w:sz w:val="32"/>
          <w:szCs w:val="32"/>
          <w:lang w:val="en-US" w:eastAsia="zh-CN"/>
        </w:rPr>
        <w:t>〔2024〕4号</w:t>
      </w:r>
      <w:r>
        <w:rPr>
          <w:rFonts w:hint="eastAsia" w:ascii="Times New Roman" w:hAnsi="Times New Roman" w:eastAsia="仿宋_GB2312" w:cs="Times New Roman"/>
          <w:sz w:val="32"/>
          <w:szCs w:val="32"/>
          <w:lang w:val="en-US" w:eastAsia="zh-CN"/>
        </w:rPr>
        <w:t>）文件要求，经局党组2024年第6次（扩大）会议议定，根据《中华人民共和国政府采购法》《四川省政府采购服务管理办法》等规定，委托招标代理机构通过政府采购公开招标的方式确定项目承担单位为四川川核地质工程有限公司。</w:t>
      </w:r>
    </w:p>
    <w:p w14:paraId="31685D0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DF84DA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项目主要内容。</w:t>
      </w:r>
      <w:r>
        <w:rPr>
          <w:rFonts w:hint="eastAsia" w:ascii="Times New Roman" w:hAnsi="Times New Roman" w:eastAsia="仿宋_GB2312" w:cs="Times New Roman"/>
          <w:sz w:val="32"/>
          <w:szCs w:val="32"/>
          <w:lang w:val="en-US" w:eastAsia="zh-CN"/>
        </w:rPr>
        <w:t>通过开展斜坡地质灾害隐患风险详查和重点乡镇地质灾害精细化调查，摸清风险斜坡底数，建立风险斜坡数据库，为不断优化乡镇、村级片区国土空间规划提供重要依据，切实推动地质灾害“隐患点+风险区”管控试点等重点工作，全面支撑县（市、区）、乡（镇、街道）开展地质灾害防治工作。</w:t>
      </w:r>
    </w:p>
    <w:p w14:paraId="38004E5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项目应实现的具体绩效目标。</w:t>
      </w:r>
      <w:r>
        <w:rPr>
          <w:rFonts w:hint="eastAsia" w:ascii="Times New Roman" w:hAnsi="Times New Roman" w:eastAsia="仿宋_GB2312" w:cs="Times New Roman"/>
          <w:sz w:val="32"/>
          <w:szCs w:val="32"/>
          <w:lang w:val="zh-CN"/>
        </w:rPr>
        <w:t>开展</w:t>
      </w:r>
      <w:r>
        <w:rPr>
          <w:rFonts w:hint="eastAsia" w:ascii="Times New Roman" w:hAnsi="Times New Roman" w:eastAsia="仿宋_GB2312" w:cs="Times New Roman"/>
          <w:sz w:val="32"/>
          <w:szCs w:val="32"/>
          <w:lang w:val="en-US" w:eastAsia="zh-CN"/>
        </w:rPr>
        <w:t>3个</w:t>
      </w:r>
      <w:r>
        <w:rPr>
          <w:rFonts w:hint="eastAsia" w:ascii="Times New Roman" w:hAnsi="Times New Roman" w:eastAsia="仿宋_GB2312" w:cs="Times New Roman"/>
          <w:sz w:val="32"/>
          <w:szCs w:val="32"/>
          <w:lang w:val="zh-CN"/>
        </w:rPr>
        <w:t>重点乡镇地质灾害精细1:10000 化调查、开展斜坡地质灾害隐患风险详查。</w:t>
      </w:r>
    </w:p>
    <w:p w14:paraId="0EE7DB7B">
      <w:pPr>
        <w:numPr>
          <w:ilvl w:val="0"/>
          <w:numId w:val="23"/>
        </w:numPr>
        <w:adjustRightInd w:val="0"/>
        <w:snapToGrid w:val="0"/>
        <w:spacing w:line="600" w:lineRule="exact"/>
        <w:ind w:left="0"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申报内容与实际相符，申报目标合理可行。</w:t>
      </w:r>
    </w:p>
    <w:p w14:paraId="61595B8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7BBEB467">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1.通过项目请示、财务报账收集数据。</w:t>
      </w:r>
    </w:p>
    <w:p w14:paraId="2CFA90D7">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2.对专项预算项目绩效自评报告范本进行分析，对比实际成果与预设目标。</w:t>
      </w:r>
    </w:p>
    <w:p w14:paraId="61294065">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3.识别预算执行偏差、管理漏洞或绩效不足的领域，如资金使用效率低或目标达成滞后。</w:t>
      </w:r>
    </w:p>
    <w:p w14:paraId="49F09D4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13D6DBE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551EE76D">
      <w:pPr>
        <w:adjustRightInd w:val="0"/>
        <w:snapToGrid w:val="0"/>
        <w:spacing w:line="600" w:lineRule="exact"/>
        <w:ind w:firstLine="72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经局党组</w:t>
      </w:r>
      <w:r>
        <w:rPr>
          <w:rFonts w:hint="eastAsia" w:ascii="Times New Roman" w:hAnsi="Times New Roman" w:eastAsia="仿宋_GB2312" w:cs="Times New Roman"/>
          <w:sz w:val="32"/>
          <w:szCs w:val="32"/>
          <w:lang w:val="en-US" w:eastAsia="zh-CN"/>
        </w:rPr>
        <w:t>2024年第6次（扩大会议）审议通过。</w:t>
      </w:r>
    </w:p>
    <w:p w14:paraId="5AEF734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4BF79A02">
      <w:pPr>
        <w:adjustRightInd w:val="0"/>
        <w:snapToGrid w:val="0"/>
        <w:spacing w:line="600" w:lineRule="exact"/>
        <w:ind w:firstLine="720"/>
        <w:rPr>
          <w:rFonts w:ascii="Times New Roman" w:hAnsi="Times New Roman" w:eastAsia="楷体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p>
    <w:p w14:paraId="6E1BC184">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由市级</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ascii="Times New Roman" w:hAnsi="Times New Roman" w:eastAsia="仿宋_GB2312" w:cs="Times New Roman"/>
          <w:sz w:val="32"/>
          <w:szCs w:val="32"/>
          <w:lang w:val="zh-CN"/>
        </w:rPr>
        <w:t>。</w:t>
      </w:r>
    </w:p>
    <w:p w14:paraId="4368979C">
      <w:pPr>
        <w:numPr>
          <w:ilvl w:val="0"/>
          <w:numId w:val="24"/>
        </w:numPr>
        <w:adjustRightInd w:val="0"/>
        <w:snapToGrid w:val="0"/>
        <w:spacing w:line="600" w:lineRule="exact"/>
        <w:ind w:left="0" w:firstLine="720"/>
        <w:rPr>
          <w:rFonts w:ascii="Times New Roman" w:hAnsi="Times New Roman" w:eastAsia="楷体_GB2312" w:cs="Times New Roman"/>
          <w:sz w:val="32"/>
          <w:szCs w:val="32"/>
          <w:lang w:val="zh-CN"/>
        </w:rPr>
      </w:pPr>
      <w:r>
        <w:rPr>
          <w:rFonts w:ascii="Times New Roman" w:hAnsi="Times New Roman" w:eastAsia="楷体_GB2312" w:cs="Times New Roman"/>
          <w:sz w:val="32"/>
          <w:szCs w:val="32"/>
          <w:lang w:val="zh-CN"/>
        </w:rPr>
        <w:t>资金到位。</w:t>
      </w:r>
    </w:p>
    <w:p w14:paraId="431CC9D6">
      <w:pPr>
        <w:adjustRightInd w:val="0"/>
        <w:snapToGrid w:val="0"/>
        <w:spacing w:line="600" w:lineRule="exact"/>
        <w:rPr>
          <w:rFonts w:ascii="Times New Roman" w:hAnsi="Times New Roman" w:eastAsia="楷体_GB2312" w:cs="Times New Roman"/>
          <w:sz w:val="32"/>
          <w:szCs w:val="32"/>
          <w:lang w:val="en-US" w:eastAsia="zh-CN"/>
        </w:rPr>
      </w:pPr>
      <w:r>
        <w:rPr>
          <w:rFonts w:hint="eastAsia" w:ascii="Times New Roman" w:hAnsi="Times New Roman" w:eastAsia="楷体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资金到位及时。</w:t>
      </w:r>
    </w:p>
    <w:p w14:paraId="53C351A1">
      <w:pPr>
        <w:numPr>
          <w:ilvl w:val="0"/>
          <w:numId w:val="24"/>
        </w:numPr>
        <w:adjustRightInd w:val="0"/>
        <w:snapToGrid w:val="0"/>
        <w:spacing w:line="600" w:lineRule="exact"/>
        <w:ind w:left="0" w:firstLine="720"/>
        <w:rPr>
          <w:rFonts w:ascii="Times New Roman" w:hAnsi="Times New Roman" w:eastAsia="楷体_GB2312" w:cs="Times New Roman"/>
          <w:sz w:val="32"/>
          <w:szCs w:val="32"/>
          <w:lang w:val="zh-CN"/>
        </w:rPr>
      </w:pPr>
      <w:r>
        <w:rPr>
          <w:rFonts w:ascii="Times New Roman" w:hAnsi="Times New Roman" w:eastAsia="楷体_GB2312" w:cs="Times New Roman"/>
          <w:sz w:val="32"/>
          <w:szCs w:val="32"/>
          <w:lang w:val="zh-CN"/>
        </w:rPr>
        <w:t>资金使用。</w:t>
      </w:r>
    </w:p>
    <w:p w14:paraId="716ED383">
      <w:pPr>
        <w:adjustRightInd w:val="0"/>
        <w:snapToGrid w:val="0"/>
        <w:spacing w:line="600" w:lineRule="exact"/>
        <w:ind w:left="0" w:firstLine="640" w:firstLineChars="20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资金预算为</w:t>
      </w:r>
      <w:r>
        <w:rPr>
          <w:rFonts w:hint="eastAsia" w:ascii="Times New Roman" w:hAnsi="Times New Roman" w:eastAsia="仿宋_GB2312" w:cs="Times New Roman"/>
          <w:sz w:val="32"/>
          <w:szCs w:val="32"/>
          <w:lang w:val="en-US" w:eastAsia="zh-CN"/>
        </w:rPr>
        <w:t>152万元，预算执行为</w:t>
      </w:r>
      <w:r>
        <w:rPr>
          <w:rFonts w:ascii="Times New Roman" w:hAnsi="Times New Roman" w:eastAsia="仿宋_GB2312" w:cs="Times New Roman"/>
          <w:sz w:val="32"/>
          <w:szCs w:val="32"/>
          <w:lang w:val="en-US" w:eastAsia="zh-CN"/>
        </w:rPr>
        <w:t>150.72</w:t>
      </w:r>
      <w:r>
        <w:rPr>
          <w:rFonts w:hint="eastAsia" w:ascii="Times New Roman" w:hAnsi="Times New Roman" w:eastAsia="仿宋_GB2312" w:cs="Times New Roman"/>
          <w:sz w:val="32"/>
          <w:szCs w:val="32"/>
          <w:lang w:val="en-US" w:eastAsia="zh-CN"/>
        </w:rPr>
        <w:t>万元，</w:t>
      </w:r>
      <w:r>
        <w:rPr>
          <w:rFonts w:ascii="Times New Roman" w:hAnsi="Times New Roman" w:eastAsia="仿宋_GB2312" w:cs="Times New Roman"/>
          <w:sz w:val="32"/>
          <w:szCs w:val="32"/>
          <w:lang w:val="en-US" w:eastAsia="zh-CN"/>
        </w:rPr>
        <w:t>执行率为100%。</w:t>
      </w:r>
    </w:p>
    <w:p w14:paraId="267CE98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7B94880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总体评价各项目实施单位财务管理制度健全，严格执行财务管理制度，账务处理及时，会计核算规范。</w:t>
      </w:r>
    </w:p>
    <w:p w14:paraId="2F2180B1">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05A1BD0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结合项目组织实施管理办法，重点围绕以下内容进行分析评价，并对自评中发现的问题分析说明。</w:t>
      </w:r>
    </w:p>
    <w:p w14:paraId="60DE9FC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zh-CN"/>
        </w:rPr>
        <w:t>通过开展斜坡地质灾害隐患风险详查和重点乡镇地质灾害精细化调查，摸清风险斜坡底数，建立风险斜坡数据库，为不断优化乡镇、村级片区国土空间规划提供重要依据，切实推动地质灾害“隐患点+风险区”管控试点等重点工作，全面支撑县（市、区）、乡（镇、街道）开展地质灾害防治工作。</w:t>
      </w:r>
    </w:p>
    <w:p w14:paraId="3DFD1FFB">
      <w:pPr>
        <w:adjustRightInd w:val="0"/>
        <w:snapToGrid w:val="0"/>
        <w:spacing w:line="600" w:lineRule="exact"/>
        <w:ind w:left="0" w:firstLine="643" w:firstLineChars="200"/>
        <w:rPr>
          <w:rFonts w:ascii="Times New Roman" w:hAnsi="Times New Roman" w:eastAsia="仿宋_GB2312" w:cs="Times New Roman"/>
          <w:sz w:val="32"/>
          <w:szCs w:val="32"/>
          <w:lang w:val="en-US" w:eastAsia="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根据《中华人民共和国政府采购法》《四川省政府采购服务管理办法》等规定，委托招标代理机构通过政府采购公开招标的方式确定项目承担单位为四川川核地质工程有限公司。</w:t>
      </w:r>
    </w:p>
    <w:p w14:paraId="54F279B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项目严格按照本单位相关法律法规及项目管理制度实施。</w:t>
      </w:r>
    </w:p>
    <w:p w14:paraId="27B0D222">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24602E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4A8ECA89">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通过开展斜坡地质灾害隐患风险详查和重点乡镇地质灾害精细化调查，摸清风险斜坡底数，建立风险斜坡数据库</w:t>
      </w:r>
      <w:r>
        <w:rPr>
          <w:rFonts w:ascii="Times New Roman" w:hAnsi="Times New Roman" w:eastAsia="仿宋_GB2312" w:cs="Times New Roman"/>
          <w:sz w:val="32"/>
          <w:szCs w:val="32"/>
          <w:lang w:val="zh-CN"/>
        </w:rPr>
        <w:t>。</w:t>
      </w:r>
    </w:p>
    <w:p w14:paraId="1FE6C6E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3A37F289">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经济效益指标：地质灾害预警预报能力较过去五年提升。</w:t>
      </w:r>
    </w:p>
    <w:p w14:paraId="2A207389">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社会效益指标：监测预警区地质灾害防范能力提升。</w:t>
      </w:r>
    </w:p>
    <w:p w14:paraId="61A56CD4">
      <w:pPr>
        <w:adjustRightInd w:val="0"/>
        <w:snapToGrid w:val="0"/>
        <w:spacing w:line="600" w:lineRule="exact"/>
        <w:ind w:firstLine="72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服务对象满意度指标：实施</w:t>
      </w:r>
      <w:r>
        <w:rPr>
          <w:rFonts w:hint="eastAsia" w:eastAsia="仿宋_GB2312" w:cs="Times New Roman"/>
          <w:sz w:val="32"/>
          <w:szCs w:val="32"/>
          <w:lang w:val="zh-CN"/>
        </w:rPr>
        <w:t>区域</w:t>
      </w:r>
      <w:r>
        <w:rPr>
          <w:rFonts w:hint="eastAsia" w:ascii="Times New Roman" w:hAnsi="Times New Roman" w:eastAsia="仿宋_GB2312" w:cs="Times New Roman"/>
          <w:sz w:val="32"/>
          <w:szCs w:val="32"/>
          <w:lang w:val="zh-CN"/>
        </w:rPr>
        <w:t>群众防灾减灾参与度、实施区域受益人群满意度</w:t>
      </w:r>
      <w:r>
        <w:rPr>
          <w:rFonts w:hint="eastAsia" w:ascii="Times New Roman" w:hAnsi="Times New Roman" w:eastAsia="仿宋_GB2312" w:cs="Times New Roman"/>
          <w:sz w:val="32"/>
          <w:szCs w:val="32"/>
          <w:lang w:val="en-US" w:eastAsia="zh-CN"/>
        </w:rPr>
        <w:t>高。</w:t>
      </w:r>
    </w:p>
    <w:p w14:paraId="1AB152C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75A9854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1B72E7D2">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资金支付绩效评价自评得分</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zh-CN"/>
        </w:rPr>
        <w:t>分（满分10分），项目完成情况绩效评价自评得分100分（满分100分）。</w:t>
      </w:r>
    </w:p>
    <w:p w14:paraId="0FE63C7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3C1755BF">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34FA41B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B89CC6F">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无。</w:t>
      </w:r>
    </w:p>
    <w:p w14:paraId="1CC17FB2">
      <w:pPr>
        <w:rPr>
          <w:rFonts w:ascii="Times New Roman" w:hAnsi="Times New Roman" w:eastAsia="仿宋_GB2312" w:cs="Times New Roman"/>
          <w:sz w:val="32"/>
          <w:szCs w:val="32"/>
        </w:rPr>
      </w:pPr>
    </w:p>
    <w:p w14:paraId="793AD053">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2FC8AC69">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7C75B147">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53289655">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关工委工作经费</w:t>
      </w:r>
      <w:r>
        <w:rPr>
          <w:rFonts w:ascii="Times New Roman" w:hAnsi="Times New Roman" w:eastAsia="仿宋_GB2312" w:cs="Times New Roman"/>
          <w:color w:val="auto"/>
          <w:kern w:val="2"/>
          <w:sz w:val="32"/>
          <w:szCs w:val="32"/>
          <w:lang w:val="zh-CN" w:eastAsia="zh-CN" w:bidi="ar-SA"/>
        </w:rPr>
        <w:t>）</w:t>
      </w:r>
    </w:p>
    <w:p w14:paraId="3E6C4A5B">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0A5A934B">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3E37DC9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A6312C6">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市关心下一代工作委员会负责监督指导全市各级关工委工作经费的管理与使用，</w:t>
      </w:r>
      <w:r>
        <w:rPr>
          <w:rFonts w:hint="eastAsia" w:ascii="Times New Roman" w:hAnsi="Times New Roman" w:eastAsia="仿宋_GB2312" w:cs="Times New Roman"/>
          <w:sz w:val="32"/>
          <w:szCs w:val="32"/>
          <w:lang w:val="en-US" w:eastAsia="zh-CN"/>
        </w:rPr>
        <w:t>每年由市关工委申请预算后，市财政根据预算下达我局关工委工作经费，</w:t>
      </w:r>
      <w:r>
        <w:rPr>
          <w:rFonts w:hint="eastAsia" w:ascii="Times New Roman" w:hAnsi="Times New Roman" w:eastAsia="仿宋_GB2312" w:cs="Times New Roman"/>
          <w:sz w:val="32"/>
          <w:szCs w:val="32"/>
          <w:lang w:val="zh-CN"/>
        </w:rPr>
        <w:t>专款专用</w:t>
      </w:r>
      <w:r>
        <w:rPr>
          <w:rFonts w:hint="eastAsia" w:ascii="Times New Roman" w:hAnsi="Times New Roman" w:eastAsia="仿宋_GB2312" w:cs="Times New Roman"/>
          <w:sz w:val="32"/>
          <w:szCs w:val="32"/>
          <w:lang w:val="en-US" w:eastAsia="zh-CN"/>
        </w:rPr>
        <w:t>于开展关爱职工子女等活动</w:t>
      </w:r>
      <w:r>
        <w:rPr>
          <w:rFonts w:hint="eastAsia" w:ascii="Times New Roman" w:hAnsi="Times New Roman" w:eastAsia="仿宋_GB2312" w:cs="Times New Roman"/>
          <w:sz w:val="32"/>
          <w:szCs w:val="32"/>
          <w:lang w:val="zh-CN"/>
        </w:rPr>
        <w:t>。按照《攀枝花市关心下一代工作委员会关于印发攀枝花市关工委工作经费管理使用办法的通知》（攀关委〔2015〕7 号），关工委工作经费由财政预算和单位提供的其他经费组成，用于开展有利于青少年成长成才的思想道德教育、家庭教育、心理关爱、社会实践等活动</w:t>
      </w:r>
      <w:r>
        <w:rPr>
          <w:rFonts w:ascii="Times New Roman" w:hAnsi="Times New Roman" w:eastAsia="仿宋_GB2312" w:cs="Times New Roman"/>
          <w:sz w:val="32"/>
          <w:szCs w:val="32"/>
          <w:lang w:val="zh-CN"/>
        </w:rPr>
        <w:t>。</w:t>
      </w:r>
    </w:p>
    <w:p w14:paraId="54B9CF33">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kern w:val="0"/>
          <w:sz w:val="32"/>
          <w:szCs w:val="32"/>
          <w:lang w:val="en-US" w:eastAsia="zh-CN"/>
        </w:rPr>
        <w:t>2025</w:t>
      </w:r>
      <w:r>
        <w:rPr>
          <w:rFonts w:ascii="Times New Roman" w:hAnsi="Times New Roman" w:eastAsia="仿宋_GB2312" w:cs="Times New Roman"/>
          <w:kern w:val="0"/>
          <w:sz w:val="32"/>
          <w:szCs w:val="32"/>
        </w:rPr>
        <w:t>年，局关工委根据上级关工委工作安排，为做好</w:t>
      </w:r>
      <w:r>
        <w:rPr>
          <w:rFonts w:hint="default" w:ascii="Times New Roman" w:hAnsi="Times New Roman" w:eastAsia="仿宋_GB2312" w:cs="Times New Roman"/>
          <w:kern w:val="0"/>
          <w:sz w:val="32"/>
          <w:szCs w:val="32"/>
        </w:rPr>
        <w:t>“六一”儿童节期间关心</w:t>
      </w:r>
      <w:r>
        <w:rPr>
          <w:rFonts w:ascii="Times New Roman" w:hAnsi="Times New Roman" w:eastAsia="仿宋_GB2312" w:cs="Times New Roman"/>
          <w:kern w:val="0"/>
          <w:sz w:val="32"/>
          <w:szCs w:val="32"/>
        </w:rPr>
        <w:t>下一代工作，</w:t>
      </w:r>
      <w:r>
        <w:rPr>
          <w:rFonts w:hint="eastAsia" w:ascii="Times New Roman" w:hAnsi="Times New Roman" w:eastAsia="仿宋_GB2312" w:cs="Times New Roman"/>
          <w:kern w:val="0"/>
          <w:sz w:val="32"/>
          <w:szCs w:val="32"/>
        </w:rPr>
        <w:t>向在编在职干部职工14岁以下的子女发放学习书籍，并组织参观攀枝花中国三线建设博物馆，深化爱国主义教育。</w:t>
      </w:r>
      <w:r>
        <w:rPr>
          <w:rFonts w:hint="eastAsia" w:ascii="Times New Roman" w:hAnsi="Times New Roman" w:eastAsia="仿宋_GB2312" w:cs="Times New Roman"/>
          <w:kern w:val="0"/>
          <w:sz w:val="32"/>
          <w:szCs w:val="32"/>
          <w:lang w:val="en-US" w:eastAsia="zh-CN"/>
        </w:rPr>
        <w:t>有关活动经关工委主任批准后实施</w:t>
      </w:r>
      <w:r>
        <w:rPr>
          <w:rFonts w:ascii="Times New Roman" w:hAnsi="Times New Roman" w:eastAsia="仿宋_GB2312" w:cs="Times New Roman"/>
          <w:kern w:val="0"/>
          <w:sz w:val="32"/>
          <w:szCs w:val="32"/>
        </w:rPr>
        <w:t>，落实了工资经费。</w:t>
      </w:r>
    </w:p>
    <w:p w14:paraId="20D3F9E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14DC9497">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通过规范支取使用关工委工作经费，确保单位关工委日常工作和相关活动顺利开展，提升职工子女爱国爱党意识，增进亲子感情，助力健康成长。</w:t>
      </w:r>
    </w:p>
    <w:p w14:paraId="2114195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72D232A9">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按照《攀枝花市财政局关于开展市本级预算绩效自评工作的通知》（攀财绩〔2025〕3号）要求，积极组织开展项目自评工作，通过</w:t>
      </w:r>
      <w:r>
        <w:rPr>
          <w:rFonts w:hint="eastAsia" w:ascii="Times New Roman" w:hAnsi="Times New Roman" w:eastAsia="仿宋_GB2312" w:cs="Times New Roman"/>
          <w:sz w:val="32"/>
          <w:szCs w:val="32"/>
          <w:lang w:val="en-US" w:eastAsia="zh-CN"/>
        </w:rPr>
        <w:t>团支部委员会研究</w:t>
      </w:r>
      <w:r>
        <w:rPr>
          <w:rFonts w:hint="eastAsia" w:ascii="Times New Roman" w:hAnsi="Times New Roman" w:eastAsia="仿宋_GB2312" w:cs="Times New Roman"/>
          <w:sz w:val="32"/>
          <w:szCs w:val="32"/>
          <w:lang w:val="zh-CN"/>
        </w:rPr>
        <w:t>，综合分析相关情况后，对项目决策、项目实施、完成效果、项目效果、社会效益及经济效益等进行评估</w:t>
      </w:r>
      <w:r>
        <w:rPr>
          <w:rFonts w:hint="eastAsia" w:eastAsia="仿宋_GB2312" w:cs="Times New Roman"/>
          <w:sz w:val="32"/>
          <w:szCs w:val="32"/>
          <w:lang w:val="zh-CN"/>
        </w:rPr>
        <w:t>。</w:t>
      </w:r>
    </w:p>
    <w:p w14:paraId="326DBBB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47131BE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3F7549C7">
      <w:pPr>
        <w:adjustRightInd w:val="0"/>
        <w:snapToGrid w:val="0"/>
        <w:spacing w:line="600" w:lineRule="exact"/>
        <w:ind w:firstLine="72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项目经费纳入财政预算，</w:t>
      </w:r>
      <w:r>
        <w:rPr>
          <w:rFonts w:ascii="Times New Roman" w:hAnsi="Times New Roman" w:eastAsia="仿宋_GB2312" w:cs="Times New Roman"/>
          <w:kern w:val="0"/>
          <w:sz w:val="32"/>
          <w:szCs w:val="32"/>
        </w:rPr>
        <w:t>市关工委每年将预算报市财政局，市财政局根据预算向各单位下达年度关工委工作经费。20</w:t>
      </w:r>
      <w:r>
        <w:rPr>
          <w:rFonts w:hint="eastAsia" w:ascii="Times New Roman" w:hAnsi="Times New Roman" w:eastAsia="仿宋_GB2312" w:cs="Times New Roman"/>
          <w:kern w:val="0"/>
          <w:sz w:val="32"/>
          <w:szCs w:val="32"/>
          <w:lang w:val="en-US" w:eastAsia="zh-CN"/>
        </w:rPr>
        <w:t>25</w:t>
      </w:r>
      <w:r>
        <w:rPr>
          <w:rFonts w:ascii="Times New Roman" w:hAnsi="Times New Roman" w:eastAsia="仿宋_GB2312" w:cs="Times New Roman"/>
          <w:kern w:val="0"/>
          <w:sz w:val="32"/>
          <w:szCs w:val="32"/>
        </w:rPr>
        <w:t>年，</w:t>
      </w:r>
      <w:r>
        <w:rPr>
          <w:rFonts w:hint="eastAsia" w:ascii="Times New Roman" w:hAnsi="Times New Roman" w:eastAsia="仿宋_GB2312" w:cs="Times New Roman"/>
          <w:kern w:val="0"/>
          <w:sz w:val="32"/>
          <w:szCs w:val="32"/>
          <w:lang w:val="en-US" w:eastAsia="zh-CN"/>
        </w:rPr>
        <w:t>下达我局关心下一代专项工作经费6200元</w:t>
      </w:r>
      <w:r>
        <w:rPr>
          <w:rFonts w:ascii="Times New Roman" w:hAnsi="Times New Roman" w:eastAsia="仿宋_GB2312" w:cs="Times New Roman"/>
          <w:kern w:val="0"/>
          <w:sz w:val="32"/>
          <w:szCs w:val="32"/>
        </w:rPr>
        <w:t>。</w:t>
      </w:r>
    </w:p>
    <w:p w14:paraId="3A6CFB8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4E459E59">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ascii="Times New Roman" w:hAnsi="Times New Roman" w:eastAsia="仿宋_GB2312" w:cs="Times New Roman"/>
          <w:kern w:val="0"/>
          <w:sz w:val="32"/>
          <w:szCs w:val="32"/>
        </w:rPr>
        <w:t>关工委工作经费由财政预算和单位提供的其他经费组成，用于确保单位关工委日常工作和活动开展，经费控制在市关工委下达我局的工作经费范围内</w:t>
      </w:r>
      <w:r>
        <w:rPr>
          <w:rFonts w:ascii="Times New Roman" w:hAnsi="Times New Roman" w:eastAsia="仿宋_GB2312" w:cs="Times New Roman"/>
          <w:sz w:val="32"/>
          <w:szCs w:val="32"/>
          <w:lang w:val="zh-CN"/>
        </w:rPr>
        <w:t>。</w:t>
      </w:r>
    </w:p>
    <w:p w14:paraId="5D020BE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kern w:val="0"/>
          <w:sz w:val="32"/>
          <w:szCs w:val="32"/>
          <w:lang w:val="en-US" w:eastAsia="zh-CN"/>
        </w:rPr>
        <w:t>2025</w:t>
      </w:r>
      <w:r>
        <w:rPr>
          <w:rFonts w:ascii="Times New Roman" w:hAnsi="Times New Roman" w:eastAsia="仿宋_GB2312" w:cs="Times New Roman"/>
          <w:kern w:val="0"/>
          <w:sz w:val="32"/>
          <w:szCs w:val="32"/>
        </w:rPr>
        <w:t>年度预算落实市自然资源和规划局关工委工作经费</w:t>
      </w:r>
      <w:r>
        <w:rPr>
          <w:rFonts w:hint="eastAsia" w:ascii="Times New Roman" w:hAnsi="Times New Roman" w:eastAsia="仿宋_GB2312" w:cs="Times New Roman"/>
          <w:kern w:val="0"/>
          <w:sz w:val="32"/>
          <w:szCs w:val="32"/>
          <w:lang w:val="en-US" w:eastAsia="zh-CN"/>
        </w:rPr>
        <w:t>6200</w:t>
      </w:r>
      <w:r>
        <w:rPr>
          <w:rFonts w:ascii="Times New Roman" w:hAnsi="Times New Roman" w:eastAsia="仿宋_GB2312" w:cs="Times New Roman"/>
          <w:kern w:val="0"/>
          <w:sz w:val="32"/>
          <w:szCs w:val="32"/>
        </w:rPr>
        <w:t>元。开展关爱职工子女活动时，相关资金及时到位并支付。</w:t>
      </w:r>
    </w:p>
    <w:p w14:paraId="69FC4A6C">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kern w:val="0"/>
          <w:sz w:val="32"/>
          <w:szCs w:val="32"/>
          <w:lang w:val="zh-CN"/>
        </w:rPr>
        <w:t>购买了价值</w:t>
      </w:r>
      <w:r>
        <w:rPr>
          <w:rFonts w:hint="eastAsia" w:ascii="Times New Roman" w:hAnsi="Times New Roman" w:eastAsia="仿宋_GB2312" w:cs="Times New Roman"/>
          <w:kern w:val="0"/>
          <w:sz w:val="32"/>
          <w:szCs w:val="32"/>
          <w:lang w:val="en-US" w:eastAsia="zh-CN"/>
        </w:rPr>
        <w:t>4800</w:t>
      </w:r>
      <w:r>
        <w:rPr>
          <w:rFonts w:hint="eastAsia" w:ascii="Times New Roman" w:hAnsi="Times New Roman" w:eastAsia="仿宋_GB2312" w:cs="Times New Roman"/>
          <w:kern w:val="0"/>
          <w:sz w:val="32"/>
          <w:szCs w:val="32"/>
          <w:lang w:val="zh-CN"/>
        </w:rPr>
        <w:t>元</w:t>
      </w:r>
      <w:r>
        <w:rPr>
          <w:rFonts w:hint="eastAsia" w:ascii="Times New Roman" w:hAnsi="Times New Roman" w:eastAsia="仿宋_GB2312" w:cs="Times New Roman"/>
          <w:kern w:val="0"/>
          <w:sz w:val="32"/>
          <w:szCs w:val="32"/>
          <w:lang w:val="en-US" w:eastAsia="zh-CN"/>
        </w:rPr>
        <w:t>学习</w:t>
      </w:r>
      <w:r>
        <w:rPr>
          <w:rFonts w:hint="eastAsia" w:ascii="Times New Roman" w:hAnsi="Times New Roman" w:eastAsia="仿宋_GB2312" w:cs="Times New Roman"/>
          <w:kern w:val="0"/>
          <w:sz w:val="32"/>
          <w:szCs w:val="32"/>
          <w:lang w:val="zh-CN"/>
        </w:rPr>
        <w:t>书籍，开展了1次</w:t>
      </w:r>
      <w:r>
        <w:rPr>
          <w:rFonts w:hint="eastAsia" w:ascii="Times New Roman" w:hAnsi="Times New Roman" w:eastAsia="仿宋_GB2312" w:cs="Times New Roman"/>
          <w:kern w:val="0"/>
          <w:sz w:val="32"/>
          <w:szCs w:val="32"/>
          <w:lang w:val="en-US" w:eastAsia="zh-CN"/>
        </w:rPr>
        <w:t>三线博物馆参观</w:t>
      </w:r>
      <w:r>
        <w:rPr>
          <w:rFonts w:hint="eastAsia" w:ascii="Times New Roman" w:hAnsi="Times New Roman" w:eastAsia="仿宋_GB2312" w:cs="Times New Roman"/>
          <w:kern w:val="0"/>
          <w:sz w:val="32"/>
          <w:szCs w:val="32"/>
          <w:lang w:val="zh-CN"/>
        </w:rPr>
        <w:t>活动。活动开展严格按照《攀枝花市关工委工作经费管理使用办法》，制定活动方案、</w:t>
      </w:r>
      <w:r>
        <w:rPr>
          <w:rFonts w:hint="eastAsia" w:ascii="Times New Roman" w:hAnsi="Times New Roman" w:eastAsia="仿宋_GB2312" w:cs="Times New Roman"/>
          <w:kern w:val="0"/>
          <w:sz w:val="32"/>
          <w:szCs w:val="32"/>
          <w:lang w:val="en-US" w:eastAsia="zh-CN"/>
        </w:rPr>
        <w:t>明确发放标准</w:t>
      </w:r>
      <w:r>
        <w:rPr>
          <w:rFonts w:hint="eastAsia" w:ascii="Times New Roman" w:hAnsi="Times New Roman" w:eastAsia="仿宋_GB2312" w:cs="Times New Roman"/>
          <w:kern w:val="0"/>
          <w:sz w:val="32"/>
          <w:szCs w:val="32"/>
          <w:lang w:val="zh-CN"/>
        </w:rPr>
        <w:t>，经局关工委、</w:t>
      </w:r>
      <w:r>
        <w:rPr>
          <w:rFonts w:hint="eastAsia" w:ascii="Times New Roman" w:hAnsi="Times New Roman" w:eastAsia="仿宋_GB2312" w:cs="Times New Roman"/>
          <w:kern w:val="0"/>
          <w:sz w:val="32"/>
          <w:szCs w:val="32"/>
          <w:lang w:val="en-US" w:eastAsia="zh-CN"/>
        </w:rPr>
        <w:t>局机关党委</w:t>
      </w:r>
      <w:r>
        <w:rPr>
          <w:rFonts w:hint="eastAsia" w:ascii="Times New Roman" w:hAnsi="Times New Roman" w:eastAsia="仿宋_GB2312" w:cs="Times New Roman"/>
          <w:kern w:val="0"/>
          <w:sz w:val="32"/>
          <w:szCs w:val="32"/>
          <w:lang w:val="zh-CN"/>
        </w:rPr>
        <w:t>领导审批，全部用于支持和关爱局机关干部职工子女健康成长。</w:t>
      </w:r>
    </w:p>
    <w:p w14:paraId="253CAEE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49F4D7E9">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由机关团支部负责具体项目实施，</w:t>
      </w:r>
      <w:r>
        <w:rPr>
          <w:rFonts w:ascii="Times New Roman" w:hAnsi="Times New Roman" w:eastAsia="仿宋_GB2312" w:cs="Times New Roman"/>
          <w:sz w:val="32"/>
          <w:szCs w:val="32"/>
          <w:lang w:val="zh-CN"/>
        </w:rPr>
        <w:t>严格执行财务管理制度，及时处理账务，会计核算规范。</w:t>
      </w:r>
    </w:p>
    <w:p w14:paraId="567AEA0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BBC3B1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en-US" w:eastAsia="zh-CN"/>
        </w:rPr>
        <w:t>由机关团支部负责具体项目实施，根据上一级团组织文件要求制定工作方案后，严格按照方案及关工委经费管理制度实施。不涉及</w:t>
      </w:r>
      <w:r>
        <w:rPr>
          <w:rFonts w:hint="eastAsia" w:ascii="Times New Roman" w:hAnsi="Times New Roman" w:eastAsia="仿宋_GB2312" w:cs="Times New Roman"/>
          <w:sz w:val="32"/>
          <w:szCs w:val="32"/>
          <w:lang w:val="zh-CN" w:eastAsia="zh-CN"/>
        </w:rPr>
        <w:t>招投</w:t>
      </w:r>
      <w:r>
        <w:rPr>
          <w:rFonts w:ascii="Times New Roman" w:hAnsi="Times New Roman" w:eastAsia="仿宋_GB2312" w:cs="Times New Roman"/>
          <w:sz w:val="32"/>
          <w:szCs w:val="32"/>
          <w:lang w:val="zh-CN"/>
        </w:rPr>
        <w:t>标、政府采购、项目公示等。</w:t>
      </w:r>
    </w:p>
    <w:p w14:paraId="6642B41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0A93D9D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11C8EECA">
      <w:p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en-US" w:eastAsia="zh-CN"/>
        </w:rPr>
        <w:t>按要求完成本年度关工委工作目标</w:t>
      </w:r>
      <w:r>
        <w:rPr>
          <w:rFonts w:ascii="Times New Roman" w:hAnsi="Times New Roman" w:eastAsia="仿宋_GB2312" w:cs="Times New Roman"/>
          <w:sz w:val="32"/>
          <w:szCs w:val="32"/>
          <w:lang w:val="zh-CN"/>
        </w:rPr>
        <w:t>。</w:t>
      </w:r>
    </w:p>
    <w:p w14:paraId="57E494A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5EFF1C18">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确保单位关工委日常工作和相关活动顺利开展，提升职工子女爱国爱党意识，增进亲子感情，助力健康成长。</w:t>
      </w:r>
    </w:p>
    <w:p w14:paraId="5CF38F56">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08B99C6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245C3A8">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我局关心下一代工作成立了专门的领导机构，具体由局机关团支部负责。工作开展前形成工作方案，报分管关心下一代工作的局领导签批同意后组织实施。活动实施前，广泛听取干部职工对开展关爱职工子女活动的意见建议，购买书籍的单位选取在攀枝花被广泛认可的新华文轩，活动中各项重要事项均向局领导汇报同意后实施。</w:t>
      </w:r>
    </w:p>
    <w:p w14:paraId="40CC211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37819A55">
      <w:pPr>
        <w:adjustRightInd w:val="0"/>
        <w:snapToGrid w:val="0"/>
        <w:spacing w:line="600" w:lineRule="exact"/>
        <w:ind w:firstLine="640" w:firstLineChars="2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活动经费有限</w:t>
      </w:r>
      <w:r>
        <w:rPr>
          <w:rFonts w:hint="eastAsia" w:ascii="Times New Roman" w:hAnsi="Times New Roman" w:eastAsia="仿宋_GB2312" w:cs="Times New Roman"/>
          <w:sz w:val="32"/>
          <w:szCs w:val="32"/>
          <w:lang w:val="en-US" w:eastAsia="zh-CN"/>
        </w:rPr>
        <w:t>且</w:t>
      </w:r>
      <w:r>
        <w:rPr>
          <w:rFonts w:hint="eastAsia" w:ascii="Times New Roman" w:hAnsi="Times New Roman" w:eastAsia="仿宋_GB2312" w:cs="Times New Roman"/>
          <w:sz w:val="32"/>
          <w:szCs w:val="32"/>
          <w:lang w:val="zh-CN"/>
        </w:rPr>
        <w:t>我局干部职工未成年子女人数众多，分配到每人身上的金额有限，</w:t>
      </w:r>
      <w:r>
        <w:rPr>
          <w:rFonts w:hint="eastAsia" w:ascii="Times New Roman" w:hAnsi="Times New Roman" w:eastAsia="仿宋_GB2312" w:cs="Times New Roman"/>
          <w:sz w:val="32"/>
          <w:szCs w:val="32"/>
          <w:lang w:val="en-US" w:eastAsia="zh-CN"/>
        </w:rPr>
        <w:t>预算内能够开展的活动不多，职工参与度、积极性不高。</w:t>
      </w:r>
    </w:p>
    <w:p w14:paraId="401A603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0A478CA">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恳请上一级关工委加大工作支持力度，切实考虑我局职工子女体量，提供政策、活动、经费等方面的帮助</w:t>
      </w:r>
      <w:r>
        <w:rPr>
          <w:rFonts w:ascii="Times New Roman" w:hAnsi="Times New Roman" w:eastAsia="仿宋_GB2312" w:cs="Times New Roman"/>
          <w:sz w:val="32"/>
          <w:szCs w:val="32"/>
          <w:lang w:val="zh-CN"/>
        </w:rPr>
        <w:t>。</w:t>
      </w:r>
    </w:p>
    <w:p w14:paraId="29C9612B">
      <w:pPr>
        <w:rPr>
          <w:rFonts w:ascii="Times New Roman" w:hAnsi="Times New Roman" w:eastAsia="仿宋_GB2312" w:cs="Times New Roman"/>
          <w:sz w:val="32"/>
          <w:szCs w:val="32"/>
        </w:rPr>
      </w:pPr>
    </w:p>
    <w:p w14:paraId="61490BD9">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7A3FFDE3">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55935E17">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en-US" w:eastAsia="zh-CN" w:bidi="ar-SA"/>
        </w:rPr>
        <w:t xml:space="preserve"> </w:t>
      </w:r>
      <w:r>
        <w:rPr>
          <w:rFonts w:ascii="Times New Roman" w:hAnsi="Times New Roman" w:eastAsia="方正小标宋简体" w:cs="Times New Roman"/>
          <w:color w:val="auto"/>
          <w:kern w:val="2"/>
          <w:sz w:val="40"/>
          <w:szCs w:val="40"/>
          <w:lang w:val="zh-CN" w:eastAsia="zh-CN" w:bidi="ar-SA"/>
        </w:rPr>
        <w:t>专项预算项目支出绩效自评报告</w:t>
      </w:r>
    </w:p>
    <w:p w14:paraId="1FF8E4B4">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攀枝花市2025年度地质环境信息系统维护</w:t>
      </w:r>
      <w:r>
        <w:rPr>
          <w:rFonts w:ascii="Times New Roman" w:hAnsi="Times New Roman" w:eastAsia="仿宋_GB2312" w:cs="Times New Roman"/>
          <w:color w:val="auto"/>
          <w:kern w:val="2"/>
          <w:sz w:val="32"/>
          <w:szCs w:val="32"/>
          <w:lang w:val="zh-CN" w:eastAsia="zh-CN" w:bidi="ar-SA"/>
        </w:rPr>
        <w:t>）</w:t>
      </w:r>
    </w:p>
    <w:p w14:paraId="3F27CEA7">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E52A224">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7973DA2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6AA68F0A">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1.</w:t>
      </w:r>
      <w:r>
        <w:rPr>
          <w:rFonts w:hint="eastAsia" w:ascii="Times New Roman" w:hAnsi="Times New Roman" w:eastAsia="仿宋_GB2312" w:cs="Times New Roman"/>
          <w:sz w:val="32"/>
          <w:szCs w:val="32"/>
          <w:lang w:val="zh-CN"/>
        </w:rPr>
        <w:t>市级地质灾害防治主管部门负责项目的规划、组织、协调和监督工作。在项目执行期间，确保所有活动遵循国家法律法规及相关政策，并监督资金的合理高效使用。同时，负责项目进度管理，确保治理工程按计划顺利推进，并及时解决项目实施中的问题。项目完成后，组织相关部门进行验收，确保项目达到既定目标</w:t>
      </w:r>
      <w:r>
        <w:rPr>
          <w:rFonts w:ascii="Times New Roman" w:hAnsi="Times New Roman" w:eastAsia="仿宋_GB2312" w:cs="Times New Roman"/>
          <w:sz w:val="32"/>
          <w:szCs w:val="32"/>
          <w:lang w:val="zh-CN"/>
        </w:rPr>
        <w:t>。</w:t>
      </w:r>
    </w:p>
    <w:p w14:paraId="5FD0970F">
      <w:pPr>
        <w:ind w:firstLine="560"/>
        <w:rPr>
          <w:rFonts w:hint="default" w:ascii="Times New Roman" w:hAnsi="Times New Roman" w:eastAsia="仿宋_GB2312" w:cs="Times New Roman"/>
          <w:sz w:val="32"/>
          <w:szCs w:val="32"/>
        </w:rPr>
      </w:pPr>
      <w:r>
        <w:rPr>
          <w:rFonts w:ascii="Times New Roman" w:hAnsi="Times New Roman" w:eastAsia="仿宋_GB2312" w:cs="Times New Roman"/>
          <w:sz w:val="32"/>
          <w:szCs w:val="32"/>
          <w:lang w:val="zh-CN"/>
        </w:rPr>
        <w:t>2. 项目立项、资金申报的依据。</w:t>
      </w:r>
      <w:r>
        <w:rPr>
          <w:rFonts w:hint="default" w:ascii="Times New Roman" w:hAnsi="Times New Roman" w:eastAsia="仿宋_GB2312" w:cs="Times New Roman"/>
          <w:sz w:val="32"/>
          <w:szCs w:val="32"/>
        </w:rPr>
        <w:t>保障攀枝花市地质灾害专业监测预警与数据库建设项目建设成果正常运行使用</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满足攀枝花市自然资源和规划局</w:t>
      </w:r>
      <w:r>
        <w:rPr>
          <w:rFonts w:hint="eastAsia" w:eastAsia="仿宋_GB2312" w:cs="Times New Roman"/>
          <w:sz w:val="32"/>
          <w:szCs w:val="32"/>
          <w:lang w:eastAsia="zh-CN"/>
        </w:rPr>
        <w:t>召开</w:t>
      </w:r>
      <w:r>
        <w:rPr>
          <w:rFonts w:hint="default" w:ascii="Times New Roman" w:hAnsi="Times New Roman" w:eastAsia="仿宋_GB2312" w:cs="Times New Roman"/>
          <w:sz w:val="32"/>
          <w:szCs w:val="32"/>
        </w:rPr>
        <w:t>视频会议，防灾指挥等工作</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zh-CN"/>
        </w:rPr>
        <w:t>提高工作效率</w:t>
      </w:r>
      <w:r>
        <w:rPr>
          <w:rFonts w:hint="default" w:ascii="Times New Roman" w:hAnsi="Times New Roman" w:eastAsia="仿宋_GB2312" w:cs="Times New Roman"/>
          <w:sz w:val="32"/>
          <w:szCs w:val="32"/>
        </w:rPr>
        <w:t xml:space="preserve">。 </w:t>
      </w:r>
    </w:p>
    <w:p w14:paraId="7BB5EC07">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我市根据《四川省地质灾害防治项目管理办法</w:t>
      </w:r>
      <w:r>
        <w:rPr>
          <w:rFonts w:hint="eastAsia" w:eastAsia="仿宋_GB2312" w:cs="Times New Roman"/>
          <w:sz w:val="32"/>
          <w:szCs w:val="32"/>
          <w:lang w:val="zh-CN"/>
        </w:rPr>
        <w:t>》和</w:t>
      </w:r>
      <w:r>
        <w:rPr>
          <w:rFonts w:hint="eastAsia" w:ascii="Times New Roman" w:hAnsi="Times New Roman" w:eastAsia="仿宋_GB2312" w:cs="Times New Roman"/>
          <w:sz w:val="32"/>
          <w:szCs w:val="32"/>
          <w:lang w:val="zh-CN"/>
        </w:rPr>
        <w:t>《四川省地质灾害防治资金管理办法》制定了《攀枝花市地质灾害防治项目管理办法》。地质灾害防治项目实施的主要目的是保障人民群众生命财产安全，减少地质灾害对经济社会发展的影响。通过实施地质灾害防治项目，旨在提高地质灾害预警预报能力，加强地质灾害隐患点的监测和治理，降低地质灾害发生的概率和危害程度。</w:t>
      </w:r>
    </w:p>
    <w:p w14:paraId="6BF91300">
      <w:pPr>
        <w:snapToGrid w:val="0"/>
        <w:spacing w:line="600" w:lineRule="atLeast"/>
        <w:ind w:firstLine="640" w:firstLineChars="200"/>
        <w:rPr>
          <w:rFonts w:hint="default" w:ascii="Times New Roman" w:hAnsi="Times New Roman" w:eastAsia="仿宋_GB2312" w:cs="Times New Roman"/>
          <w:color w:val="FF0000"/>
          <w:sz w:val="32"/>
          <w:szCs w:val="32"/>
          <w:u w:val="none"/>
        </w:rPr>
      </w:pPr>
      <w:r>
        <w:rPr>
          <w:rFonts w:ascii="Times New Roman" w:hAnsi="Times New Roman" w:eastAsia="仿宋_GB2312" w:cs="Times New Roman"/>
          <w:sz w:val="32"/>
          <w:szCs w:val="32"/>
          <w:lang w:val="zh-CN"/>
        </w:rPr>
        <w:t>4. 资</w:t>
      </w:r>
      <w:r>
        <w:rPr>
          <w:rFonts w:ascii="Times New Roman" w:hAnsi="Times New Roman" w:eastAsia="仿宋_GB2312" w:cs="Times New Roman"/>
          <w:sz w:val="32"/>
          <w:szCs w:val="32"/>
          <w:u w:val="none"/>
          <w:lang w:val="zh-CN"/>
        </w:rPr>
        <w:t>金分配的原则及考虑因素。</w:t>
      </w:r>
      <w:r>
        <w:rPr>
          <w:rFonts w:hint="default" w:ascii="Times New Roman" w:hAnsi="Times New Roman" w:eastAsia="仿宋_GB2312" w:cs="Times New Roman"/>
          <w:color w:val="auto"/>
          <w:sz w:val="32"/>
          <w:szCs w:val="32"/>
          <w:u w:val="none"/>
        </w:rPr>
        <w:t>该项目申报预算</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万元，本次申报金额为</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万元，资金来源为市级财政资金。</w:t>
      </w:r>
      <w:r>
        <w:rPr>
          <w:rFonts w:hint="default" w:ascii="Times New Roman" w:hAnsi="Times New Roman" w:eastAsia="仿宋_GB2312" w:cs="Times New Roman"/>
          <w:color w:val="auto"/>
          <w:sz w:val="32"/>
          <w:szCs w:val="32"/>
          <w:u w:val="none"/>
          <w:lang w:eastAsia="zh-CN"/>
        </w:rPr>
        <w:t>攀枝花市国土空间生态修复与地质灾害防治中心</w:t>
      </w:r>
      <w:r>
        <w:rPr>
          <w:rFonts w:hint="default" w:ascii="Times New Roman" w:hAnsi="Times New Roman" w:eastAsia="仿宋_GB2312" w:cs="Times New Roman"/>
          <w:color w:val="auto"/>
          <w:sz w:val="32"/>
          <w:szCs w:val="32"/>
          <w:u w:val="none"/>
        </w:rPr>
        <w:t>本次对项目投入经济性的评估是在项目事前绩效评估、预算测算的基础上，按照厉行节约的要求，结合项目20</w:t>
      </w:r>
      <w:r>
        <w:rPr>
          <w:rFonts w:hint="eastAsia" w:ascii="Times New Roman" w:hAnsi="Times New Roman" w:eastAsia="仿宋_GB2312" w:cs="Times New Roman"/>
          <w:color w:val="auto"/>
          <w:sz w:val="32"/>
          <w:szCs w:val="32"/>
          <w:u w:val="none"/>
          <w:lang w:val="en-US" w:eastAsia="zh-CN"/>
        </w:rPr>
        <w:t>24</w:t>
      </w:r>
      <w:r>
        <w:rPr>
          <w:rFonts w:hint="default" w:ascii="Times New Roman" w:hAnsi="Times New Roman" w:eastAsia="仿宋_GB2312" w:cs="Times New Roman"/>
          <w:color w:val="auto"/>
          <w:sz w:val="32"/>
          <w:szCs w:val="32"/>
          <w:u w:val="none"/>
        </w:rPr>
        <w:t>年开支情况结合20</w:t>
      </w:r>
      <w:r>
        <w:rPr>
          <w:rFonts w:hint="eastAsia" w:ascii="Times New Roman" w:hAnsi="Times New Roman" w:eastAsia="仿宋_GB2312" w:cs="Times New Roman"/>
          <w:color w:val="auto"/>
          <w:sz w:val="32"/>
          <w:szCs w:val="32"/>
          <w:u w:val="none"/>
          <w:lang w:val="en-US" w:eastAsia="zh-CN"/>
        </w:rPr>
        <w:t>25</w:t>
      </w:r>
      <w:r>
        <w:rPr>
          <w:rFonts w:hint="default" w:ascii="Times New Roman" w:hAnsi="Times New Roman" w:eastAsia="仿宋_GB2312" w:cs="Times New Roman"/>
          <w:color w:val="auto"/>
          <w:sz w:val="32"/>
          <w:szCs w:val="32"/>
          <w:u w:val="none"/>
        </w:rPr>
        <w:t>年实际需求、相关费用标准及市场价格水平，重点对数量是否合理、投入是否经济、预算测算是否准确、测算过程是否详细、测算依据是否充分等方面进行了评估。评估认为，该项目任务数量基本合理、预算测算过程较为详细、测算依据基本充分</w:t>
      </w:r>
      <w:r>
        <w:rPr>
          <w:rFonts w:hint="eastAsia" w:eastAsia="仿宋_GB2312" w:cs="Times New Roman"/>
          <w:color w:val="auto"/>
          <w:sz w:val="32"/>
          <w:szCs w:val="32"/>
          <w:u w:val="none"/>
          <w:lang w:eastAsia="zh-CN"/>
        </w:rPr>
        <w:t>、具</w:t>
      </w:r>
      <w:r>
        <w:rPr>
          <w:rFonts w:hint="default" w:ascii="Times New Roman" w:hAnsi="Times New Roman" w:eastAsia="仿宋_GB2312" w:cs="Times New Roman"/>
          <w:color w:val="auto"/>
          <w:sz w:val="32"/>
          <w:szCs w:val="32"/>
          <w:u w:val="none"/>
        </w:rPr>
        <w:t>有一定的经济性。建议预算控制在</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万元以内，与申报数相比，评减</w:t>
      </w:r>
      <w:r>
        <w:rPr>
          <w:rFonts w:hint="default" w:ascii="Times New Roman" w:hAnsi="Times New Roman" w:eastAsia="仿宋_GB2312" w:cs="Times New Roman"/>
          <w:color w:val="auto"/>
          <w:sz w:val="32"/>
          <w:szCs w:val="32"/>
          <w:u w:val="none"/>
          <w:lang w:val="en-US" w:eastAsia="zh-CN"/>
        </w:rPr>
        <w:t>0</w:t>
      </w:r>
      <w:r>
        <w:rPr>
          <w:rFonts w:hint="default" w:ascii="Times New Roman" w:hAnsi="Times New Roman" w:eastAsia="仿宋_GB2312" w:cs="Times New Roman"/>
          <w:color w:val="auto"/>
          <w:sz w:val="32"/>
          <w:szCs w:val="32"/>
          <w:u w:val="none"/>
        </w:rPr>
        <w:t>万元，评减率</w:t>
      </w:r>
      <w:r>
        <w:rPr>
          <w:rFonts w:hint="default" w:ascii="Times New Roman" w:hAnsi="Times New Roman" w:eastAsia="仿宋_GB2312" w:cs="Times New Roman"/>
          <w:color w:val="auto"/>
          <w:sz w:val="32"/>
          <w:szCs w:val="32"/>
          <w:u w:val="none"/>
          <w:lang w:val="en-US" w:eastAsia="zh-CN"/>
        </w:rPr>
        <w:t>0</w:t>
      </w:r>
      <w:r>
        <w:rPr>
          <w:rFonts w:hint="default" w:ascii="Times New Roman" w:hAnsi="Times New Roman" w:eastAsia="仿宋_GB2312" w:cs="Times New Roman"/>
          <w:color w:val="auto"/>
          <w:sz w:val="32"/>
          <w:szCs w:val="32"/>
          <w:u w:val="none"/>
        </w:rPr>
        <w:t>%（详见下表）。</w:t>
      </w:r>
    </w:p>
    <w:p w14:paraId="683E579C">
      <w:pPr>
        <w:snapToGrid w:val="0"/>
        <w:spacing w:line="600" w:lineRule="atLeast"/>
        <w:jc w:val="center"/>
        <w:rPr>
          <w:rFonts w:hint="default" w:ascii="Times New Roman" w:hAnsi="Times New Roman" w:eastAsia="宋体" w:cs="Times New Roman"/>
          <w:b/>
          <w:sz w:val="21"/>
          <w:szCs w:val="21"/>
        </w:rPr>
      </w:pPr>
      <w:r>
        <w:rPr>
          <w:rFonts w:hint="eastAsia" w:ascii="方正小标宋_GBK" w:hAnsi="方正小标宋_GBK" w:eastAsia="方正小标宋_GBK" w:cs="方正小标宋_GBK"/>
          <w:b w:val="0"/>
          <w:bCs/>
          <w:sz w:val="30"/>
          <w:szCs w:val="30"/>
        </w:rPr>
        <w:t>地质灾害专业驻守督导技术服务项目事前绩效评估汇总表</w:t>
      </w:r>
    </w:p>
    <w:tbl>
      <w:tblPr>
        <w:tblStyle w:val="19"/>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2759"/>
        <w:gridCol w:w="862"/>
        <w:gridCol w:w="954"/>
        <w:gridCol w:w="1004"/>
        <w:gridCol w:w="954"/>
        <w:gridCol w:w="2160"/>
      </w:tblGrid>
      <w:tr w14:paraId="4F70C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7" w:type="dxa"/>
            <w:shd w:val="clear" w:color="auto" w:fill="auto"/>
            <w:vAlign w:val="center"/>
          </w:tcPr>
          <w:p w14:paraId="4053F9D7">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序号</w:t>
            </w:r>
          </w:p>
        </w:tc>
        <w:tc>
          <w:tcPr>
            <w:tcW w:w="2759" w:type="dxa"/>
            <w:shd w:val="clear" w:color="auto" w:fill="auto"/>
            <w:vAlign w:val="center"/>
          </w:tcPr>
          <w:p w14:paraId="08F3D811">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项目内容</w:t>
            </w:r>
          </w:p>
        </w:tc>
        <w:tc>
          <w:tcPr>
            <w:tcW w:w="862" w:type="dxa"/>
            <w:shd w:val="clear" w:color="auto" w:fill="auto"/>
            <w:vAlign w:val="center"/>
          </w:tcPr>
          <w:p w14:paraId="62895065">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申报</w:t>
            </w:r>
          </w:p>
          <w:p w14:paraId="08F23E2A">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预算</w:t>
            </w:r>
          </w:p>
        </w:tc>
        <w:tc>
          <w:tcPr>
            <w:tcW w:w="954" w:type="dxa"/>
            <w:shd w:val="clear" w:color="auto" w:fill="auto"/>
            <w:vAlign w:val="center"/>
          </w:tcPr>
          <w:p w14:paraId="0083EAA8">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送审</w:t>
            </w:r>
          </w:p>
          <w:p w14:paraId="631E5A54">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金额</w:t>
            </w:r>
          </w:p>
        </w:tc>
        <w:tc>
          <w:tcPr>
            <w:tcW w:w="1004" w:type="dxa"/>
            <w:shd w:val="clear" w:color="auto" w:fill="auto"/>
            <w:vAlign w:val="center"/>
          </w:tcPr>
          <w:p w14:paraId="21196D0F">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建议控制额</w:t>
            </w:r>
          </w:p>
        </w:tc>
        <w:tc>
          <w:tcPr>
            <w:tcW w:w="954" w:type="dxa"/>
            <w:shd w:val="clear" w:color="auto" w:fill="auto"/>
            <w:vAlign w:val="center"/>
          </w:tcPr>
          <w:p w14:paraId="722520D7">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核减</w:t>
            </w:r>
          </w:p>
        </w:tc>
        <w:tc>
          <w:tcPr>
            <w:tcW w:w="2160" w:type="dxa"/>
            <w:shd w:val="clear" w:color="auto" w:fill="auto"/>
            <w:noWrap/>
            <w:vAlign w:val="center"/>
          </w:tcPr>
          <w:p w14:paraId="786E1734">
            <w:pPr>
              <w:widowControl/>
              <w:snapToGrid w:val="0"/>
              <w:spacing w:line="320" w:lineRule="atLeast"/>
              <w:jc w:val="center"/>
              <w:rPr>
                <w:rFonts w:hint="eastAsia" w:ascii="方正小标宋_GBK" w:hAnsi="方正小标宋_GBK" w:eastAsia="方正小标宋_GBK" w:cs="方正小标宋_GBK"/>
                <w:color w:val="000000"/>
                <w:kern w:val="0"/>
                <w:sz w:val="24"/>
                <w:szCs w:val="24"/>
              </w:rPr>
            </w:pPr>
            <w:r>
              <w:rPr>
                <w:rFonts w:hint="eastAsia" w:ascii="方正小标宋_GBK" w:hAnsi="方正小标宋_GBK" w:eastAsia="方正小标宋_GBK" w:cs="方正小标宋_GBK"/>
                <w:color w:val="000000"/>
                <w:kern w:val="0"/>
                <w:sz w:val="24"/>
                <w:szCs w:val="24"/>
              </w:rPr>
              <w:t>备注　</w:t>
            </w:r>
          </w:p>
        </w:tc>
      </w:tr>
      <w:tr w14:paraId="7581C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7" w:type="dxa"/>
            <w:shd w:val="clear" w:color="auto" w:fill="auto"/>
            <w:vAlign w:val="center"/>
          </w:tcPr>
          <w:p w14:paraId="45B5D2EA">
            <w:pPr>
              <w:widowControl/>
              <w:snapToGrid w:val="0"/>
              <w:spacing w:line="320" w:lineRule="atLeast"/>
              <w:jc w:val="center"/>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1</w:t>
            </w:r>
          </w:p>
        </w:tc>
        <w:tc>
          <w:tcPr>
            <w:tcW w:w="2759" w:type="dxa"/>
            <w:shd w:val="clear" w:color="auto" w:fill="auto"/>
            <w:vAlign w:val="center"/>
          </w:tcPr>
          <w:p w14:paraId="3391C9E0">
            <w:pPr>
              <w:widowControl/>
              <w:snapToGrid w:val="0"/>
              <w:spacing w:line="320" w:lineRule="atLeast"/>
              <w:jc w:val="center"/>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地质环境信息系统维护</w:t>
            </w:r>
          </w:p>
        </w:tc>
        <w:tc>
          <w:tcPr>
            <w:tcW w:w="862" w:type="dxa"/>
            <w:shd w:val="clear" w:color="auto" w:fill="auto"/>
            <w:vAlign w:val="center"/>
          </w:tcPr>
          <w:p w14:paraId="5A27B1C1">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20</w:t>
            </w:r>
          </w:p>
        </w:tc>
        <w:tc>
          <w:tcPr>
            <w:tcW w:w="954" w:type="dxa"/>
            <w:shd w:val="clear" w:color="auto" w:fill="auto"/>
            <w:vAlign w:val="center"/>
          </w:tcPr>
          <w:p w14:paraId="669796F9">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20</w:t>
            </w:r>
          </w:p>
        </w:tc>
        <w:tc>
          <w:tcPr>
            <w:tcW w:w="1004" w:type="dxa"/>
            <w:shd w:val="clear" w:color="auto" w:fill="auto"/>
            <w:vAlign w:val="center"/>
          </w:tcPr>
          <w:p w14:paraId="27102513">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20</w:t>
            </w:r>
          </w:p>
        </w:tc>
        <w:tc>
          <w:tcPr>
            <w:tcW w:w="954" w:type="dxa"/>
            <w:shd w:val="clear" w:color="auto" w:fill="auto"/>
            <w:vAlign w:val="center"/>
          </w:tcPr>
          <w:p w14:paraId="1F9CA3E6">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0</w:t>
            </w:r>
          </w:p>
        </w:tc>
        <w:tc>
          <w:tcPr>
            <w:tcW w:w="2160" w:type="dxa"/>
            <w:shd w:val="clear" w:color="auto" w:fill="auto"/>
            <w:noWrap/>
            <w:vAlign w:val="center"/>
          </w:tcPr>
          <w:p w14:paraId="648A1B2B">
            <w:pPr>
              <w:widowControl/>
              <w:snapToGrid w:val="0"/>
              <w:spacing w:line="320" w:lineRule="atLeast"/>
              <w:jc w:val="left"/>
              <w:rPr>
                <w:rFonts w:hint="default" w:ascii="Times New Roman" w:hAnsi="Times New Roman" w:eastAsia="仿宋_GB2312" w:cs="Times New Roman"/>
                <w:color w:val="000000"/>
                <w:kern w:val="0"/>
                <w:sz w:val="24"/>
                <w:szCs w:val="24"/>
              </w:rPr>
            </w:pPr>
          </w:p>
        </w:tc>
      </w:tr>
      <w:tr w14:paraId="1F7D7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7" w:type="dxa"/>
            <w:shd w:val="clear" w:color="auto" w:fill="auto"/>
            <w:vAlign w:val="center"/>
          </w:tcPr>
          <w:p w14:paraId="29B4BCAA">
            <w:pPr>
              <w:widowControl/>
              <w:snapToGrid w:val="0"/>
              <w:spacing w:line="320" w:lineRule="atLeast"/>
              <w:jc w:val="center"/>
              <w:rPr>
                <w:rFonts w:hint="default" w:ascii="Times New Roman" w:hAnsi="Times New Roman" w:eastAsia="宋体" w:cs="Times New Roman"/>
                <w:kern w:val="0"/>
                <w:sz w:val="24"/>
                <w:szCs w:val="24"/>
              </w:rPr>
            </w:pPr>
          </w:p>
        </w:tc>
        <w:tc>
          <w:tcPr>
            <w:tcW w:w="2759" w:type="dxa"/>
            <w:shd w:val="clear" w:color="auto" w:fill="auto"/>
            <w:vAlign w:val="center"/>
          </w:tcPr>
          <w:p w14:paraId="775355C2">
            <w:pPr>
              <w:widowControl/>
              <w:snapToGrid w:val="0"/>
              <w:spacing w:line="320" w:lineRule="atLeast"/>
              <w:jc w:val="center"/>
              <w:rPr>
                <w:rFonts w:hint="default" w:ascii="Times New Roman" w:hAnsi="Times New Roman" w:eastAsia="宋体" w:cs="Times New Roman"/>
                <w:kern w:val="0"/>
                <w:sz w:val="24"/>
                <w:szCs w:val="24"/>
              </w:rPr>
            </w:pPr>
            <w:r>
              <w:rPr>
                <w:rFonts w:hint="eastAsia" w:cs="Times New Roman"/>
                <w:kern w:val="0"/>
                <w:sz w:val="24"/>
                <w:szCs w:val="24"/>
                <w:lang w:eastAsia="zh-CN"/>
              </w:rPr>
              <w:t>……</w:t>
            </w:r>
          </w:p>
        </w:tc>
        <w:tc>
          <w:tcPr>
            <w:tcW w:w="862" w:type="dxa"/>
            <w:shd w:val="clear" w:color="auto" w:fill="auto"/>
            <w:vAlign w:val="center"/>
          </w:tcPr>
          <w:p w14:paraId="42927CEC">
            <w:pPr>
              <w:widowControl/>
              <w:snapToGrid w:val="0"/>
              <w:spacing w:line="320" w:lineRule="atLeast"/>
              <w:jc w:val="center"/>
              <w:rPr>
                <w:rFonts w:hint="default" w:ascii="Times New Roman" w:hAnsi="Times New Roman" w:eastAsia="宋体" w:cs="Times New Roman"/>
                <w:kern w:val="0"/>
                <w:sz w:val="24"/>
                <w:szCs w:val="24"/>
              </w:rPr>
            </w:pPr>
          </w:p>
        </w:tc>
        <w:tc>
          <w:tcPr>
            <w:tcW w:w="954" w:type="dxa"/>
            <w:shd w:val="clear" w:color="auto" w:fill="auto"/>
            <w:vAlign w:val="center"/>
          </w:tcPr>
          <w:p w14:paraId="1A3D5F55">
            <w:pPr>
              <w:widowControl/>
              <w:snapToGrid w:val="0"/>
              <w:spacing w:line="320" w:lineRule="atLeast"/>
              <w:jc w:val="center"/>
              <w:rPr>
                <w:rFonts w:hint="default" w:ascii="Times New Roman" w:hAnsi="Times New Roman" w:eastAsia="宋体" w:cs="Times New Roman"/>
                <w:kern w:val="0"/>
                <w:sz w:val="24"/>
                <w:szCs w:val="24"/>
              </w:rPr>
            </w:pPr>
          </w:p>
        </w:tc>
        <w:tc>
          <w:tcPr>
            <w:tcW w:w="1004" w:type="dxa"/>
            <w:shd w:val="clear" w:color="auto" w:fill="auto"/>
            <w:vAlign w:val="center"/>
          </w:tcPr>
          <w:p w14:paraId="1726BA75">
            <w:pPr>
              <w:widowControl/>
              <w:snapToGrid w:val="0"/>
              <w:spacing w:line="320" w:lineRule="atLeast"/>
              <w:jc w:val="center"/>
              <w:rPr>
                <w:rFonts w:hint="default" w:ascii="Times New Roman" w:hAnsi="Times New Roman" w:eastAsia="宋体" w:cs="Times New Roman"/>
                <w:kern w:val="0"/>
                <w:sz w:val="24"/>
                <w:szCs w:val="24"/>
              </w:rPr>
            </w:pPr>
          </w:p>
        </w:tc>
        <w:tc>
          <w:tcPr>
            <w:tcW w:w="954" w:type="dxa"/>
            <w:shd w:val="clear" w:color="auto" w:fill="auto"/>
            <w:vAlign w:val="center"/>
          </w:tcPr>
          <w:p w14:paraId="26982035">
            <w:pPr>
              <w:widowControl/>
              <w:snapToGrid w:val="0"/>
              <w:spacing w:line="320" w:lineRule="atLeast"/>
              <w:jc w:val="center"/>
              <w:rPr>
                <w:rFonts w:hint="default" w:ascii="Times New Roman" w:hAnsi="Times New Roman" w:eastAsia="宋体" w:cs="Times New Roman"/>
                <w:kern w:val="0"/>
                <w:sz w:val="24"/>
                <w:szCs w:val="24"/>
              </w:rPr>
            </w:pPr>
          </w:p>
        </w:tc>
        <w:tc>
          <w:tcPr>
            <w:tcW w:w="2160" w:type="dxa"/>
            <w:shd w:val="clear" w:color="auto" w:fill="auto"/>
            <w:noWrap/>
            <w:vAlign w:val="center"/>
          </w:tcPr>
          <w:p w14:paraId="1FE8C960">
            <w:pPr>
              <w:widowControl/>
              <w:snapToGrid w:val="0"/>
              <w:spacing w:line="320" w:lineRule="atLeast"/>
              <w:jc w:val="left"/>
              <w:rPr>
                <w:rFonts w:hint="default" w:ascii="Times New Roman" w:hAnsi="Times New Roman" w:eastAsia="宋体" w:cs="Times New Roman"/>
                <w:color w:val="000000"/>
                <w:kern w:val="0"/>
                <w:sz w:val="24"/>
                <w:szCs w:val="24"/>
              </w:rPr>
            </w:pPr>
          </w:p>
        </w:tc>
      </w:tr>
    </w:tbl>
    <w:p w14:paraId="4EA4E4B0">
      <w:pPr>
        <w:adjustRightInd w:val="0"/>
        <w:snapToGrid w:val="0"/>
        <w:spacing w:line="600" w:lineRule="exact"/>
        <w:ind w:firstLine="720"/>
        <w:rPr>
          <w:rFonts w:ascii="Times New Roman" w:hAnsi="Times New Roman" w:eastAsia="仿宋_GB2312" w:cs="Times New Roman"/>
          <w:sz w:val="32"/>
          <w:szCs w:val="32"/>
          <w:lang w:val="zh-CN"/>
        </w:rPr>
      </w:pPr>
    </w:p>
    <w:p w14:paraId="2A4AA82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0C05E3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项目主要内容。</w:t>
      </w:r>
      <w:r>
        <w:rPr>
          <w:rFonts w:hint="eastAsia" w:ascii="Times New Roman" w:hAnsi="Times New Roman" w:eastAsia="仿宋_GB2312" w:cs="Times New Roman"/>
          <w:sz w:val="32"/>
          <w:szCs w:val="32"/>
          <w:lang w:val="zh-CN"/>
        </w:rPr>
        <w:t>保障攀枝花市地质灾害专业监测预警与数据库建设项目建设成果正常运行使用，包括：服务器及网络设备、攀枝花地质环境信息系统、地质环境数据中心、视频会商系统、大屏展示及会议视频系统等子系统正常运行，支撑攀枝花地质灾害业务管理工作。</w:t>
      </w:r>
    </w:p>
    <w:p w14:paraId="77D467E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项目应实现的具体绩效目标，包括目标的量化、细化情况以及项目实施进度计划等。</w:t>
      </w:r>
      <w:r>
        <w:rPr>
          <w:rFonts w:hint="eastAsia" w:ascii="Times New Roman" w:hAnsi="Times New Roman" w:eastAsia="仿宋_GB2312" w:cs="Times New Roman"/>
          <w:sz w:val="32"/>
          <w:szCs w:val="32"/>
          <w:lang w:val="zh-CN"/>
        </w:rPr>
        <w:t>按相关文件要求，</w:t>
      </w:r>
      <w:r>
        <w:rPr>
          <w:rFonts w:hint="eastAsia" w:ascii="Times New Roman" w:hAnsi="Times New Roman" w:eastAsia="仿宋_GB2312" w:cs="Times New Roman"/>
          <w:sz w:val="32"/>
          <w:szCs w:val="32"/>
          <w:lang w:val="zh-CN" w:eastAsia="zh-CN"/>
        </w:rPr>
        <w:t>运维应用系统巡检及定期备份、保障系统数据安全（</w:t>
      </w:r>
      <w:r>
        <w:rPr>
          <w:rFonts w:hint="eastAsia" w:ascii="Times New Roman" w:hAnsi="Times New Roman" w:eastAsia="仿宋_GB2312" w:cs="Times New Roman"/>
          <w:sz w:val="32"/>
          <w:szCs w:val="32"/>
          <w:lang w:val="en-US" w:eastAsia="zh-CN"/>
        </w:rPr>
        <w:t>12次/年</w:t>
      </w:r>
      <w:r>
        <w:rPr>
          <w:rFonts w:hint="eastAsia" w:ascii="Times New Roman" w:hAnsi="Times New Roman" w:eastAsia="仿宋_GB2312" w:cs="Times New Roman"/>
          <w:sz w:val="32"/>
          <w:szCs w:val="32"/>
          <w:lang w:val="zh-CN" w:eastAsia="zh-CN"/>
        </w:rPr>
        <w:t>），项目验收合格率（</w:t>
      </w:r>
      <w:r>
        <w:rPr>
          <w:rFonts w:hint="eastAsia" w:ascii="Times New Roman" w:hAnsi="Times New Roman" w:eastAsia="仿宋_GB2312" w:cs="Times New Roman"/>
          <w:sz w:val="32"/>
          <w:szCs w:val="32"/>
          <w:lang w:val="en-US" w:eastAsia="zh-CN"/>
        </w:rPr>
        <w:t>100</w:t>
      </w:r>
      <w:r>
        <w:rPr>
          <w:rFonts w:hint="eastAsia" w:ascii="Times New Roman" w:hAnsi="Times New Roman" w:eastAsia="仿宋_GB2312" w:cs="Times New Roman"/>
          <w:sz w:val="32"/>
          <w:szCs w:val="32"/>
          <w:lang w:val="zh-CN" w:eastAsia="zh-CN"/>
        </w:rPr>
        <w:t>%），按时完成合同约定工作量</w:t>
      </w:r>
      <w:r>
        <w:rPr>
          <w:rFonts w:hint="eastAsia" w:ascii="Times New Roman" w:hAnsi="Times New Roman" w:eastAsia="仿宋_GB2312" w:cs="Times New Roman"/>
          <w:sz w:val="32"/>
          <w:szCs w:val="32"/>
          <w:lang w:val="zh-CN"/>
        </w:rPr>
        <w:t>。</w:t>
      </w:r>
    </w:p>
    <w:p w14:paraId="6790B308">
      <w:pPr>
        <w:adjustRightInd w:val="0"/>
        <w:snapToGrid w:val="0"/>
        <w:spacing w:line="600" w:lineRule="exact"/>
        <w:ind w:firstLine="720"/>
        <w:rPr>
          <w:rFonts w:hint="eastAsia" w:ascii="Times New Roman" w:hAnsi="Times New Roman" w:eastAsia="仿宋_GB2312" w:cs="Times New Roman"/>
          <w:sz w:val="32"/>
          <w:szCs w:val="32"/>
          <w:lang w:val="zh-CN" w:eastAsia="zh-CN"/>
        </w:rPr>
      </w:pPr>
      <w:r>
        <w:rPr>
          <w:rFonts w:ascii="Times New Roman" w:hAnsi="Times New Roman" w:eastAsia="仿宋_GB2312" w:cs="Times New Roman"/>
          <w:sz w:val="32"/>
          <w:szCs w:val="32"/>
          <w:lang w:val="zh-CN"/>
        </w:rPr>
        <w:t>3. 评价申报内容与实际相符，申报目标合理可行。</w:t>
      </w:r>
    </w:p>
    <w:p w14:paraId="26A1C44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2E77FAD">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说明项目绩效自评采用的组织实施步骤及方法。</w:t>
      </w:r>
      <w:r>
        <w:rPr>
          <w:rFonts w:hint="eastAsia" w:ascii="Times New Roman" w:hAnsi="Times New Roman" w:eastAsia="仿宋_GB2312" w:cs="Times New Roman"/>
          <w:sz w:val="32"/>
          <w:szCs w:val="32"/>
          <w:lang w:val="zh-CN"/>
        </w:rPr>
        <w:t>分三个阶段：第一阶段是维护人员情况考核；第二阶段每月对</w:t>
      </w:r>
      <w:r>
        <w:rPr>
          <w:rFonts w:hint="eastAsia" w:ascii="Times New Roman" w:hAnsi="Times New Roman" w:eastAsia="仿宋_GB2312" w:cs="Times New Roman"/>
          <w:sz w:val="32"/>
          <w:szCs w:val="32"/>
          <w:lang w:val="zh-CN" w:eastAsia="zh-CN"/>
        </w:rPr>
        <w:t>运维应用系统巡检及备份、保障系统数据安全</w:t>
      </w:r>
      <w:r>
        <w:rPr>
          <w:rFonts w:hint="eastAsia" w:ascii="Times New Roman" w:hAnsi="Times New Roman" w:eastAsia="仿宋_GB2312" w:cs="Times New Roman"/>
          <w:sz w:val="32"/>
          <w:szCs w:val="32"/>
          <w:lang w:val="zh-CN"/>
        </w:rPr>
        <w:t>情况考核。第三阶段提供成果报告合格情况考核。</w:t>
      </w:r>
    </w:p>
    <w:p w14:paraId="678AD2D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7D578F3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27E37055">
      <w:pPr>
        <w:adjustRightInd w:val="0"/>
        <w:snapToGrid w:val="0"/>
        <w:spacing w:line="600" w:lineRule="exact"/>
        <w:ind w:firstLine="720"/>
        <w:rPr>
          <w:rFonts w:ascii="Times New Roman" w:hAnsi="Times New Roman" w:eastAsia="仿宋_GB2312" w:cs="Times New Roman"/>
          <w:sz w:val="32"/>
          <w:szCs w:val="32"/>
          <w:u w:val="none"/>
          <w:lang w:val="zh-CN"/>
        </w:rPr>
      </w:pPr>
      <w:r>
        <w:rPr>
          <w:rFonts w:hint="default" w:ascii="Times New Roman" w:hAnsi="Times New Roman" w:eastAsia="仿宋_GB2312" w:cs="Times New Roman"/>
          <w:color w:val="auto"/>
          <w:sz w:val="32"/>
          <w:szCs w:val="32"/>
          <w:u w:val="none"/>
        </w:rPr>
        <w:t>该项目预算</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w:t>
      </w:r>
      <w:r>
        <w:rPr>
          <w:rFonts w:hint="eastAsia" w:ascii="Times New Roman" w:hAnsi="Times New Roman" w:eastAsia="仿宋_GB2312" w:cs="Times New Roman"/>
          <w:color w:val="auto"/>
          <w:sz w:val="32"/>
          <w:szCs w:val="32"/>
          <w:u w:val="none"/>
          <w:lang w:eastAsia="zh-CN"/>
        </w:rPr>
        <w:t>批复</w:t>
      </w:r>
      <w:r>
        <w:rPr>
          <w:rFonts w:hint="default" w:ascii="Times New Roman" w:hAnsi="Times New Roman" w:eastAsia="仿宋_GB2312" w:cs="Times New Roman"/>
          <w:color w:val="auto"/>
          <w:sz w:val="32"/>
          <w:szCs w:val="32"/>
          <w:u w:val="none"/>
        </w:rPr>
        <w:t>金额为</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万元，资金来源为市级财政资金。</w:t>
      </w:r>
    </w:p>
    <w:p w14:paraId="35D0F1C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58C25F48">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市级财政计划安排</w:t>
      </w:r>
      <w:r>
        <w:rPr>
          <w:rFonts w:hint="eastAsia" w:ascii="Times New Roman" w:hAnsi="Times New Roman" w:eastAsia="仿宋_GB2312" w:cs="Times New Roman"/>
          <w:sz w:val="32"/>
          <w:szCs w:val="32"/>
          <w:lang w:val="en-US" w:eastAsia="zh-CN"/>
        </w:rPr>
        <w:t>20万元。</w:t>
      </w:r>
    </w:p>
    <w:p w14:paraId="0AC2BD4B">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lang w:val="zh-CN"/>
        </w:rPr>
        <w:t>截至评价时点该项目资金到位</w:t>
      </w:r>
      <w:r>
        <w:rPr>
          <w:rFonts w:hint="eastAsia" w:ascii="Times New Roman" w:hAnsi="Times New Roman" w:eastAsia="仿宋_GB2312" w:cs="Times New Roman"/>
          <w:sz w:val="32"/>
          <w:szCs w:val="32"/>
          <w:lang w:val="en-US" w:eastAsia="zh-CN"/>
        </w:rPr>
        <w:t>20</w:t>
      </w:r>
      <w:r>
        <w:rPr>
          <w:rFonts w:hint="eastAsia" w:ascii="Times New Roman" w:hAnsi="Times New Roman" w:eastAsia="仿宋_GB2312" w:cs="Times New Roman"/>
          <w:sz w:val="32"/>
          <w:szCs w:val="32"/>
          <w:lang w:val="zh-CN"/>
        </w:rPr>
        <w:t>万元</w:t>
      </w:r>
      <w:r>
        <w:rPr>
          <w:rFonts w:ascii="Times New Roman" w:hAnsi="Times New Roman" w:eastAsia="仿宋_GB2312" w:cs="Times New Roman"/>
          <w:sz w:val="32"/>
          <w:szCs w:val="32"/>
          <w:lang w:val="zh-CN"/>
        </w:rPr>
        <w:t>。</w:t>
      </w:r>
    </w:p>
    <w:p w14:paraId="2D0D87E1">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lang w:val="zh-CN"/>
        </w:rPr>
        <w:t>截至评价时点该项目全市资金支出</w:t>
      </w:r>
      <w:r>
        <w:rPr>
          <w:rFonts w:hint="eastAsia" w:ascii="Times New Roman" w:hAnsi="Times New Roman" w:eastAsia="仿宋_GB2312" w:cs="Times New Roman"/>
          <w:sz w:val="32"/>
          <w:szCs w:val="32"/>
          <w:lang w:val="en-US" w:eastAsia="zh-CN"/>
        </w:rPr>
        <w:t>15.06万元</w:t>
      </w:r>
      <w:r>
        <w:rPr>
          <w:rFonts w:ascii="Times New Roman" w:hAnsi="Times New Roman" w:eastAsia="仿宋_GB2312" w:cs="Times New Roman"/>
          <w:sz w:val="32"/>
          <w:szCs w:val="32"/>
          <w:lang w:val="zh-CN"/>
        </w:rPr>
        <w:t>。</w:t>
      </w:r>
    </w:p>
    <w:p w14:paraId="5DE4F6F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4B770E1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总体评价项目</w:t>
      </w:r>
      <w:r>
        <w:rPr>
          <w:rFonts w:hint="eastAsia" w:ascii="Times New Roman" w:hAnsi="Times New Roman" w:eastAsia="仿宋_GB2312" w:cs="Times New Roman"/>
          <w:sz w:val="32"/>
          <w:szCs w:val="32"/>
          <w:lang w:val="zh-CN"/>
        </w:rPr>
        <w:t>我局</w:t>
      </w:r>
      <w:r>
        <w:rPr>
          <w:rFonts w:ascii="Times New Roman" w:hAnsi="Times New Roman" w:eastAsia="仿宋_GB2312" w:cs="Times New Roman"/>
          <w:sz w:val="32"/>
          <w:szCs w:val="32"/>
          <w:lang w:val="zh-CN"/>
        </w:rPr>
        <w:t>财务管理制度健全，执行财务管理制度，账务处理及时，会计核算规范等。</w:t>
      </w:r>
    </w:p>
    <w:p w14:paraId="7B7DBC2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E8578F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结合项目组织实施管理办法，重点围绕以下内容进行分析评价，并对自评中发现的问题分析说明。</w:t>
      </w:r>
    </w:p>
    <w:p w14:paraId="0023A93A">
      <w:pPr>
        <w:ind w:firstLine="643" w:firstLineChars="200"/>
        <w:rPr>
          <w:rFonts w:hint="eastAsia" w:ascii="Times New Roman" w:hAnsi="Times New Roman" w:eastAsia="仿宋_GB2312" w:cs="Times New Roman"/>
          <w:b/>
          <w:sz w:val="32"/>
          <w:szCs w:val="32"/>
          <w:lang w:val="zh-CN" w:eastAsia="zh-CN"/>
        </w:rPr>
      </w:pPr>
      <w:r>
        <w:rPr>
          <w:rFonts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zh-CN"/>
        </w:rPr>
        <w:t>服从攀枝花市自然资源和规划局部署与安排。</w:t>
      </w:r>
    </w:p>
    <w:p w14:paraId="3D85C66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zh-CN"/>
        </w:rPr>
        <w:t>我局</w:t>
      </w:r>
      <w:r>
        <w:rPr>
          <w:rFonts w:ascii="Times New Roman" w:hAnsi="Times New Roman" w:eastAsia="仿宋_GB2312" w:cs="Times New Roman"/>
          <w:sz w:val="32"/>
          <w:szCs w:val="32"/>
          <w:lang w:val="zh-CN"/>
        </w:rPr>
        <w:t>执行相关法律法规及项目管理制度</w:t>
      </w:r>
      <w:r>
        <w:rPr>
          <w:rFonts w:hint="eastAsia" w:ascii="Times New Roman" w:hAnsi="Times New Roman" w:eastAsia="仿宋_GB2312" w:cs="Times New Roman"/>
          <w:sz w:val="32"/>
          <w:szCs w:val="32"/>
          <w:lang w:val="zh-CN"/>
        </w:rPr>
        <w:t>规范严谨，复核相关法律法规</w:t>
      </w:r>
      <w:r>
        <w:rPr>
          <w:rFonts w:ascii="Times New Roman" w:hAnsi="Times New Roman" w:eastAsia="仿宋_GB2312" w:cs="Times New Roman"/>
          <w:sz w:val="32"/>
          <w:szCs w:val="32"/>
          <w:lang w:val="zh-CN"/>
        </w:rPr>
        <w:t>。</w:t>
      </w:r>
    </w:p>
    <w:p w14:paraId="17BA75A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ascii="Times New Roman" w:hAnsi="Times New Roman" w:eastAsia="仿宋_GB2312" w:cs="Times New Roman"/>
          <w:sz w:val="32"/>
          <w:szCs w:val="32"/>
          <w:lang w:val="zh-CN"/>
        </w:rPr>
        <w:t>为加强项目管理所采取的监管</w:t>
      </w:r>
      <w:r>
        <w:rPr>
          <w:rFonts w:hint="eastAsia" w:ascii="Times New Roman" w:hAnsi="Times New Roman" w:eastAsia="仿宋_GB2312" w:cs="Times New Roman"/>
          <w:sz w:val="32"/>
          <w:szCs w:val="32"/>
          <w:lang w:val="zh-CN"/>
        </w:rPr>
        <w:t>项目组进驻攀枝花市地质灾害防治办公室，服从市局管理</w:t>
      </w:r>
      <w:r>
        <w:rPr>
          <w:rFonts w:ascii="Times New Roman" w:hAnsi="Times New Roman" w:eastAsia="仿宋_GB2312" w:cs="Times New Roman"/>
          <w:sz w:val="32"/>
          <w:szCs w:val="32"/>
          <w:lang w:val="zh-CN"/>
        </w:rPr>
        <w:t>。</w:t>
      </w:r>
    </w:p>
    <w:p w14:paraId="4E37611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5B5359D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0E0F4A26">
      <w:pPr>
        <w:ind w:firstLine="560"/>
        <w:rPr>
          <w:rFonts w:ascii="Times New Roman" w:hAnsi="Times New Roman" w:eastAsia="楷体_GB2312" w:cs="Times New Roman"/>
          <w:b/>
          <w:sz w:val="32"/>
          <w:szCs w:val="32"/>
          <w:lang w:val="zh-CN"/>
        </w:rPr>
      </w:pPr>
      <w:r>
        <w:rPr>
          <w:rFonts w:hint="default" w:ascii="Times New Roman" w:hAnsi="Times New Roman" w:eastAsia="仿宋_GB2312" w:cs="Times New Roman"/>
          <w:sz w:val="32"/>
          <w:szCs w:val="32"/>
        </w:rPr>
        <w:t>保障攀枝花市地质灾害专业监测预警与数据库建设项目建设成果正常运行使用，支撑攀枝</w:t>
      </w:r>
      <w:r>
        <w:rPr>
          <w:rFonts w:hint="eastAsia" w:eastAsia="仿宋_GB2312" w:cs="Times New Roman"/>
          <w:sz w:val="32"/>
          <w:szCs w:val="32"/>
          <w:lang w:eastAsia="zh-CN"/>
        </w:rPr>
        <w:t>花市</w:t>
      </w:r>
      <w:r>
        <w:rPr>
          <w:rFonts w:hint="default" w:ascii="Times New Roman" w:hAnsi="Times New Roman" w:eastAsia="仿宋_GB2312" w:cs="Times New Roman"/>
          <w:sz w:val="32"/>
          <w:szCs w:val="32"/>
        </w:rPr>
        <w:t>地质灾害业务管理工作</w:t>
      </w:r>
      <w:r>
        <w:rPr>
          <w:rFonts w:hint="eastAsia" w:ascii="Times New Roman" w:hAnsi="Times New Roman" w:eastAsia="仿宋_GB2312" w:cs="Times New Roman"/>
          <w:sz w:val="32"/>
          <w:szCs w:val="32"/>
          <w:lang w:val="zh-CN"/>
        </w:rPr>
        <w:t>。完成年度任务，并提交成果报告。</w:t>
      </w:r>
    </w:p>
    <w:p w14:paraId="6FD391B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1E8CA9ED">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从项目经济效益、社会效益、生态效益、可持续效益以及服务对象满意度等方面对项目效益进行全面分析评价。经济效益</w:t>
      </w:r>
      <w:r>
        <w:rPr>
          <w:rFonts w:hint="eastAsia" w:ascii="Times New Roman" w:hAnsi="Times New Roman" w:eastAsia="仿宋_GB2312" w:cs="Times New Roman"/>
          <w:sz w:val="32"/>
          <w:szCs w:val="32"/>
          <w:lang w:val="zh-CN"/>
        </w:rPr>
        <w:t>指标：有效减少地质灾害造成的财产损失</w:t>
      </w:r>
      <w:r>
        <w:rPr>
          <w:rFonts w:hint="eastAsia" w:ascii="Times New Roman" w:hAnsi="Times New Roman" w:eastAsia="仿宋_GB2312" w:cs="Times New Roman"/>
          <w:sz w:val="32"/>
          <w:szCs w:val="32"/>
          <w:lang w:val="en-US" w:eastAsia="zh-CN"/>
        </w:rPr>
        <w:t>97000万元；社会效益指标：保护受地质灾害威胁群众8000人；生态效益指标：生态环境受保护程度得到提高；可持续影响指标：全市群众受地质灾害威胁程度降低。</w:t>
      </w:r>
    </w:p>
    <w:p w14:paraId="17DD6862">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70F9D4D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3DF04278">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资金支付绩效评价自评得分</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zh-CN"/>
        </w:rPr>
        <w:t>分（满分10分），项目完成情况绩效评价自评得分100分（满分100分）。</w:t>
      </w:r>
    </w:p>
    <w:p w14:paraId="7CB5927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66BC47C0">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37FE8E7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53E58107">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735E1A7A">
      <w:pPr>
        <w:rPr>
          <w:rFonts w:ascii="Times New Roman" w:hAnsi="Times New Roman" w:eastAsia="仿宋_GB2312" w:cs="Times New Roman"/>
          <w:sz w:val="32"/>
          <w:szCs w:val="32"/>
        </w:rPr>
      </w:pPr>
    </w:p>
    <w:p w14:paraId="2209CE49">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11D51B55">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08486753">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en-US" w:eastAsia="zh-CN" w:bidi="ar-SA"/>
        </w:rPr>
        <w:t xml:space="preserve"> </w:t>
      </w:r>
      <w:r>
        <w:rPr>
          <w:rFonts w:ascii="Times New Roman" w:hAnsi="Times New Roman" w:eastAsia="方正小标宋简体" w:cs="Times New Roman"/>
          <w:color w:val="auto"/>
          <w:kern w:val="2"/>
          <w:sz w:val="40"/>
          <w:szCs w:val="40"/>
          <w:lang w:val="zh-CN" w:eastAsia="zh-CN" w:bidi="ar-SA"/>
        </w:rPr>
        <w:t>专项预算项目支出绩效自评报告</w:t>
      </w:r>
    </w:p>
    <w:p w14:paraId="40227B0F">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攀枝花市2025年度地质环境信息系统维护</w:t>
      </w:r>
      <w:r>
        <w:rPr>
          <w:rFonts w:ascii="Times New Roman" w:hAnsi="Times New Roman" w:eastAsia="仿宋_GB2312" w:cs="Times New Roman"/>
          <w:color w:val="auto"/>
          <w:kern w:val="2"/>
          <w:sz w:val="32"/>
          <w:szCs w:val="32"/>
          <w:lang w:val="zh-CN" w:eastAsia="zh-CN" w:bidi="ar-SA"/>
        </w:rPr>
        <w:t>）</w:t>
      </w:r>
    </w:p>
    <w:p w14:paraId="66879176">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147DC665">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10F585E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61853F54">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1.</w:t>
      </w:r>
      <w:r>
        <w:rPr>
          <w:rFonts w:hint="eastAsia" w:ascii="Times New Roman" w:hAnsi="Times New Roman" w:eastAsia="仿宋_GB2312" w:cs="Times New Roman"/>
          <w:sz w:val="32"/>
          <w:szCs w:val="32"/>
          <w:lang w:val="zh-CN"/>
        </w:rPr>
        <w:t>市级地质灾害防治主管部门负责项目的规划、组织、协调和监督工作。在项目执行期间，确保所有活动遵循国家法律法规及相关政策，并监督资金的合理高效使用。同时，负责项目进度管理，确保治理工程按计划顺利推进，并及时解决项目实施中的问题。项目完成后，组织相关部门进行验收，确保项目达到既定目标</w:t>
      </w:r>
      <w:r>
        <w:rPr>
          <w:rFonts w:ascii="Times New Roman" w:hAnsi="Times New Roman" w:eastAsia="仿宋_GB2312" w:cs="Times New Roman"/>
          <w:sz w:val="32"/>
          <w:szCs w:val="32"/>
          <w:lang w:val="zh-CN"/>
        </w:rPr>
        <w:t>。</w:t>
      </w:r>
    </w:p>
    <w:p w14:paraId="3337341F">
      <w:pPr>
        <w:ind w:firstLine="560"/>
        <w:rPr>
          <w:rFonts w:hint="default" w:ascii="Times New Roman" w:hAnsi="Times New Roman" w:eastAsia="仿宋_GB2312" w:cs="Times New Roman"/>
          <w:sz w:val="32"/>
          <w:szCs w:val="32"/>
        </w:rPr>
      </w:pPr>
      <w:r>
        <w:rPr>
          <w:rFonts w:ascii="Times New Roman" w:hAnsi="Times New Roman" w:eastAsia="仿宋_GB2312" w:cs="Times New Roman"/>
          <w:sz w:val="32"/>
          <w:szCs w:val="32"/>
          <w:lang w:val="zh-CN"/>
        </w:rPr>
        <w:t>2. 项目立项、资金申报的依据。</w:t>
      </w:r>
      <w:r>
        <w:rPr>
          <w:rFonts w:hint="default" w:ascii="Times New Roman" w:hAnsi="Times New Roman" w:eastAsia="仿宋_GB2312" w:cs="Times New Roman"/>
          <w:sz w:val="32"/>
          <w:szCs w:val="32"/>
        </w:rPr>
        <w:t>保障攀枝花市地质灾害专业监测预警与数据库建设项目建设成果正常运行使用</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满足攀枝花市自然资源和规划局</w:t>
      </w:r>
      <w:r>
        <w:rPr>
          <w:rFonts w:hint="eastAsia" w:eastAsia="仿宋_GB2312" w:cs="Times New Roman"/>
          <w:sz w:val="32"/>
          <w:szCs w:val="32"/>
          <w:lang w:eastAsia="zh-CN"/>
        </w:rPr>
        <w:t>召开</w:t>
      </w:r>
      <w:r>
        <w:rPr>
          <w:rFonts w:hint="default" w:ascii="Times New Roman" w:hAnsi="Times New Roman" w:eastAsia="仿宋_GB2312" w:cs="Times New Roman"/>
          <w:sz w:val="32"/>
          <w:szCs w:val="32"/>
        </w:rPr>
        <w:t>视频会议，防灾指挥等工作</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zh-CN"/>
        </w:rPr>
        <w:t>提高工作效率</w:t>
      </w:r>
      <w:r>
        <w:rPr>
          <w:rFonts w:hint="default" w:ascii="Times New Roman" w:hAnsi="Times New Roman" w:eastAsia="仿宋_GB2312" w:cs="Times New Roman"/>
          <w:sz w:val="32"/>
          <w:szCs w:val="32"/>
        </w:rPr>
        <w:t xml:space="preserve">。 </w:t>
      </w:r>
    </w:p>
    <w:p w14:paraId="05278EEA">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我市根据《四川省地质灾害防治项目管理办法</w:t>
      </w:r>
      <w:r>
        <w:rPr>
          <w:rFonts w:hint="eastAsia" w:eastAsia="仿宋_GB2312" w:cs="Times New Roman"/>
          <w:sz w:val="32"/>
          <w:szCs w:val="32"/>
          <w:lang w:val="zh-CN"/>
        </w:rPr>
        <w:t>》和</w:t>
      </w:r>
      <w:r>
        <w:rPr>
          <w:rFonts w:hint="eastAsia" w:ascii="Times New Roman" w:hAnsi="Times New Roman" w:eastAsia="仿宋_GB2312" w:cs="Times New Roman"/>
          <w:sz w:val="32"/>
          <w:szCs w:val="32"/>
          <w:lang w:val="zh-CN"/>
        </w:rPr>
        <w:t>《四川省地质灾害防治资金管理办法》制定了《攀枝花市地质灾害防治项目管理办法》。地质灾害防治项目实施的主要目的是保障人民群众生命财产安全，减少地质灾害对经济社会发展的影响。通过实施地质灾害防治项目，旨在提高地质灾害预警预报能力，加强地质灾害隐患点的监测和治理，降低地质灾害发生的概率和危害程度。</w:t>
      </w:r>
    </w:p>
    <w:p w14:paraId="0A95C19E">
      <w:pPr>
        <w:snapToGrid w:val="0"/>
        <w:spacing w:line="600" w:lineRule="atLeast"/>
        <w:ind w:firstLine="640" w:firstLineChars="200"/>
        <w:rPr>
          <w:rFonts w:hint="default" w:ascii="Times New Roman" w:hAnsi="Times New Roman" w:eastAsia="仿宋_GB2312" w:cs="Times New Roman"/>
          <w:color w:val="FF0000"/>
          <w:sz w:val="32"/>
          <w:szCs w:val="32"/>
          <w:u w:val="none"/>
        </w:rPr>
      </w:pPr>
      <w:r>
        <w:rPr>
          <w:rFonts w:ascii="Times New Roman" w:hAnsi="Times New Roman" w:eastAsia="仿宋_GB2312" w:cs="Times New Roman"/>
          <w:sz w:val="32"/>
          <w:szCs w:val="32"/>
          <w:lang w:val="zh-CN"/>
        </w:rPr>
        <w:t>4. 资</w:t>
      </w:r>
      <w:r>
        <w:rPr>
          <w:rFonts w:ascii="Times New Roman" w:hAnsi="Times New Roman" w:eastAsia="仿宋_GB2312" w:cs="Times New Roman"/>
          <w:sz w:val="32"/>
          <w:szCs w:val="32"/>
          <w:u w:val="none"/>
          <w:lang w:val="zh-CN"/>
        </w:rPr>
        <w:t>金分配的原则及考虑因素。</w:t>
      </w:r>
      <w:r>
        <w:rPr>
          <w:rFonts w:hint="default" w:ascii="Times New Roman" w:hAnsi="Times New Roman" w:eastAsia="仿宋_GB2312" w:cs="Times New Roman"/>
          <w:color w:val="auto"/>
          <w:sz w:val="32"/>
          <w:szCs w:val="32"/>
          <w:u w:val="none"/>
        </w:rPr>
        <w:t>该项目申报预算</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万元，本次申报金额为</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万元，资金来源为市级财政资金。</w:t>
      </w:r>
      <w:r>
        <w:rPr>
          <w:rFonts w:hint="default" w:ascii="Times New Roman" w:hAnsi="Times New Roman" w:eastAsia="仿宋_GB2312" w:cs="Times New Roman"/>
          <w:color w:val="auto"/>
          <w:sz w:val="32"/>
          <w:szCs w:val="32"/>
          <w:u w:val="none"/>
          <w:lang w:eastAsia="zh-CN"/>
        </w:rPr>
        <w:t>攀枝花市国土空间生态修复与地质灾害防治中心</w:t>
      </w:r>
      <w:r>
        <w:rPr>
          <w:rFonts w:hint="default" w:ascii="Times New Roman" w:hAnsi="Times New Roman" w:eastAsia="仿宋_GB2312" w:cs="Times New Roman"/>
          <w:color w:val="auto"/>
          <w:sz w:val="32"/>
          <w:szCs w:val="32"/>
          <w:u w:val="none"/>
        </w:rPr>
        <w:t>本次对项目投入经济性的评估是在项目事前绩效评估、预算测算的基础上，按照厉行节约的要求，结合项目20</w:t>
      </w:r>
      <w:r>
        <w:rPr>
          <w:rFonts w:hint="eastAsia" w:ascii="Times New Roman" w:hAnsi="Times New Roman" w:eastAsia="仿宋_GB2312" w:cs="Times New Roman"/>
          <w:color w:val="auto"/>
          <w:sz w:val="32"/>
          <w:szCs w:val="32"/>
          <w:u w:val="none"/>
          <w:lang w:val="en-US" w:eastAsia="zh-CN"/>
        </w:rPr>
        <w:t>24</w:t>
      </w:r>
      <w:r>
        <w:rPr>
          <w:rFonts w:hint="default" w:ascii="Times New Roman" w:hAnsi="Times New Roman" w:eastAsia="仿宋_GB2312" w:cs="Times New Roman"/>
          <w:color w:val="auto"/>
          <w:sz w:val="32"/>
          <w:szCs w:val="32"/>
          <w:u w:val="none"/>
        </w:rPr>
        <w:t>年开支情况结合20</w:t>
      </w:r>
      <w:r>
        <w:rPr>
          <w:rFonts w:hint="eastAsia" w:ascii="Times New Roman" w:hAnsi="Times New Roman" w:eastAsia="仿宋_GB2312" w:cs="Times New Roman"/>
          <w:color w:val="auto"/>
          <w:sz w:val="32"/>
          <w:szCs w:val="32"/>
          <w:u w:val="none"/>
          <w:lang w:val="en-US" w:eastAsia="zh-CN"/>
        </w:rPr>
        <w:t>25</w:t>
      </w:r>
      <w:r>
        <w:rPr>
          <w:rFonts w:hint="default" w:ascii="Times New Roman" w:hAnsi="Times New Roman" w:eastAsia="仿宋_GB2312" w:cs="Times New Roman"/>
          <w:color w:val="auto"/>
          <w:sz w:val="32"/>
          <w:szCs w:val="32"/>
          <w:u w:val="none"/>
        </w:rPr>
        <w:t>年实际需求、相关费用标准及市场价格水平，重点对数量是否合理、投入是否经济、预算测算是否准确、测算过程是否详细、测算依据是否充分等方面进行了评估。评估认为，该项目任务数量基本合理、预算测算过程较为详细、测算依据基本充分</w:t>
      </w:r>
      <w:r>
        <w:rPr>
          <w:rFonts w:hint="eastAsia" w:eastAsia="仿宋_GB2312" w:cs="Times New Roman"/>
          <w:color w:val="auto"/>
          <w:sz w:val="32"/>
          <w:szCs w:val="32"/>
          <w:u w:val="none"/>
          <w:lang w:eastAsia="zh-CN"/>
        </w:rPr>
        <w:t>、具</w:t>
      </w:r>
      <w:r>
        <w:rPr>
          <w:rFonts w:hint="default" w:ascii="Times New Roman" w:hAnsi="Times New Roman" w:eastAsia="仿宋_GB2312" w:cs="Times New Roman"/>
          <w:color w:val="auto"/>
          <w:sz w:val="32"/>
          <w:szCs w:val="32"/>
          <w:u w:val="none"/>
        </w:rPr>
        <w:t>有一定的经济性。建议预算控制在</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万元以内，与申报数相比，评减</w:t>
      </w:r>
      <w:r>
        <w:rPr>
          <w:rFonts w:hint="default" w:ascii="Times New Roman" w:hAnsi="Times New Roman" w:eastAsia="仿宋_GB2312" w:cs="Times New Roman"/>
          <w:color w:val="auto"/>
          <w:sz w:val="32"/>
          <w:szCs w:val="32"/>
          <w:u w:val="none"/>
          <w:lang w:val="en-US" w:eastAsia="zh-CN"/>
        </w:rPr>
        <w:t>0</w:t>
      </w:r>
      <w:r>
        <w:rPr>
          <w:rFonts w:hint="default" w:ascii="Times New Roman" w:hAnsi="Times New Roman" w:eastAsia="仿宋_GB2312" w:cs="Times New Roman"/>
          <w:color w:val="auto"/>
          <w:sz w:val="32"/>
          <w:szCs w:val="32"/>
          <w:u w:val="none"/>
        </w:rPr>
        <w:t>万元，评减率</w:t>
      </w:r>
      <w:r>
        <w:rPr>
          <w:rFonts w:hint="default" w:ascii="Times New Roman" w:hAnsi="Times New Roman" w:eastAsia="仿宋_GB2312" w:cs="Times New Roman"/>
          <w:color w:val="auto"/>
          <w:sz w:val="32"/>
          <w:szCs w:val="32"/>
          <w:u w:val="none"/>
          <w:lang w:val="en-US" w:eastAsia="zh-CN"/>
        </w:rPr>
        <w:t>0</w:t>
      </w:r>
      <w:r>
        <w:rPr>
          <w:rFonts w:hint="default" w:ascii="Times New Roman" w:hAnsi="Times New Roman" w:eastAsia="仿宋_GB2312" w:cs="Times New Roman"/>
          <w:color w:val="auto"/>
          <w:sz w:val="32"/>
          <w:szCs w:val="32"/>
          <w:u w:val="none"/>
        </w:rPr>
        <w:t>%（详见下表）。</w:t>
      </w:r>
    </w:p>
    <w:p w14:paraId="74C614BB">
      <w:pPr>
        <w:snapToGrid w:val="0"/>
        <w:spacing w:line="600" w:lineRule="atLeast"/>
        <w:jc w:val="center"/>
        <w:rPr>
          <w:rFonts w:hint="default" w:ascii="Times New Roman" w:hAnsi="Times New Roman" w:eastAsia="宋体" w:cs="Times New Roman"/>
          <w:b/>
          <w:sz w:val="21"/>
          <w:szCs w:val="21"/>
        </w:rPr>
      </w:pPr>
      <w:r>
        <w:rPr>
          <w:rFonts w:hint="eastAsia" w:ascii="方正小标宋_GBK" w:hAnsi="方正小标宋_GBK" w:eastAsia="方正小标宋_GBK" w:cs="方正小标宋_GBK"/>
          <w:b w:val="0"/>
          <w:bCs/>
          <w:sz w:val="30"/>
          <w:szCs w:val="30"/>
        </w:rPr>
        <w:t>地质灾害专业驻守督导技术服务项目事前绩效评估汇总表</w:t>
      </w:r>
    </w:p>
    <w:tbl>
      <w:tblPr>
        <w:tblStyle w:val="19"/>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2759"/>
        <w:gridCol w:w="862"/>
        <w:gridCol w:w="954"/>
        <w:gridCol w:w="1004"/>
        <w:gridCol w:w="954"/>
        <w:gridCol w:w="2160"/>
      </w:tblGrid>
      <w:tr w14:paraId="26B6D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7" w:type="dxa"/>
            <w:shd w:val="clear" w:color="auto" w:fill="auto"/>
            <w:vAlign w:val="center"/>
          </w:tcPr>
          <w:p w14:paraId="26D7CAA2">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序号</w:t>
            </w:r>
          </w:p>
        </w:tc>
        <w:tc>
          <w:tcPr>
            <w:tcW w:w="2759" w:type="dxa"/>
            <w:shd w:val="clear" w:color="auto" w:fill="auto"/>
            <w:vAlign w:val="center"/>
          </w:tcPr>
          <w:p w14:paraId="1203185C">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项目内容</w:t>
            </w:r>
          </w:p>
        </w:tc>
        <w:tc>
          <w:tcPr>
            <w:tcW w:w="862" w:type="dxa"/>
            <w:shd w:val="clear" w:color="auto" w:fill="auto"/>
            <w:vAlign w:val="center"/>
          </w:tcPr>
          <w:p w14:paraId="58709CE8">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申报</w:t>
            </w:r>
          </w:p>
          <w:p w14:paraId="6C5D7C36">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预算</w:t>
            </w:r>
          </w:p>
        </w:tc>
        <w:tc>
          <w:tcPr>
            <w:tcW w:w="954" w:type="dxa"/>
            <w:shd w:val="clear" w:color="auto" w:fill="auto"/>
            <w:vAlign w:val="center"/>
          </w:tcPr>
          <w:p w14:paraId="5D712E9E">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送审</w:t>
            </w:r>
          </w:p>
          <w:p w14:paraId="1AA5A259">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金额</w:t>
            </w:r>
          </w:p>
        </w:tc>
        <w:tc>
          <w:tcPr>
            <w:tcW w:w="1004" w:type="dxa"/>
            <w:shd w:val="clear" w:color="auto" w:fill="auto"/>
            <w:vAlign w:val="center"/>
          </w:tcPr>
          <w:p w14:paraId="508547E0">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建议控制额</w:t>
            </w:r>
          </w:p>
        </w:tc>
        <w:tc>
          <w:tcPr>
            <w:tcW w:w="954" w:type="dxa"/>
            <w:shd w:val="clear" w:color="auto" w:fill="auto"/>
            <w:vAlign w:val="center"/>
          </w:tcPr>
          <w:p w14:paraId="6A917294">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核减</w:t>
            </w:r>
          </w:p>
        </w:tc>
        <w:tc>
          <w:tcPr>
            <w:tcW w:w="2160" w:type="dxa"/>
            <w:shd w:val="clear" w:color="auto" w:fill="auto"/>
            <w:noWrap/>
            <w:vAlign w:val="center"/>
          </w:tcPr>
          <w:p w14:paraId="06227F8C">
            <w:pPr>
              <w:widowControl/>
              <w:snapToGrid w:val="0"/>
              <w:spacing w:line="320" w:lineRule="atLeast"/>
              <w:jc w:val="center"/>
              <w:rPr>
                <w:rFonts w:hint="eastAsia" w:ascii="方正小标宋_GBK" w:hAnsi="方正小标宋_GBK" w:eastAsia="方正小标宋_GBK" w:cs="方正小标宋_GBK"/>
                <w:color w:val="000000"/>
                <w:kern w:val="0"/>
                <w:sz w:val="24"/>
                <w:szCs w:val="24"/>
              </w:rPr>
            </w:pPr>
            <w:r>
              <w:rPr>
                <w:rFonts w:hint="eastAsia" w:ascii="方正小标宋_GBK" w:hAnsi="方正小标宋_GBK" w:eastAsia="方正小标宋_GBK" w:cs="方正小标宋_GBK"/>
                <w:color w:val="000000"/>
                <w:kern w:val="0"/>
                <w:sz w:val="24"/>
                <w:szCs w:val="24"/>
              </w:rPr>
              <w:t>备注　</w:t>
            </w:r>
          </w:p>
        </w:tc>
      </w:tr>
      <w:tr w14:paraId="458AF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7" w:type="dxa"/>
            <w:shd w:val="clear" w:color="auto" w:fill="auto"/>
            <w:vAlign w:val="center"/>
          </w:tcPr>
          <w:p w14:paraId="6F3A2919">
            <w:pPr>
              <w:widowControl/>
              <w:snapToGrid w:val="0"/>
              <w:spacing w:line="320" w:lineRule="atLeast"/>
              <w:jc w:val="center"/>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1</w:t>
            </w:r>
          </w:p>
        </w:tc>
        <w:tc>
          <w:tcPr>
            <w:tcW w:w="2759" w:type="dxa"/>
            <w:shd w:val="clear" w:color="auto" w:fill="auto"/>
            <w:vAlign w:val="center"/>
          </w:tcPr>
          <w:p w14:paraId="356F4ED9">
            <w:pPr>
              <w:widowControl/>
              <w:snapToGrid w:val="0"/>
              <w:spacing w:line="320" w:lineRule="atLeast"/>
              <w:jc w:val="center"/>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地质环境信息系统维护</w:t>
            </w:r>
          </w:p>
        </w:tc>
        <w:tc>
          <w:tcPr>
            <w:tcW w:w="862" w:type="dxa"/>
            <w:shd w:val="clear" w:color="auto" w:fill="auto"/>
            <w:vAlign w:val="center"/>
          </w:tcPr>
          <w:p w14:paraId="0E601FF7">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20</w:t>
            </w:r>
          </w:p>
        </w:tc>
        <w:tc>
          <w:tcPr>
            <w:tcW w:w="954" w:type="dxa"/>
            <w:shd w:val="clear" w:color="auto" w:fill="auto"/>
            <w:vAlign w:val="center"/>
          </w:tcPr>
          <w:p w14:paraId="6521B830">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20</w:t>
            </w:r>
          </w:p>
        </w:tc>
        <w:tc>
          <w:tcPr>
            <w:tcW w:w="1004" w:type="dxa"/>
            <w:shd w:val="clear" w:color="auto" w:fill="auto"/>
            <w:vAlign w:val="center"/>
          </w:tcPr>
          <w:p w14:paraId="160E02BA">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20</w:t>
            </w:r>
          </w:p>
        </w:tc>
        <w:tc>
          <w:tcPr>
            <w:tcW w:w="954" w:type="dxa"/>
            <w:shd w:val="clear" w:color="auto" w:fill="auto"/>
            <w:vAlign w:val="center"/>
          </w:tcPr>
          <w:p w14:paraId="7175D5DB">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0</w:t>
            </w:r>
          </w:p>
        </w:tc>
        <w:tc>
          <w:tcPr>
            <w:tcW w:w="2160" w:type="dxa"/>
            <w:shd w:val="clear" w:color="auto" w:fill="auto"/>
            <w:noWrap/>
            <w:vAlign w:val="center"/>
          </w:tcPr>
          <w:p w14:paraId="306597FC">
            <w:pPr>
              <w:widowControl/>
              <w:snapToGrid w:val="0"/>
              <w:spacing w:line="320" w:lineRule="atLeast"/>
              <w:jc w:val="left"/>
              <w:rPr>
                <w:rFonts w:hint="default" w:ascii="Times New Roman" w:hAnsi="Times New Roman" w:eastAsia="仿宋_GB2312" w:cs="Times New Roman"/>
                <w:color w:val="000000"/>
                <w:kern w:val="0"/>
                <w:sz w:val="24"/>
                <w:szCs w:val="24"/>
              </w:rPr>
            </w:pPr>
          </w:p>
        </w:tc>
      </w:tr>
      <w:tr w14:paraId="5B8D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7" w:type="dxa"/>
            <w:shd w:val="clear" w:color="auto" w:fill="auto"/>
            <w:vAlign w:val="center"/>
          </w:tcPr>
          <w:p w14:paraId="61F01C33">
            <w:pPr>
              <w:widowControl/>
              <w:snapToGrid w:val="0"/>
              <w:spacing w:line="320" w:lineRule="atLeast"/>
              <w:jc w:val="center"/>
              <w:rPr>
                <w:rFonts w:hint="default" w:ascii="Times New Roman" w:hAnsi="Times New Roman" w:eastAsia="宋体" w:cs="Times New Roman"/>
                <w:kern w:val="0"/>
                <w:sz w:val="24"/>
                <w:szCs w:val="24"/>
              </w:rPr>
            </w:pPr>
          </w:p>
        </w:tc>
        <w:tc>
          <w:tcPr>
            <w:tcW w:w="2759" w:type="dxa"/>
            <w:shd w:val="clear" w:color="auto" w:fill="auto"/>
            <w:vAlign w:val="center"/>
          </w:tcPr>
          <w:p w14:paraId="236CDF82">
            <w:pPr>
              <w:widowControl/>
              <w:snapToGrid w:val="0"/>
              <w:spacing w:line="320" w:lineRule="atLeast"/>
              <w:jc w:val="center"/>
              <w:rPr>
                <w:rFonts w:hint="default" w:ascii="Times New Roman" w:hAnsi="Times New Roman" w:eastAsia="宋体" w:cs="Times New Roman"/>
                <w:kern w:val="0"/>
                <w:sz w:val="24"/>
                <w:szCs w:val="24"/>
              </w:rPr>
            </w:pPr>
            <w:r>
              <w:rPr>
                <w:rFonts w:hint="eastAsia" w:cs="Times New Roman"/>
                <w:kern w:val="0"/>
                <w:sz w:val="24"/>
                <w:szCs w:val="24"/>
                <w:lang w:eastAsia="zh-CN"/>
              </w:rPr>
              <w:t>……</w:t>
            </w:r>
          </w:p>
        </w:tc>
        <w:tc>
          <w:tcPr>
            <w:tcW w:w="862" w:type="dxa"/>
            <w:shd w:val="clear" w:color="auto" w:fill="auto"/>
            <w:vAlign w:val="center"/>
          </w:tcPr>
          <w:p w14:paraId="07E21563">
            <w:pPr>
              <w:widowControl/>
              <w:snapToGrid w:val="0"/>
              <w:spacing w:line="320" w:lineRule="atLeast"/>
              <w:jc w:val="center"/>
              <w:rPr>
                <w:rFonts w:hint="default" w:ascii="Times New Roman" w:hAnsi="Times New Roman" w:eastAsia="宋体" w:cs="Times New Roman"/>
                <w:kern w:val="0"/>
                <w:sz w:val="24"/>
                <w:szCs w:val="24"/>
              </w:rPr>
            </w:pPr>
          </w:p>
        </w:tc>
        <w:tc>
          <w:tcPr>
            <w:tcW w:w="954" w:type="dxa"/>
            <w:shd w:val="clear" w:color="auto" w:fill="auto"/>
            <w:vAlign w:val="center"/>
          </w:tcPr>
          <w:p w14:paraId="2ABE748F">
            <w:pPr>
              <w:widowControl/>
              <w:snapToGrid w:val="0"/>
              <w:spacing w:line="320" w:lineRule="atLeast"/>
              <w:jc w:val="center"/>
              <w:rPr>
                <w:rFonts w:hint="default" w:ascii="Times New Roman" w:hAnsi="Times New Roman" w:eastAsia="宋体" w:cs="Times New Roman"/>
                <w:kern w:val="0"/>
                <w:sz w:val="24"/>
                <w:szCs w:val="24"/>
              </w:rPr>
            </w:pPr>
          </w:p>
        </w:tc>
        <w:tc>
          <w:tcPr>
            <w:tcW w:w="1004" w:type="dxa"/>
            <w:shd w:val="clear" w:color="auto" w:fill="auto"/>
            <w:vAlign w:val="center"/>
          </w:tcPr>
          <w:p w14:paraId="71AE6A8B">
            <w:pPr>
              <w:widowControl/>
              <w:snapToGrid w:val="0"/>
              <w:spacing w:line="320" w:lineRule="atLeast"/>
              <w:jc w:val="center"/>
              <w:rPr>
                <w:rFonts w:hint="default" w:ascii="Times New Roman" w:hAnsi="Times New Roman" w:eastAsia="宋体" w:cs="Times New Roman"/>
                <w:kern w:val="0"/>
                <w:sz w:val="24"/>
                <w:szCs w:val="24"/>
              </w:rPr>
            </w:pPr>
          </w:p>
        </w:tc>
        <w:tc>
          <w:tcPr>
            <w:tcW w:w="954" w:type="dxa"/>
            <w:shd w:val="clear" w:color="auto" w:fill="auto"/>
            <w:vAlign w:val="center"/>
          </w:tcPr>
          <w:p w14:paraId="393C6142">
            <w:pPr>
              <w:widowControl/>
              <w:snapToGrid w:val="0"/>
              <w:spacing w:line="320" w:lineRule="atLeast"/>
              <w:jc w:val="center"/>
              <w:rPr>
                <w:rFonts w:hint="default" w:ascii="Times New Roman" w:hAnsi="Times New Roman" w:eastAsia="宋体" w:cs="Times New Roman"/>
                <w:kern w:val="0"/>
                <w:sz w:val="24"/>
                <w:szCs w:val="24"/>
              </w:rPr>
            </w:pPr>
          </w:p>
        </w:tc>
        <w:tc>
          <w:tcPr>
            <w:tcW w:w="2160" w:type="dxa"/>
            <w:shd w:val="clear" w:color="auto" w:fill="auto"/>
            <w:noWrap/>
            <w:vAlign w:val="center"/>
          </w:tcPr>
          <w:p w14:paraId="05587590">
            <w:pPr>
              <w:widowControl/>
              <w:snapToGrid w:val="0"/>
              <w:spacing w:line="320" w:lineRule="atLeast"/>
              <w:jc w:val="left"/>
              <w:rPr>
                <w:rFonts w:hint="default" w:ascii="Times New Roman" w:hAnsi="Times New Roman" w:eastAsia="宋体" w:cs="Times New Roman"/>
                <w:color w:val="000000"/>
                <w:kern w:val="0"/>
                <w:sz w:val="24"/>
                <w:szCs w:val="24"/>
              </w:rPr>
            </w:pPr>
          </w:p>
        </w:tc>
      </w:tr>
    </w:tbl>
    <w:p w14:paraId="716496A9">
      <w:pPr>
        <w:adjustRightInd w:val="0"/>
        <w:snapToGrid w:val="0"/>
        <w:spacing w:line="600" w:lineRule="exact"/>
        <w:ind w:firstLine="720"/>
        <w:rPr>
          <w:rFonts w:ascii="Times New Roman" w:hAnsi="Times New Roman" w:eastAsia="仿宋_GB2312" w:cs="Times New Roman"/>
          <w:sz w:val="32"/>
          <w:szCs w:val="32"/>
          <w:lang w:val="zh-CN"/>
        </w:rPr>
      </w:pPr>
    </w:p>
    <w:p w14:paraId="3B63B98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4BF92D1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项目主要内容。</w:t>
      </w:r>
      <w:r>
        <w:rPr>
          <w:rFonts w:hint="eastAsia" w:ascii="Times New Roman" w:hAnsi="Times New Roman" w:eastAsia="仿宋_GB2312" w:cs="Times New Roman"/>
          <w:sz w:val="32"/>
          <w:szCs w:val="32"/>
          <w:lang w:val="zh-CN"/>
        </w:rPr>
        <w:t>保障攀枝花市地质灾害专业监测预警与数据库建设项目建设成果正常运行使用，包括：服务器及网络设备、攀枝花地质环境信息系统、地质环境数据中心、视频会商系统、大屏展示及会议视频系统等子系统正常运行，支撑攀枝花地质灾害业务管理工作。</w:t>
      </w:r>
    </w:p>
    <w:p w14:paraId="607B633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项目应实现的具体绩效目标，包括目标的量化、细化情况以及项目实施进度计划等。</w:t>
      </w:r>
      <w:r>
        <w:rPr>
          <w:rFonts w:hint="eastAsia" w:ascii="Times New Roman" w:hAnsi="Times New Roman" w:eastAsia="仿宋_GB2312" w:cs="Times New Roman"/>
          <w:sz w:val="32"/>
          <w:szCs w:val="32"/>
          <w:lang w:val="zh-CN"/>
        </w:rPr>
        <w:t>按相关文件要求，</w:t>
      </w:r>
      <w:r>
        <w:rPr>
          <w:rFonts w:hint="eastAsia" w:ascii="Times New Roman" w:hAnsi="Times New Roman" w:eastAsia="仿宋_GB2312" w:cs="Times New Roman"/>
          <w:sz w:val="32"/>
          <w:szCs w:val="32"/>
          <w:lang w:val="zh-CN" w:eastAsia="zh-CN"/>
        </w:rPr>
        <w:t>运维应用系统巡检及定期备份、保障系统数据安全（</w:t>
      </w:r>
      <w:r>
        <w:rPr>
          <w:rFonts w:hint="eastAsia" w:ascii="Times New Roman" w:hAnsi="Times New Roman" w:eastAsia="仿宋_GB2312" w:cs="Times New Roman"/>
          <w:sz w:val="32"/>
          <w:szCs w:val="32"/>
          <w:lang w:val="en-US" w:eastAsia="zh-CN"/>
        </w:rPr>
        <w:t>12次/年</w:t>
      </w:r>
      <w:r>
        <w:rPr>
          <w:rFonts w:hint="eastAsia" w:ascii="Times New Roman" w:hAnsi="Times New Roman" w:eastAsia="仿宋_GB2312" w:cs="Times New Roman"/>
          <w:sz w:val="32"/>
          <w:szCs w:val="32"/>
          <w:lang w:val="zh-CN" w:eastAsia="zh-CN"/>
        </w:rPr>
        <w:t>），项目验收合格率（</w:t>
      </w:r>
      <w:r>
        <w:rPr>
          <w:rFonts w:hint="eastAsia" w:ascii="Times New Roman" w:hAnsi="Times New Roman" w:eastAsia="仿宋_GB2312" w:cs="Times New Roman"/>
          <w:sz w:val="32"/>
          <w:szCs w:val="32"/>
          <w:lang w:val="en-US" w:eastAsia="zh-CN"/>
        </w:rPr>
        <w:t>100</w:t>
      </w:r>
      <w:r>
        <w:rPr>
          <w:rFonts w:hint="eastAsia" w:ascii="Times New Roman" w:hAnsi="Times New Roman" w:eastAsia="仿宋_GB2312" w:cs="Times New Roman"/>
          <w:sz w:val="32"/>
          <w:szCs w:val="32"/>
          <w:lang w:val="zh-CN" w:eastAsia="zh-CN"/>
        </w:rPr>
        <w:t>%），按时完成合同约定工作量</w:t>
      </w:r>
      <w:r>
        <w:rPr>
          <w:rFonts w:hint="eastAsia" w:ascii="Times New Roman" w:hAnsi="Times New Roman" w:eastAsia="仿宋_GB2312" w:cs="Times New Roman"/>
          <w:sz w:val="32"/>
          <w:szCs w:val="32"/>
          <w:lang w:val="zh-CN"/>
        </w:rPr>
        <w:t>。</w:t>
      </w:r>
    </w:p>
    <w:p w14:paraId="2FAE99E3">
      <w:pPr>
        <w:adjustRightInd w:val="0"/>
        <w:snapToGrid w:val="0"/>
        <w:spacing w:line="600" w:lineRule="exact"/>
        <w:ind w:firstLine="720"/>
        <w:rPr>
          <w:rFonts w:hint="eastAsia" w:ascii="Times New Roman" w:hAnsi="Times New Roman" w:eastAsia="仿宋_GB2312" w:cs="Times New Roman"/>
          <w:sz w:val="32"/>
          <w:szCs w:val="32"/>
          <w:lang w:val="zh-CN" w:eastAsia="zh-CN"/>
        </w:rPr>
      </w:pPr>
      <w:r>
        <w:rPr>
          <w:rFonts w:ascii="Times New Roman" w:hAnsi="Times New Roman" w:eastAsia="仿宋_GB2312" w:cs="Times New Roman"/>
          <w:sz w:val="32"/>
          <w:szCs w:val="32"/>
          <w:lang w:val="zh-CN"/>
        </w:rPr>
        <w:t>3. 评价申报内容与实际相符，申报目标合理可行。</w:t>
      </w:r>
    </w:p>
    <w:p w14:paraId="0BA5A44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4C1521E3">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说明项目绩效自评采用的组织实施步骤及方法。</w:t>
      </w:r>
      <w:r>
        <w:rPr>
          <w:rFonts w:hint="eastAsia" w:ascii="Times New Roman" w:hAnsi="Times New Roman" w:eastAsia="仿宋_GB2312" w:cs="Times New Roman"/>
          <w:sz w:val="32"/>
          <w:szCs w:val="32"/>
          <w:lang w:val="zh-CN"/>
        </w:rPr>
        <w:t>分三个阶段：第一阶段是维护人员情况考核；第二阶段每月对</w:t>
      </w:r>
      <w:r>
        <w:rPr>
          <w:rFonts w:hint="eastAsia" w:ascii="Times New Roman" w:hAnsi="Times New Roman" w:eastAsia="仿宋_GB2312" w:cs="Times New Roman"/>
          <w:sz w:val="32"/>
          <w:szCs w:val="32"/>
          <w:lang w:val="zh-CN" w:eastAsia="zh-CN"/>
        </w:rPr>
        <w:t>运维应用系统巡检及备份、保障系统数据安全</w:t>
      </w:r>
      <w:r>
        <w:rPr>
          <w:rFonts w:hint="eastAsia" w:ascii="Times New Roman" w:hAnsi="Times New Roman" w:eastAsia="仿宋_GB2312" w:cs="Times New Roman"/>
          <w:sz w:val="32"/>
          <w:szCs w:val="32"/>
          <w:lang w:val="zh-CN"/>
        </w:rPr>
        <w:t>情况考核。第三阶段提供成果报告合格情况考核。</w:t>
      </w:r>
    </w:p>
    <w:p w14:paraId="4E1ACFF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3848EBC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2757DEEE">
      <w:pPr>
        <w:adjustRightInd w:val="0"/>
        <w:snapToGrid w:val="0"/>
        <w:spacing w:line="600" w:lineRule="exact"/>
        <w:ind w:firstLine="720"/>
        <w:rPr>
          <w:rFonts w:ascii="Times New Roman" w:hAnsi="Times New Roman" w:eastAsia="仿宋_GB2312" w:cs="Times New Roman"/>
          <w:sz w:val="32"/>
          <w:szCs w:val="32"/>
          <w:u w:val="none"/>
          <w:lang w:val="zh-CN"/>
        </w:rPr>
      </w:pPr>
      <w:r>
        <w:rPr>
          <w:rFonts w:hint="default" w:ascii="Times New Roman" w:hAnsi="Times New Roman" w:eastAsia="仿宋_GB2312" w:cs="Times New Roman"/>
          <w:color w:val="auto"/>
          <w:sz w:val="32"/>
          <w:szCs w:val="32"/>
          <w:u w:val="none"/>
        </w:rPr>
        <w:t>该项目预算</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w:t>
      </w:r>
      <w:r>
        <w:rPr>
          <w:rFonts w:hint="eastAsia" w:ascii="Times New Roman" w:hAnsi="Times New Roman" w:eastAsia="仿宋_GB2312" w:cs="Times New Roman"/>
          <w:color w:val="auto"/>
          <w:sz w:val="32"/>
          <w:szCs w:val="32"/>
          <w:u w:val="none"/>
          <w:lang w:eastAsia="zh-CN"/>
        </w:rPr>
        <w:t>批复</w:t>
      </w:r>
      <w:r>
        <w:rPr>
          <w:rFonts w:hint="default" w:ascii="Times New Roman" w:hAnsi="Times New Roman" w:eastAsia="仿宋_GB2312" w:cs="Times New Roman"/>
          <w:color w:val="auto"/>
          <w:sz w:val="32"/>
          <w:szCs w:val="32"/>
          <w:u w:val="none"/>
        </w:rPr>
        <w:t>金额为</w:t>
      </w:r>
      <w:r>
        <w:rPr>
          <w:rFonts w:hint="eastAsia"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万元，资金来源为市级财政资金。</w:t>
      </w:r>
    </w:p>
    <w:p w14:paraId="0E25084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440C948E">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市级财政计划安排</w:t>
      </w:r>
      <w:r>
        <w:rPr>
          <w:rFonts w:hint="eastAsia" w:ascii="Times New Roman" w:hAnsi="Times New Roman" w:eastAsia="仿宋_GB2312" w:cs="Times New Roman"/>
          <w:sz w:val="32"/>
          <w:szCs w:val="32"/>
          <w:lang w:val="en-US" w:eastAsia="zh-CN"/>
        </w:rPr>
        <w:t>20万元。</w:t>
      </w:r>
    </w:p>
    <w:p w14:paraId="43E142F1">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lang w:val="zh-CN"/>
        </w:rPr>
        <w:t>截至评价时点该项目资金到位</w:t>
      </w:r>
      <w:r>
        <w:rPr>
          <w:rFonts w:hint="eastAsia" w:ascii="Times New Roman" w:hAnsi="Times New Roman" w:eastAsia="仿宋_GB2312" w:cs="Times New Roman"/>
          <w:sz w:val="32"/>
          <w:szCs w:val="32"/>
          <w:lang w:val="en-US" w:eastAsia="zh-CN"/>
        </w:rPr>
        <w:t>20</w:t>
      </w:r>
      <w:r>
        <w:rPr>
          <w:rFonts w:hint="eastAsia" w:ascii="Times New Roman" w:hAnsi="Times New Roman" w:eastAsia="仿宋_GB2312" w:cs="Times New Roman"/>
          <w:sz w:val="32"/>
          <w:szCs w:val="32"/>
          <w:lang w:val="zh-CN"/>
        </w:rPr>
        <w:t>万元</w:t>
      </w:r>
      <w:r>
        <w:rPr>
          <w:rFonts w:ascii="Times New Roman" w:hAnsi="Times New Roman" w:eastAsia="仿宋_GB2312" w:cs="Times New Roman"/>
          <w:sz w:val="32"/>
          <w:szCs w:val="32"/>
          <w:lang w:val="zh-CN"/>
        </w:rPr>
        <w:t>。</w:t>
      </w:r>
    </w:p>
    <w:p w14:paraId="44D7414E">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lang w:val="zh-CN"/>
        </w:rPr>
        <w:t>截至评价时点该项目全市资金支出</w:t>
      </w:r>
      <w:r>
        <w:rPr>
          <w:rFonts w:hint="eastAsia" w:ascii="Times New Roman" w:hAnsi="Times New Roman" w:eastAsia="仿宋_GB2312" w:cs="Times New Roman"/>
          <w:sz w:val="32"/>
          <w:szCs w:val="32"/>
          <w:lang w:val="en-US" w:eastAsia="zh-CN"/>
        </w:rPr>
        <w:t>15.06万元</w:t>
      </w:r>
      <w:r>
        <w:rPr>
          <w:rFonts w:ascii="Times New Roman" w:hAnsi="Times New Roman" w:eastAsia="仿宋_GB2312" w:cs="Times New Roman"/>
          <w:sz w:val="32"/>
          <w:szCs w:val="32"/>
          <w:lang w:val="zh-CN"/>
        </w:rPr>
        <w:t>。</w:t>
      </w:r>
    </w:p>
    <w:p w14:paraId="6AFF3D3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495D14F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总体评价项目</w:t>
      </w:r>
      <w:r>
        <w:rPr>
          <w:rFonts w:hint="eastAsia" w:ascii="Times New Roman" w:hAnsi="Times New Roman" w:eastAsia="仿宋_GB2312" w:cs="Times New Roman"/>
          <w:sz w:val="32"/>
          <w:szCs w:val="32"/>
          <w:lang w:val="zh-CN"/>
        </w:rPr>
        <w:t>我局</w:t>
      </w:r>
      <w:r>
        <w:rPr>
          <w:rFonts w:ascii="Times New Roman" w:hAnsi="Times New Roman" w:eastAsia="仿宋_GB2312" w:cs="Times New Roman"/>
          <w:sz w:val="32"/>
          <w:szCs w:val="32"/>
          <w:lang w:val="zh-CN"/>
        </w:rPr>
        <w:t>财务管理制度健全，执行财务管理制度，账务处理及时，会计核算规范等。</w:t>
      </w:r>
    </w:p>
    <w:p w14:paraId="4F8F4A7E">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23A5C42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结合项目组织实施管理办法，重点围绕以下内容进行分析评价，并对自评中发现的问题分析说明。</w:t>
      </w:r>
    </w:p>
    <w:p w14:paraId="22B0FA14">
      <w:pPr>
        <w:ind w:firstLine="643" w:firstLineChars="200"/>
        <w:rPr>
          <w:rFonts w:hint="eastAsia" w:ascii="Times New Roman" w:hAnsi="Times New Roman" w:eastAsia="仿宋_GB2312" w:cs="Times New Roman"/>
          <w:b/>
          <w:sz w:val="32"/>
          <w:szCs w:val="32"/>
          <w:lang w:val="zh-CN" w:eastAsia="zh-CN"/>
        </w:rPr>
      </w:pPr>
      <w:r>
        <w:rPr>
          <w:rFonts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zh-CN"/>
        </w:rPr>
        <w:t>服从攀枝花市自然资源和规划局部署与安排。</w:t>
      </w:r>
    </w:p>
    <w:p w14:paraId="15877A5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zh-CN"/>
        </w:rPr>
        <w:t>我局</w:t>
      </w:r>
      <w:r>
        <w:rPr>
          <w:rFonts w:ascii="Times New Roman" w:hAnsi="Times New Roman" w:eastAsia="仿宋_GB2312" w:cs="Times New Roman"/>
          <w:sz w:val="32"/>
          <w:szCs w:val="32"/>
          <w:lang w:val="zh-CN"/>
        </w:rPr>
        <w:t>执行相关法律法规及项目管理制度</w:t>
      </w:r>
      <w:r>
        <w:rPr>
          <w:rFonts w:hint="eastAsia" w:ascii="Times New Roman" w:hAnsi="Times New Roman" w:eastAsia="仿宋_GB2312" w:cs="Times New Roman"/>
          <w:sz w:val="32"/>
          <w:szCs w:val="32"/>
          <w:lang w:val="zh-CN"/>
        </w:rPr>
        <w:t>规范严谨，复核相关法律法规</w:t>
      </w:r>
      <w:r>
        <w:rPr>
          <w:rFonts w:ascii="Times New Roman" w:hAnsi="Times New Roman" w:eastAsia="仿宋_GB2312" w:cs="Times New Roman"/>
          <w:sz w:val="32"/>
          <w:szCs w:val="32"/>
          <w:lang w:val="zh-CN"/>
        </w:rPr>
        <w:t>。</w:t>
      </w:r>
    </w:p>
    <w:p w14:paraId="19B432B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ascii="Times New Roman" w:hAnsi="Times New Roman" w:eastAsia="仿宋_GB2312" w:cs="Times New Roman"/>
          <w:sz w:val="32"/>
          <w:szCs w:val="32"/>
          <w:lang w:val="zh-CN"/>
        </w:rPr>
        <w:t>为加强项目管理所采取的监管</w:t>
      </w:r>
      <w:r>
        <w:rPr>
          <w:rFonts w:hint="eastAsia" w:ascii="Times New Roman" w:hAnsi="Times New Roman" w:eastAsia="仿宋_GB2312" w:cs="Times New Roman"/>
          <w:sz w:val="32"/>
          <w:szCs w:val="32"/>
          <w:lang w:val="zh-CN"/>
        </w:rPr>
        <w:t>项目组进驻攀枝花市地质灾害防治办公室，服从市局管理</w:t>
      </w:r>
      <w:r>
        <w:rPr>
          <w:rFonts w:ascii="Times New Roman" w:hAnsi="Times New Roman" w:eastAsia="仿宋_GB2312" w:cs="Times New Roman"/>
          <w:sz w:val="32"/>
          <w:szCs w:val="32"/>
          <w:lang w:val="zh-CN"/>
        </w:rPr>
        <w:t>。</w:t>
      </w:r>
    </w:p>
    <w:p w14:paraId="068924F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5E74F7C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68BC3941">
      <w:pPr>
        <w:ind w:firstLine="560"/>
        <w:rPr>
          <w:rFonts w:ascii="Times New Roman" w:hAnsi="Times New Roman" w:eastAsia="楷体_GB2312" w:cs="Times New Roman"/>
          <w:b/>
          <w:sz w:val="32"/>
          <w:szCs w:val="32"/>
          <w:lang w:val="zh-CN"/>
        </w:rPr>
      </w:pPr>
      <w:r>
        <w:rPr>
          <w:rFonts w:hint="default" w:ascii="Times New Roman" w:hAnsi="Times New Roman" w:eastAsia="仿宋_GB2312" w:cs="Times New Roman"/>
          <w:sz w:val="32"/>
          <w:szCs w:val="32"/>
        </w:rPr>
        <w:t>保障攀枝花市地质灾害专业监测预警与数据库建设项目建设成果正常运行使用，支撑攀枝</w:t>
      </w:r>
      <w:r>
        <w:rPr>
          <w:rFonts w:hint="eastAsia" w:eastAsia="仿宋_GB2312" w:cs="Times New Roman"/>
          <w:sz w:val="32"/>
          <w:szCs w:val="32"/>
          <w:lang w:eastAsia="zh-CN"/>
        </w:rPr>
        <w:t>花市</w:t>
      </w:r>
      <w:r>
        <w:rPr>
          <w:rFonts w:hint="default" w:ascii="Times New Roman" w:hAnsi="Times New Roman" w:eastAsia="仿宋_GB2312" w:cs="Times New Roman"/>
          <w:sz w:val="32"/>
          <w:szCs w:val="32"/>
        </w:rPr>
        <w:t>地质灾害业务管理工作</w:t>
      </w:r>
      <w:r>
        <w:rPr>
          <w:rFonts w:hint="eastAsia" w:ascii="Times New Roman" w:hAnsi="Times New Roman" w:eastAsia="仿宋_GB2312" w:cs="Times New Roman"/>
          <w:sz w:val="32"/>
          <w:szCs w:val="32"/>
          <w:lang w:val="zh-CN"/>
        </w:rPr>
        <w:t>。完成年度任务，并提交成果报告。</w:t>
      </w:r>
    </w:p>
    <w:p w14:paraId="457740B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58EBF497">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从项目经济效益、社会效益、生态效益、可持续效益以及服务对象满意度等方面对项目效益进行全面分析评价。经济效益</w:t>
      </w:r>
      <w:r>
        <w:rPr>
          <w:rFonts w:hint="eastAsia" w:ascii="Times New Roman" w:hAnsi="Times New Roman" w:eastAsia="仿宋_GB2312" w:cs="Times New Roman"/>
          <w:sz w:val="32"/>
          <w:szCs w:val="32"/>
          <w:lang w:val="zh-CN"/>
        </w:rPr>
        <w:t>指标：有效减少地质灾害造成的财产损失</w:t>
      </w:r>
      <w:r>
        <w:rPr>
          <w:rFonts w:hint="eastAsia" w:ascii="Times New Roman" w:hAnsi="Times New Roman" w:eastAsia="仿宋_GB2312" w:cs="Times New Roman"/>
          <w:sz w:val="32"/>
          <w:szCs w:val="32"/>
          <w:lang w:val="en-US" w:eastAsia="zh-CN"/>
        </w:rPr>
        <w:t>97000万元；社会效益指标：保护受地质灾害威胁群众8000人；生态效益指标：生态环境受保护程度得到提高；可持续影响指标：全市群众受地质灾害威胁程度降低。</w:t>
      </w:r>
    </w:p>
    <w:p w14:paraId="5232DE12">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4889EAA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0C46607">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资金支付绩效评价自评得分</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zh-CN"/>
        </w:rPr>
        <w:t>分（满分10分），项目完成情况绩效评价自评得分100分（满分100分）。</w:t>
      </w:r>
    </w:p>
    <w:p w14:paraId="21CDB1B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23AB8D21">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0143C3F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2870BC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20DA1067">
      <w:pPr>
        <w:rPr>
          <w:rFonts w:ascii="Times New Roman" w:hAnsi="Times New Roman" w:eastAsia="仿宋_GB2312" w:cs="Times New Roman"/>
          <w:sz w:val="32"/>
          <w:szCs w:val="32"/>
        </w:rPr>
      </w:pPr>
    </w:p>
    <w:p w14:paraId="25DAC04F">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3F0C41FD">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31A4D134">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16E7B492">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攀枝花市2025年度市级地质灾害专业驻守督导技术服务</w:t>
      </w:r>
      <w:r>
        <w:rPr>
          <w:rFonts w:ascii="Times New Roman" w:hAnsi="Times New Roman" w:eastAsia="仿宋_GB2312" w:cs="Times New Roman"/>
          <w:color w:val="auto"/>
          <w:kern w:val="2"/>
          <w:sz w:val="32"/>
          <w:szCs w:val="32"/>
          <w:lang w:val="zh-CN" w:eastAsia="zh-CN" w:bidi="ar-SA"/>
        </w:rPr>
        <w:t>）</w:t>
      </w:r>
    </w:p>
    <w:p w14:paraId="415E49C5">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02195AD8">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171FE81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2A48B74">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1.</w:t>
      </w:r>
      <w:r>
        <w:rPr>
          <w:rFonts w:hint="eastAsia" w:ascii="Times New Roman" w:hAnsi="Times New Roman" w:eastAsia="仿宋_GB2312" w:cs="Times New Roman"/>
          <w:sz w:val="32"/>
          <w:szCs w:val="32"/>
          <w:lang w:val="zh-CN"/>
        </w:rPr>
        <w:t>市级地质灾害防治主管部门负责项目的规划、组织、协调和监督工作。在项目执行期间，确保所有活动遵循国家法律法规及相关政策，并监督资金的合理高效使用。同时，负责项目进度管理，确保治理工程按计划顺利推进，并及时解决项目实施中的问题。项目完成后，组织相关部门进行验收，确保项目达到既定目标</w:t>
      </w:r>
      <w:r>
        <w:rPr>
          <w:rFonts w:ascii="Times New Roman" w:hAnsi="Times New Roman" w:eastAsia="仿宋_GB2312" w:cs="Times New Roman"/>
          <w:sz w:val="32"/>
          <w:szCs w:val="32"/>
          <w:lang w:val="zh-CN"/>
        </w:rPr>
        <w:t>。</w:t>
      </w:r>
    </w:p>
    <w:p w14:paraId="2A56D26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项目立项、资金申报的依据。</w:t>
      </w:r>
      <w:r>
        <w:rPr>
          <w:rFonts w:hint="eastAsia" w:ascii="Times New Roman" w:hAnsi="Times New Roman" w:eastAsia="仿宋_GB2312" w:cs="Times New Roman"/>
          <w:sz w:val="32"/>
          <w:szCs w:val="32"/>
          <w:lang w:val="zh-CN"/>
        </w:rPr>
        <w:t>为切实做好攀枝花市地质灾害防治工作，减轻和避免人民群众的生命财产损失，提高全市地质灾害防治工作成效，按照《国务院关于加强地质灾害防治工作的决定》（国发〔2011〕20号）、《四川省人民政府关于加强地质灾害防治工作的实施意见》（川府发〔2011〕43号）等文件要求“充分依靠以专业地勘单位为主体的技术支撑队伍强化地质灾害管理水平，提高基层地质灾害处置能力，建立专群结合的工作队伍”，我局每年度均将聘请专业技术队伍开展地质灾害防治驻守督导技术服务工作。开展攀枝花市地质灾害防治驻守技术支撑工作的</w:t>
      </w:r>
      <w:r>
        <w:rPr>
          <w:rFonts w:hint="eastAsia" w:eastAsia="仿宋_GB2312" w:cs="Times New Roman"/>
          <w:sz w:val="32"/>
          <w:szCs w:val="32"/>
          <w:lang w:val="zh-CN"/>
        </w:rPr>
        <w:t>目的是</w:t>
      </w:r>
      <w:r>
        <w:rPr>
          <w:rFonts w:hint="eastAsia" w:ascii="Times New Roman" w:hAnsi="Times New Roman" w:eastAsia="仿宋_GB2312" w:cs="Times New Roman"/>
          <w:sz w:val="32"/>
          <w:szCs w:val="32"/>
          <w:lang w:val="zh-CN"/>
        </w:rPr>
        <w:t>推进地质灾害防治责任体系和群测群防监测预警体系建设，依托专业技术力量，有效提升基层防灾能力，切实维护人民群众生命财产安全，促进全市和谐稳定。</w:t>
      </w:r>
    </w:p>
    <w:p w14:paraId="03243E26">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我市根据《四川省地质灾害防治项目管理办法</w:t>
      </w:r>
      <w:r>
        <w:rPr>
          <w:rFonts w:hint="eastAsia" w:eastAsia="仿宋_GB2312" w:cs="Times New Roman"/>
          <w:sz w:val="32"/>
          <w:szCs w:val="32"/>
          <w:lang w:val="zh-CN"/>
        </w:rPr>
        <w:t>》和</w:t>
      </w:r>
      <w:r>
        <w:rPr>
          <w:rFonts w:hint="eastAsia" w:ascii="Times New Roman" w:hAnsi="Times New Roman" w:eastAsia="仿宋_GB2312" w:cs="Times New Roman"/>
          <w:sz w:val="32"/>
          <w:szCs w:val="32"/>
          <w:lang w:val="zh-CN"/>
        </w:rPr>
        <w:t>《四川省地质灾害防治资金管理办法》制定了《攀枝花市地质灾害防治项目管理办法》。地质灾害防治项目实施的主要目的是保障人民群众生命财产安全，减少地质灾害对经济社会发展的影响。通过实施地质灾害防治项目，旨在提高地质灾害预警预报能力，加强地质灾害隐患点的监测和治理，降低地质灾害发生的概率和危害程度。</w:t>
      </w:r>
    </w:p>
    <w:p w14:paraId="5D6E87C5">
      <w:pPr>
        <w:snapToGrid w:val="0"/>
        <w:spacing w:line="600" w:lineRule="atLeast"/>
        <w:ind w:firstLine="640" w:firstLineChars="200"/>
        <w:rPr>
          <w:rFonts w:hint="default" w:ascii="Times New Roman" w:hAnsi="Times New Roman" w:eastAsia="仿宋_GB2312" w:cs="Times New Roman"/>
          <w:color w:val="FF0000"/>
          <w:sz w:val="32"/>
          <w:szCs w:val="32"/>
          <w:u w:val="single"/>
        </w:rPr>
      </w:pPr>
      <w:r>
        <w:rPr>
          <w:rFonts w:ascii="Times New Roman" w:hAnsi="Times New Roman" w:eastAsia="仿宋_GB2312" w:cs="Times New Roman"/>
          <w:sz w:val="32"/>
          <w:szCs w:val="32"/>
          <w:lang w:val="zh-CN"/>
        </w:rPr>
        <w:t xml:space="preserve">4. </w:t>
      </w:r>
      <w:r>
        <w:rPr>
          <w:rFonts w:ascii="Times New Roman" w:hAnsi="Times New Roman" w:eastAsia="仿宋_GB2312" w:cs="Times New Roman"/>
          <w:sz w:val="32"/>
          <w:szCs w:val="32"/>
          <w:u w:val="none"/>
          <w:lang w:val="zh-CN"/>
        </w:rPr>
        <w:t>资金分配的原则及考虑因素。</w:t>
      </w:r>
      <w:r>
        <w:rPr>
          <w:rFonts w:hint="default" w:ascii="Times New Roman" w:hAnsi="Times New Roman" w:eastAsia="仿宋_GB2312" w:cs="Times New Roman"/>
          <w:color w:val="auto"/>
          <w:sz w:val="32"/>
          <w:szCs w:val="32"/>
          <w:u w:val="none"/>
        </w:rPr>
        <w:t>该项目申报预算</w:t>
      </w:r>
      <w:r>
        <w:rPr>
          <w:rFonts w:hint="default" w:ascii="Times New Roman" w:hAnsi="Times New Roman" w:eastAsia="仿宋_GB2312" w:cs="Times New Roman"/>
          <w:color w:val="auto"/>
          <w:sz w:val="32"/>
          <w:szCs w:val="32"/>
          <w:u w:val="none"/>
          <w:lang w:val="en-US" w:eastAsia="zh-CN"/>
        </w:rPr>
        <w:t>70</w:t>
      </w:r>
      <w:r>
        <w:rPr>
          <w:rFonts w:hint="default" w:ascii="Times New Roman" w:hAnsi="Times New Roman" w:eastAsia="仿宋_GB2312" w:cs="Times New Roman"/>
          <w:color w:val="auto"/>
          <w:sz w:val="32"/>
          <w:szCs w:val="32"/>
          <w:u w:val="none"/>
        </w:rPr>
        <w:t>万元，本次申报金额为</w:t>
      </w:r>
      <w:r>
        <w:rPr>
          <w:rFonts w:hint="default" w:ascii="Times New Roman" w:hAnsi="Times New Roman" w:eastAsia="仿宋_GB2312" w:cs="Times New Roman"/>
          <w:color w:val="auto"/>
          <w:sz w:val="32"/>
          <w:szCs w:val="32"/>
          <w:u w:val="none"/>
          <w:lang w:val="en-US" w:eastAsia="zh-CN"/>
        </w:rPr>
        <w:t>70</w:t>
      </w:r>
      <w:r>
        <w:rPr>
          <w:rFonts w:hint="default" w:ascii="Times New Roman" w:hAnsi="Times New Roman" w:eastAsia="仿宋_GB2312" w:cs="Times New Roman"/>
          <w:color w:val="auto"/>
          <w:sz w:val="32"/>
          <w:szCs w:val="32"/>
          <w:u w:val="none"/>
        </w:rPr>
        <w:t>万元，资金来源为市级财政资金。</w:t>
      </w:r>
      <w:r>
        <w:rPr>
          <w:rFonts w:hint="default" w:ascii="Times New Roman" w:hAnsi="Times New Roman" w:eastAsia="仿宋_GB2312" w:cs="Times New Roman"/>
          <w:color w:val="auto"/>
          <w:sz w:val="32"/>
          <w:szCs w:val="32"/>
          <w:u w:val="none"/>
          <w:lang w:eastAsia="zh-CN"/>
        </w:rPr>
        <w:t>攀枝花市国土空间生态修复与地质灾害防治中心</w:t>
      </w:r>
      <w:r>
        <w:rPr>
          <w:rFonts w:hint="default" w:ascii="Times New Roman" w:hAnsi="Times New Roman" w:eastAsia="仿宋_GB2312" w:cs="Times New Roman"/>
          <w:color w:val="auto"/>
          <w:sz w:val="32"/>
          <w:szCs w:val="32"/>
          <w:u w:val="none"/>
        </w:rPr>
        <w:t>本次对项目投入经济性的评估是在项目事前绩效评估、预算测算的基础上，按照厉行节约的要求，结合项目20</w:t>
      </w:r>
      <w:r>
        <w:rPr>
          <w:rFonts w:hint="eastAsia" w:ascii="Times New Roman" w:hAnsi="Times New Roman" w:eastAsia="仿宋_GB2312" w:cs="Times New Roman"/>
          <w:color w:val="auto"/>
          <w:sz w:val="32"/>
          <w:szCs w:val="32"/>
          <w:u w:val="none"/>
          <w:lang w:val="en-US" w:eastAsia="zh-CN"/>
        </w:rPr>
        <w:t>24</w:t>
      </w:r>
      <w:r>
        <w:rPr>
          <w:rFonts w:hint="default" w:ascii="Times New Roman" w:hAnsi="Times New Roman" w:eastAsia="仿宋_GB2312" w:cs="Times New Roman"/>
          <w:color w:val="auto"/>
          <w:sz w:val="32"/>
          <w:szCs w:val="32"/>
          <w:u w:val="none"/>
        </w:rPr>
        <w:t>年开支情况结合20</w:t>
      </w:r>
      <w:r>
        <w:rPr>
          <w:rFonts w:hint="eastAsia" w:ascii="Times New Roman" w:hAnsi="Times New Roman" w:eastAsia="仿宋_GB2312" w:cs="Times New Roman"/>
          <w:color w:val="auto"/>
          <w:sz w:val="32"/>
          <w:szCs w:val="32"/>
          <w:u w:val="none"/>
          <w:lang w:val="en-US" w:eastAsia="zh-CN"/>
        </w:rPr>
        <w:t>25</w:t>
      </w:r>
      <w:r>
        <w:rPr>
          <w:rFonts w:hint="default" w:ascii="Times New Roman" w:hAnsi="Times New Roman" w:eastAsia="仿宋_GB2312" w:cs="Times New Roman"/>
          <w:color w:val="auto"/>
          <w:sz w:val="32"/>
          <w:szCs w:val="32"/>
          <w:u w:val="none"/>
        </w:rPr>
        <w:t>年实际需求、相关费用标准及市场价格水平，重点对数量是否合理、投入是否经济、预算测算是否准确、测算过程是否详细、测算依据是否充分等方面进行了评估。评估认为，该项目任务数量基本合理、预算测算过程较为详细、测算依据基本充分</w:t>
      </w:r>
      <w:r>
        <w:rPr>
          <w:rFonts w:hint="eastAsia" w:eastAsia="仿宋_GB2312" w:cs="Times New Roman"/>
          <w:color w:val="auto"/>
          <w:sz w:val="32"/>
          <w:szCs w:val="32"/>
          <w:u w:val="none"/>
          <w:lang w:eastAsia="zh-CN"/>
        </w:rPr>
        <w:t>、具</w:t>
      </w:r>
      <w:r>
        <w:rPr>
          <w:rFonts w:hint="default" w:ascii="Times New Roman" w:hAnsi="Times New Roman" w:eastAsia="仿宋_GB2312" w:cs="Times New Roman"/>
          <w:color w:val="auto"/>
          <w:sz w:val="32"/>
          <w:szCs w:val="32"/>
          <w:u w:val="none"/>
        </w:rPr>
        <w:t>有一定的经济性。建议预算控制在</w:t>
      </w:r>
      <w:r>
        <w:rPr>
          <w:rFonts w:hint="default" w:ascii="Times New Roman" w:hAnsi="Times New Roman" w:eastAsia="仿宋_GB2312" w:cs="Times New Roman"/>
          <w:color w:val="auto"/>
          <w:sz w:val="32"/>
          <w:szCs w:val="32"/>
          <w:u w:val="none"/>
          <w:lang w:val="en-US" w:eastAsia="zh-CN"/>
        </w:rPr>
        <w:t>70</w:t>
      </w:r>
      <w:r>
        <w:rPr>
          <w:rFonts w:hint="default" w:ascii="Times New Roman" w:hAnsi="Times New Roman" w:eastAsia="仿宋_GB2312" w:cs="Times New Roman"/>
          <w:color w:val="auto"/>
          <w:sz w:val="32"/>
          <w:szCs w:val="32"/>
          <w:u w:val="none"/>
        </w:rPr>
        <w:t>万元以内，与申报数相比，评减</w:t>
      </w:r>
      <w:r>
        <w:rPr>
          <w:rFonts w:hint="default" w:ascii="Times New Roman" w:hAnsi="Times New Roman" w:eastAsia="仿宋_GB2312" w:cs="Times New Roman"/>
          <w:color w:val="auto"/>
          <w:sz w:val="32"/>
          <w:szCs w:val="32"/>
          <w:u w:val="none"/>
          <w:lang w:val="en-US" w:eastAsia="zh-CN"/>
        </w:rPr>
        <w:t>0</w:t>
      </w:r>
      <w:r>
        <w:rPr>
          <w:rFonts w:hint="default" w:ascii="Times New Roman" w:hAnsi="Times New Roman" w:eastAsia="仿宋_GB2312" w:cs="Times New Roman"/>
          <w:color w:val="auto"/>
          <w:sz w:val="32"/>
          <w:szCs w:val="32"/>
          <w:u w:val="none"/>
        </w:rPr>
        <w:t>万元，评减率</w:t>
      </w:r>
      <w:r>
        <w:rPr>
          <w:rFonts w:hint="default" w:ascii="Times New Roman" w:hAnsi="Times New Roman" w:eastAsia="仿宋_GB2312" w:cs="Times New Roman"/>
          <w:color w:val="auto"/>
          <w:sz w:val="32"/>
          <w:szCs w:val="32"/>
          <w:u w:val="none"/>
          <w:lang w:val="en-US" w:eastAsia="zh-CN"/>
        </w:rPr>
        <w:t>0</w:t>
      </w:r>
      <w:r>
        <w:rPr>
          <w:rFonts w:hint="default" w:ascii="Times New Roman" w:hAnsi="Times New Roman" w:eastAsia="仿宋_GB2312" w:cs="Times New Roman"/>
          <w:color w:val="auto"/>
          <w:sz w:val="32"/>
          <w:szCs w:val="32"/>
          <w:u w:val="none"/>
        </w:rPr>
        <w:t>%（详见</w:t>
      </w:r>
      <w:r>
        <w:rPr>
          <w:rFonts w:hint="default" w:ascii="Times New Roman" w:hAnsi="Times New Roman" w:eastAsia="仿宋_GB2312" w:cs="Times New Roman"/>
          <w:color w:val="auto"/>
          <w:sz w:val="32"/>
          <w:szCs w:val="32"/>
        </w:rPr>
        <w:t>下表）。</w:t>
      </w:r>
    </w:p>
    <w:p w14:paraId="32AB2DFD">
      <w:pPr>
        <w:snapToGrid w:val="0"/>
        <w:spacing w:line="600" w:lineRule="atLeast"/>
        <w:jc w:val="center"/>
        <w:rPr>
          <w:rFonts w:hint="default" w:ascii="Times New Roman" w:hAnsi="Times New Roman" w:eastAsia="宋体" w:cs="Times New Roman"/>
          <w:b/>
          <w:sz w:val="21"/>
          <w:szCs w:val="21"/>
        </w:rPr>
      </w:pPr>
      <w:r>
        <w:rPr>
          <w:rFonts w:hint="eastAsia" w:ascii="方正小标宋_GBK" w:hAnsi="方正小标宋_GBK" w:eastAsia="方正小标宋_GBK" w:cs="方正小标宋_GBK"/>
          <w:b w:val="0"/>
          <w:bCs/>
          <w:sz w:val="30"/>
          <w:szCs w:val="30"/>
        </w:rPr>
        <w:t>地质灾害专业驻守督导技术服务项目事前绩效评估汇总表</w:t>
      </w:r>
    </w:p>
    <w:tbl>
      <w:tblPr>
        <w:tblStyle w:val="19"/>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2759"/>
        <w:gridCol w:w="862"/>
        <w:gridCol w:w="954"/>
        <w:gridCol w:w="1004"/>
        <w:gridCol w:w="954"/>
        <w:gridCol w:w="2160"/>
      </w:tblGrid>
      <w:tr w14:paraId="2F0E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7" w:type="dxa"/>
            <w:shd w:val="clear" w:color="auto" w:fill="auto"/>
            <w:vAlign w:val="center"/>
          </w:tcPr>
          <w:p w14:paraId="0063ECE2">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序号</w:t>
            </w:r>
          </w:p>
        </w:tc>
        <w:tc>
          <w:tcPr>
            <w:tcW w:w="2759" w:type="dxa"/>
            <w:shd w:val="clear" w:color="auto" w:fill="auto"/>
            <w:vAlign w:val="center"/>
          </w:tcPr>
          <w:p w14:paraId="6817A9EB">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项目内容</w:t>
            </w:r>
          </w:p>
        </w:tc>
        <w:tc>
          <w:tcPr>
            <w:tcW w:w="862" w:type="dxa"/>
            <w:shd w:val="clear" w:color="auto" w:fill="auto"/>
            <w:vAlign w:val="center"/>
          </w:tcPr>
          <w:p w14:paraId="421E4F9C">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申报</w:t>
            </w:r>
          </w:p>
          <w:p w14:paraId="131DCF48">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预算</w:t>
            </w:r>
          </w:p>
        </w:tc>
        <w:tc>
          <w:tcPr>
            <w:tcW w:w="954" w:type="dxa"/>
            <w:shd w:val="clear" w:color="auto" w:fill="auto"/>
            <w:vAlign w:val="center"/>
          </w:tcPr>
          <w:p w14:paraId="78577E21">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送审</w:t>
            </w:r>
          </w:p>
          <w:p w14:paraId="319C0260">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金额</w:t>
            </w:r>
          </w:p>
        </w:tc>
        <w:tc>
          <w:tcPr>
            <w:tcW w:w="1004" w:type="dxa"/>
            <w:shd w:val="clear" w:color="auto" w:fill="auto"/>
            <w:vAlign w:val="center"/>
          </w:tcPr>
          <w:p w14:paraId="11958932">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建议控制额</w:t>
            </w:r>
          </w:p>
        </w:tc>
        <w:tc>
          <w:tcPr>
            <w:tcW w:w="954" w:type="dxa"/>
            <w:shd w:val="clear" w:color="auto" w:fill="auto"/>
            <w:vAlign w:val="center"/>
          </w:tcPr>
          <w:p w14:paraId="0DBB4832">
            <w:pPr>
              <w:widowControl/>
              <w:snapToGrid w:val="0"/>
              <w:spacing w:line="320" w:lineRule="atLeast"/>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核减</w:t>
            </w:r>
          </w:p>
        </w:tc>
        <w:tc>
          <w:tcPr>
            <w:tcW w:w="2160" w:type="dxa"/>
            <w:shd w:val="clear" w:color="auto" w:fill="auto"/>
            <w:noWrap/>
            <w:vAlign w:val="center"/>
          </w:tcPr>
          <w:p w14:paraId="72399FD7">
            <w:pPr>
              <w:widowControl/>
              <w:snapToGrid w:val="0"/>
              <w:spacing w:line="320" w:lineRule="atLeast"/>
              <w:jc w:val="center"/>
              <w:rPr>
                <w:rFonts w:hint="eastAsia" w:ascii="方正小标宋_GBK" w:hAnsi="方正小标宋_GBK" w:eastAsia="方正小标宋_GBK" w:cs="方正小标宋_GBK"/>
                <w:color w:val="000000"/>
                <w:kern w:val="0"/>
                <w:sz w:val="24"/>
                <w:szCs w:val="24"/>
              </w:rPr>
            </w:pPr>
            <w:r>
              <w:rPr>
                <w:rFonts w:hint="eastAsia" w:ascii="方正小标宋_GBK" w:hAnsi="方正小标宋_GBK" w:eastAsia="方正小标宋_GBK" w:cs="方正小标宋_GBK"/>
                <w:color w:val="000000"/>
                <w:kern w:val="0"/>
                <w:sz w:val="24"/>
                <w:szCs w:val="24"/>
              </w:rPr>
              <w:t>备注　</w:t>
            </w:r>
          </w:p>
        </w:tc>
      </w:tr>
      <w:tr w14:paraId="1CDB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7" w:type="dxa"/>
            <w:shd w:val="clear" w:color="auto" w:fill="auto"/>
            <w:vAlign w:val="center"/>
          </w:tcPr>
          <w:p w14:paraId="46840372">
            <w:pPr>
              <w:widowControl/>
              <w:snapToGrid w:val="0"/>
              <w:spacing w:line="320" w:lineRule="atLeast"/>
              <w:jc w:val="center"/>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1</w:t>
            </w:r>
          </w:p>
        </w:tc>
        <w:tc>
          <w:tcPr>
            <w:tcW w:w="2759" w:type="dxa"/>
            <w:shd w:val="clear" w:color="auto" w:fill="auto"/>
            <w:vAlign w:val="center"/>
          </w:tcPr>
          <w:p w14:paraId="507FD24A">
            <w:pPr>
              <w:widowControl/>
              <w:snapToGrid w:val="0"/>
              <w:spacing w:line="320" w:lineRule="atLeast"/>
              <w:jc w:val="center"/>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地质灾害专业驻守督导技术服务</w:t>
            </w:r>
          </w:p>
        </w:tc>
        <w:tc>
          <w:tcPr>
            <w:tcW w:w="862" w:type="dxa"/>
            <w:shd w:val="clear" w:color="auto" w:fill="auto"/>
            <w:vAlign w:val="center"/>
          </w:tcPr>
          <w:p w14:paraId="16372083">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70</w:t>
            </w:r>
          </w:p>
        </w:tc>
        <w:tc>
          <w:tcPr>
            <w:tcW w:w="954" w:type="dxa"/>
            <w:shd w:val="clear" w:color="auto" w:fill="auto"/>
            <w:vAlign w:val="center"/>
          </w:tcPr>
          <w:p w14:paraId="1D2967A0">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70</w:t>
            </w:r>
          </w:p>
        </w:tc>
        <w:tc>
          <w:tcPr>
            <w:tcW w:w="1004" w:type="dxa"/>
            <w:shd w:val="clear" w:color="auto" w:fill="auto"/>
            <w:vAlign w:val="center"/>
          </w:tcPr>
          <w:p w14:paraId="72E124D8">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70</w:t>
            </w:r>
          </w:p>
        </w:tc>
        <w:tc>
          <w:tcPr>
            <w:tcW w:w="954" w:type="dxa"/>
            <w:shd w:val="clear" w:color="auto" w:fill="auto"/>
            <w:vAlign w:val="center"/>
          </w:tcPr>
          <w:p w14:paraId="03767C95">
            <w:pPr>
              <w:widowControl/>
              <w:snapToGrid w:val="0"/>
              <w:spacing w:line="320" w:lineRule="atLeast"/>
              <w:jc w:val="center"/>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0</w:t>
            </w:r>
          </w:p>
        </w:tc>
        <w:tc>
          <w:tcPr>
            <w:tcW w:w="2160" w:type="dxa"/>
            <w:shd w:val="clear" w:color="auto" w:fill="auto"/>
            <w:noWrap/>
            <w:vAlign w:val="center"/>
          </w:tcPr>
          <w:p w14:paraId="3AD2C48A">
            <w:pPr>
              <w:widowControl/>
              <w:snapToGrid w:val="0"/>
              <w:spacing w:line="320" w:lineRule="atLeast"/>
              <w:jc w:val="left"/>
              <w:rPr>
                <w:rFonts w:hint="default" w:ascii="Times New Roman" w:hAnsi="Times New Roman" w:eastAsia="仿宋_GB2312" w:cs="Times New Roman"/>
                <w:color w:val="000000"/>
                <w:kern w:val="0"/>
                <w:sz w:val="24"/>
                <w:szCs w:val="24"/>
              </w:rPr>
            </w:pPr>
          </w:p>
        </w:tc>
      </w:tr>
      <w:tr w14:paraId="22E9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7" w:type="dxa"/>
            <w:shd w:val="clear" w:color="auto" w:fill="auto"/>
            <w:vAlign w:val="center"/>
          </w:tcPr>
          <w:p w14:paraId="37777B03">
            <w:pPr>
              <w:widowControl/>
              <w:snapToGrid w:val="0"/>
              <w:spacing w:line="320" w:lineRule="atLeast"/>
              <w:jc w:val="center"/>
              <w:rPr>
                <w:rFonts w:hint="default" w:ascii="Times New Roman" w:hAnsi="Times New Roman" w:eastAsia="宋体" w:cs="Times New Roman"/>
                <w:kern w:val="0"/>
                <w:sz w:val="24"/>
                <w:szCs w:val="24"/>
              </w:rPr>
            </w:pPr>
          </w:p>
        </w:tc>
        <w:tc>
          <w:tcPr>
            <w:tcW w:w="2759" w:type="dxa"/>
            <w:shd w:val="clear" w:color="auto" w:fill="auto"/>
            <w:vAlign w:val="center"/>
          </w:tcPr>
          <w:p w14:paraId="2C7C7D94">
            <w:pPr>
              <w:widowControl/>
              <w:snapToGrid w:val="0"/>
              <w:spacing w:line="320" w:lineRule="atLeast"/>
              <w:jc w:val="center"/>
              <w:rPr>
                <w:rFonts w:hint="default" w:ascii="Times New Roman" w:hAnsi="Times New Roman" w:eastAsia="宋体" w:cs="Times New Roman"/>
                <w:kern w:val="0"/>
                <w:sz w:val="24"/>
                <w:szCs w:val="24"/>
              </w:rPr>
            </w:pPr>
            <w:r>
              <w:rPr>
                <w:rFonts w:hint="eastAsia" w:cs="Times New Roman"/>
                <w:kern w:val="0"/>
                <w:sz w:val="24"/>
                <w:szCs w:val="24"/>
                <w:lang w:eastAsia="zh-CN"/>
              </w:rPr>
              <w:t>……</w:t>
            </w:r>
          </w:p>
        </w:tc>
        <w:tc>
          <w:tcPr>
            <w:tcW w:w="862" w:type="dxa"/>
            <w:shd w:val="clear" w:color="auto" w:fill="auto"/>
            <w:vAlign w:val="center"/>
          </w:tcPr>
          <w:p w14:paraId="2BDE0DFE">
            <w:pPr>
              <w:widowControl/>
              <w:snapToGrid w:val="0"/>
              <w:spacing w:line="320" w:lineRule="atLeast"/>
              <w:jc w:val="center"/>
              <w:rPr>
                <w:rFonts w:hint="default" w:ascii="Times New Roman" w:hAnsi="Times New Roman" w:eastAsia="宋体" w:cs="Times New Roman"/>
                <w:kern w:val="0"/>
                <w:sz w:val="24"/>
                <w:szCs w:val="24"/>
              </w:rPr>
            </w:pPr>
          </w:p>
        </w:tc>
        <w:tc>
          <w:tcPr>
            <w:tcW w:w="954" w:type="dxa"/>
            <w:shd w:val="clear" w:color="auto" w:fill="auto"/>
            <w:vAlign w:val="center"/>
          </w:tcPr>
          <w:p w14:paraId="22456E26">
            <w:pPr>
              <w:widowControl/>
              <w:snapToGrid w:val="0"/>
              <w:spacing w:line="320" w:lineRule="atLeast"/>
              <w:jc w:val="center"/>
              <w:rPr>
                <w:rFonts w:hint="default" w:ascii="Times New Roman" w:hAnsi="Times New Roman" w:eastAsia="宋体" w:cs="Times New Roman"/>
                <w:kern w:val="0"/>
                <w:sz w:val="24"/>
                <w:szCs w:val="24"/>
              </w:rPr>
            </w:pPr>
          </w:p>
        </w:tc>
        <w:tc>
          <w:tcPr>
            <w:tcW w:w="1004" w:type="dxa"/>
            <w:shd w:val="clear" w:color="auto" w:fill="auto"/>
            <w:vAlign w:val="center"/>
          </w:tcPr>
          <w:p w14:paraId="2A92F012">
            <w:pPr>
              <w:widowControl/>
              <w:snapToGrid w:val="0"/>
              <w:spacing w:line="320" w:lineRule="atLeast"/>
              <w:jc w:val="center"/>
              <w:rPr>
                <w:rFonts w:hint="default" w:ascii="Times New Roman" w:hAnsi="Times New Roman" w:eastAsia="宋体" w:cs="Times New Roman"/>
                <w:kern w:val="0"/>
                <w:sz w:val="24"/>
                <w:szCs w:val="24"/>
              </w:rPr>
            </w:pPr>
          </w:p>
        </w:tc>
        <w:tc>
          <w:tcPr>
            <w:tcW w:w="954" w:type="dxa"/>
            <w:shd w:val="clear" w:color="auto" w:fill="auto"/>
            <w:vAlign w:val="center"/>
          </w:tcPr>
          <w:p w14:paraId="605A9395">
            <w:pPr>
              <w:widowControl/>
              <w:snapToGrid w:val="0"/>
              <w:spacing w:line="320" w:lineRule="atLeast"/>
              <w:jc w:val="center"/>
              <w:rPr>
                <w:rFonts w:hint="default" w:ascii="Times New Roman" w:hAnsi="Times New Roman" w:eastAsia="宋体" w:cs="Times New Roman"/>
                <w:kern w:val="0"/>
                <w:sz w:val="24"/>
                <w:szCs w:val="24"/>
              </w:rPr>
            </w:pPr>
          </w:p>
        </w:tc>
        <w:tc>
          <w:tcPr>
            <w:tcW w:w="2160" w:type="dxa"/>
            <w:shd w:val="clear" w:color="auto" w:fill="auto"/>
            <w:noWrap/>
            <w:vAlign w:val="center"/>
          </w:tcPr>
          <w:p w14:paraId="7FFE87BD">
            <w:pPr>
              <w:widowControl/>
              <w:snapToGrid w:val="0"/>
              <w:spacing w:line="320" w:lineRule="atLeast"/>
              <w:jc w:val="left"/>
              <w:rPr>
                <w:rFonts w:hint="default" w:ascii="Times New Roman" w:hAnsi="Times New Roman" w:eastAsia="宋体" w:cs="Times New Roman"/>
                <w:color w:val="000000"/>
                <w:kern w:val="0"/>
                <w:sz w:val="24"/>
                <w:szCs w:val="24"/>
              </w:rPr>
            </w:pPr>
          </w:p>
        </w:tc>
      </w:tr>
    </w:tbl>
    <w:p w14:paraId="2BAA24D1">
      <w:pPr>
        <w:adjustRightInd w:val="0"/>
        <w:snapToGrid w:val="0"/>
        <w:spacing w:line="600" w:lineRule="exact"/>
        <w:ind w:firstLine="720"/>
        <w:rPr>
          <w:rFonts w:ascii="Times New Roman" w:hAnsi="Times New Roman" w:eastAsia="仿宋_GB2312" w:cs="Times New Roman"/>
          <w:sz w:val="32"/>
          <w:szCs w:val="32"/>
          <w:lang w:val="zh-CN"/>
        </w:rPr>
      </w:pPr>
    </w:p>
    <w:p w14:paraId="09DACB0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43DC04B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项目主要内容。</w:t>
      </w:r>
      <w:r>
        <w:rPr>
          <w:rFonts w:hint="eastAsia" w:ascii="Times New Roman" w:hAnsi="Times New Roman" w:eastAsia="仿宋_GB2312" w:cs="Times New Roman"/>
          <w:sz w:val="32"/>
          <w:szCs w:val="32"/>
          <w:lang w:val="zh-CN"/>
        </w:rPr>
        <w:t>聘请专业技术队伍开展地质灾害防治驻守督导技术服务工作，协助市自然资源和规划局做好地质灾害隐患动态排查、巡查核查、重点调查，地质灾害防治知识培训演练，地质灾害防治会商调度、监测预警，突发地质灾害灾、险情应急技术支撑等服务工作。</w:t>
      </w:r>
    </w:p>
    <w:p w14:paraId="168D132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项目应实现的具体绩效目标，包括目标的量化、细化情况以及项目实施进度计划等。</w:t>
      </w:r>
      <w:r>
        <w:rPr>
          <w:rFonts w:hint="eastAsia" w:ascii="Times New Roman" w:hAnsi="Times New Roman" w:eastAsia="仿宋_GB2312" w:cs="Times New Roman"/>
          <w:sz w:val="32"/>
          <w:szCs w:val="32"/>
          <w:lang w:val="zh-CN"/>
        </w:rPr>
        <w:t>按相关文件要求，相关单位成立攀枝花市地质灾害防治驻守技术支撑工作组，投入技术人员4名（含驾驶员1名），专职车辆1台。按要求工作组进驻攀枝花市自然资源和规划局开展工作，人员、车辆调配服从攀枝花市自然资源和规划局部署与安排。</w:t>
      </w:r>
    </w:p>
    <w:p w14:paraId="1BCF422B">
      <w:pPr>
        <w:adjustRightInd w:val="0"/>
        <w:snapToGrid w:val="0"/>
        <w:spacing w:line="600" w:lineRule="exact"/>
        <w:ind w:firstLine="720"/>
        <w:rPr>
          <w:rFonts w:hint="eastAsia" w:ascii="Times New Roman" w:hAnsi="Times New Roman" w:eastAsia="仿宋_GB2312" w:cs="Times New Roman"/>
          <w:sz w:val="32"/>
          <w:szCs w:val="32"/>
          <w:lang w:val="zh-CN" w:eastAsia="zh-CN"/>
        </w:rPr>
      </w:pPr>
      <w:r>
        <w:rPr>
          <w:rFonts w:ascii="Times New Roman" w:hAnsi="Times New Roman" w:eastAsia="仿宋_GB2312" w:cs="Times New Roman"/>
          <w:sz w:val="32"/>
          <w:szCs w:val="32"/>
          <w:lang w:val="zh-CN"/>
        </w:rPr>
        <w:t>3. 评价申报内容是否与实际相符，申报目标是否合理可行分析。</w:t>
      </w:r>
      <w:r>
        <w:rPr>
          <w:rFonts w:hint="eastAsia" w:ascii="Times New Roman" w:hAnsi="Times New Roman" w:eastAsia="仿宋_GB2312" w:cs="Times New Roman"/>
          <w:sz w:val="32"/>
          <w:szCs w:val="32"/>
          <w:lang w:val="zh-CN" w:eastAsia="zh-CN"/>
        </w:rPr>
        <w:t>四川省冶勘陆零壹地质工程建设有限公司</w:t>
      </w:r>
      <w:r>
        <w:rPr>
          <w:rFonts w:hint="default" w:ascii="Times New Roman" w:hAnsi="Times New Roman" w:eastAsia="仿宋_GB2312" w:cs="Times New Roman"/>
          <w:bCs/>
          <w:color w:val="000000"/>
          <w:kern w:val="0"/>
          <w:sz w:val="31"/>
          <w:szCs w:val="31"/>
          <w:lang w:bidi="ar"/>
        </w:rPr>
        <w:t>成立攀枝花市地质灾害防治驻守技术支撑工作组，投入技术人员4名（含驾驶员1名），专职车辆1台。按要求工作组进驻攀枝花市自然资源和规划局开展工作，人员、车辆调配服从攀枝花市自然资源和规划局部署与安排。</w:t>
      </w:r>
      <w:r>
        <w:rPr>
          <w:rFonts w:hint="eastAsia" w:ascii="Times New Roman" w:hAnsi="Times New Roman" w:eastAsia="仿宋_GB2312" w:cs="Times New Roman"/>
          <w:bCs/>
          <w:color w:val="000000"/>
          <w:kern w:val="0"/>
          <w:sz w:val="31"/>
          <w:szCs w:val="31"/>
          <w:lang w:eastAsia="zh-CN" w:bidi="ar"/>
        </w:rPr>
        <w:t>完成年度任务，并提交成果报告。</w:t>
      </w:r>
    </w:p>
    <w:p w14:paraId="74A2D73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4E719EDA">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说明项目绩效自评采用的组织实施步骤及方法。</w:t>
      </w:r>
      <w:r>
        <w:rPr>
          <w:rFonts w:hint="eastAsia" w:ascii="Times New Roman" w:hAnsi="Times New Roman" w:eastAsia="仿宋_GB2312" w:cs="Times New Roman"/>
          <w:sz w:val="32"/>
          <w:szCs w:val="32"/>
          <w:lang w:val="zh-CN"/>
        </w:rPr>
        <w:t>分三个阶段：第一阶段是人员车辆配备到位情况考核；第二阶段开展地质灾害隐患动态排查、巡查核查、重点调查，地质灾害防治知识培训演练，地质灾害防治会商调度、监测预警，突发地质灾害灾、险情应急技术支撑等服务工作等工作开展情况考核。第三阶段成果报告提供合格情况考核。</w:t>
      </w:r>
    </w:p>
    <w:p w14:paraId="0ABE100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56E99F1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5677CDF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说明项目资金申报、批复及预算调整等程序的相关情况。</w:t>
      </w:r>
      <w:r>
        <w:rPr>
          <w:rFonts w:hint="default" w:ascii="Times New Roman" w:hAnsi="Times New Roman" w:eastAsia="仿宋_GB2312" w:cs="Times New Roman"/>
          <w:color w:val="auto"/>
          <w:sz w:val="32"/>
          <w:szCs w:val="32"/>
        </w:rPr>
        <w:t>该项目预算</w:t>
      </w:r>
      <w:r>
        <w:rPr>
          <w:rFonts w:hint="default" w:ascii="Times New Roman" w:hAnsi="Times New Roman" w:eastAsia="仿宋_GB2312" w:cs="Times New Roman"/>
          <w:color w:val="auto"/>
          <w:sz w:val="32"/>
          <w:szCs w:val="32"/>
          <w:u w:val="single"/>
          <w:lang w:val="en-US" w:eastAsia="zh-CN"/>
        </w:rPr>
        <w:t>70</w:t>
      </w:r>
      <w:r>
        <w:rPr>
          <w:rFonts w:hint="default" w:ascii="Times New Roman" w:hAnsi="Times New Roman" w:eastAsia="仿宋_GB2312" w:cs="Times New Roman"/>
          <w:color w:val="auto"/>
          <w:sz w:val="32"/>
          <w:szCs w:val="32"/>
        </w:rPr>
        <w:t>万元，</w:t>
      </w:r>
      <w:r>
        <w:rPr>
          <w:rFonts w:hint="eastAsia" w:ascii="Times New Roman" w:hAnsi="Times New Roman" w:eastAsia="仿宋_GB2312" w:cs="Times New Roman"/>
          <w:color w:val="auto"/>
          <w:sz w:val="32"/>
          <w:szCs w:val="32"/>
          <w:lang w:eastAsia="zh-CN"/>
        </w:rPr>
        <w:t>批复</w:t>
      </w:r>
      <w:r>
        <w:rPr>
          <w:rFonts w:hint="default" w:ascii="Times New Roman" w:hAnsi="Times New Roman" w:eastAsia="仿宋_GB2312" w:cs="Times New Roman"/>
          <w:color w:val="auto"/>
          <w:sz w:val="32"/>
          <w:szCs w:val="32"/>
        </w:rPr>
        <w:t>金额为</w:t>
      </w:r>
      <w:r>
        <w:rPr>
          <w:rFonts w:hint="eastAsia" w:ascii="Times New Roman" w:hAnsi="Times New Roman" w:eastAsia="仿宋_GB2312" w:cs="Times New Roman"/>
          <w:color w:val="auto"/>
          <w:sz w:val="32"/>
          <w:szCs w:val="32"/>
          <w:u w:val="single"/>
          <w:lang w:val="en-US" w:eastAsia="zh-CN"/>
        </w:rPr>
        <w:t>70</w:t>
      </w:r>
      <w:r>
        <w:rPr>
          <w:rFonts w:hint="default" w:ascii="Times New Roman" w:hAnsi="Times New Roman" w:eastAsia="仿宋_GB2312" w:cs="Times New Roman"/>
          <w:color w:val="auto"/>
          <w:sz w:val="32"/>
          <w:szCs w:val="32"/>
        </w:rPr>
        <w:t>万元，资金来源为</w:t>
      </w:r>
      <w:r>
        <w:rPr>
          <w:rFonts w:hint="default" w:ascii="Times New Roman" w:hAnsi="Times New Roman" w:eastAsia="仿宋_GB2312" w:cs="Times New Roman"/>
          <w:color w:val="auto"/>
          <w:sz w:val="32"/>
          <w:szCs w:val="32"/>
          <w:u w:val="single"/>
        </w:rPr>
        <w:t>市级财政资金</w:t>
      </w:r>
      <w:r>
        <w:rPr>
          <w:rFonts w:hint="default" w:ascii="Times New Roman" w:hAnsi="Times New Roman" w:eastAsia="仿宋_GB2312" w:cs="Times New Roman"/>
          <w:color w:val="auto"/>
          <w:sz w:val="32"/>
          <w:szCs w:val="32"/>
          <w:u w:val="none"/>
        </w:rPr>
        <w:t>。</w:t>
      </w:r>
    </w:p>
    <w:p w14:paraId="1E8FD8E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305B0077">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市级财政计划安排</w:t>
      </w:r>
      <w:r>
        <w:rPr>
          <w:rFonts w:hint="eastAsia" w:ascii="Times New Roman" w:hAnsi="Times New Roman" w:eastAsia="仿宋_GB2312" w:cs="Times New Roman"/>
          <w:sz w:val="32"/>
          <w:szCs w:val="32"/>
          <w:lang w:val="en-US" w:eastAsia="zh-CN"/>
        </w:rPr>
        <w:t>70万元。</w:t>
      </w:r>
    </w:p>
    <w:p w14:paraId="49F7F2CC">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lang w:val="zh-CN"/>
        </w:rPr>
        <w:t>截至评价时点该项目资金到位</w:t>
      </w:r>
      <w:r>
        <w:rPr>
          <w:rFonts w:hint="eastAsia" w:ascii="Times New Roman" w:hAnsi="Times New Roman" w:eastAsia="仿宋_GB2312" w:cs="Times New Roman"/>
          <w:sz w:val="32"/>
          <w:szCs w:val="32"/>
          <w:lang w:val="en-US" w:eastAsia="zh-CN"/>
        </w:rPr>
        <w:t>70</w:t>
      </w:r>
      <w:r>
        <w:rPr>
          <w:rFonts w:hint="eastAsia" w:ascii="Times New Roman" w:hAnsi="Times New Roman" w:eastAsia="仿宋_GB2312" w:cs="Times New Roman"/>
          <w:sz w:val="32"/>
          <w:szCs w:val="32"/>
          <w:lang w:val="zh-CN"/>
        </w:rPr>
        <w:t>万元</w:t>
      </w:r>
      <w:r>
        <w:rPr>
          <w:rFonts w:ascii="Times New Roman" w:hAnsi="Times New Roman" w:eastAsia="仿宋_GB2312" w:cs="Times New Roman"/>
          <w:sz w:val="32"/>
          <w:szCs w:val="32"/>
          <w:lang w:val="zh-CN"/>
        </w:rPr>
        <w:t>。</w:t>
      </w:r>
    </w:p>
    <w:p w14:paraId="4ACDBDAC">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lang w:val="zh-CN"/>
        </w:rPr>
        <w:t>截至评价时点该项目全市资金支出</w:t>
      </w:r>
      <w:r>
        <w:rPr>
          <w:rFonts w:hint="eastAsia" w:ascii="Times New Roman" w:hAnsi="Times New Roman" w:eastAsia="仿宋_GB2312" w:cs="Times New Roman"/>
          <w:sz w:val="32"/>
          <w:szCs w:val="32"/>
          <w:lang w:val="en-US" w:eastAsia="zh-CN"/>
        </w:rPr>
        <w:t>58.68万元</w:t>
      </w:r>
      <w:r>
        <w:rPr>
          <w:rFonts w:ascii="Times New Roman" w:hAnsi="Times New Roman" w:eastAsia="仿宋_GB2312" w:cs="Times New Roman"/>
          <w:sz w:val="32"/>
          <w:szCs w:val="32"/>
          <w:lang w:val="zh-CN"/>
        </w:rPr>
        <w:t>。</w:t>
      </w:r>
    </w:p>
    <w:p w14:paraId="2E6D54F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686BF69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总体评价项目</w:t>
      </w:r>
      <w:r>
        <w:rPr>
          <w:rFonts w:hint="eastAsia" w:ascii="Times New Roman" w:hAnsi="Times New Roman" w:eastAsia="仿宋_GB2312" w:cs="Times New Roman"/>
          <w:sz w:val="32"/>
          <w:szCs w:val="32"/>
          <w:lang w:val="zh-CN"/>
        </w:rPr>
        <w:t>我局</w:t>
      </w:r>
      <w:r>
        <w:rPr>
          <w:rFonts w:ascii="Times New Roman" w:hAnsi="Times New Roman" w:eastAsia="仿宋_GB2312" w:cs="Times New Roman"/>
          <w:sz w:val="32"/>
          <w:szCs w:val="32"/>
          <w:lang w:val="zh-CN"/>
        </w:rPr>
        <w:t>财务管理制度健全，执行财务管理制度，账务处理及时，会计核算规范等。</w:t>
      </w:r>
    </w:p>
    <w:p w14:paraId="5BD5A6A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C7C11A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结合项目组织实施管理办法，重点围绕以下内容进行分析评价，并对自评中发现的问题分析说明。</w:t>
      </w:r>
    </w:p>
    <w:p w14:paraId="378DEBFA">
      <w:pPr>
        <w:ind w:firstLine="643" w:firstLineChars="200"/>
        <w:rPr>
          <w:rFonts w:hint="eastAsia" w:ascii="Times New Roman" w:hAnsi="Times New Roman" w:eastAsia="仿宋_GB2312" w:cs="Times New Roman"/>
          <w:b/>
          <w:sz w:val="32"/>
          <w:szCs w:val="32"/>
          <w:lang w:val="zh-CN" w:eastAsia="zh-CN"/>
        </w:rPr>
      </w:pPr>
      <w:r>
        <w:rPr>
          <w:rFonts w:ascii="Times New Roman" w:hAnsi="Times New Roman" w:eastAsia="楷体_GB2312" w:cs="Times New Roman"/>
          <w:b/>
          <w:sz w:val="32"/>
          <w:szCs w:val="32"/>
          <w:lang w:val="zh-CN"/>
        </w:rPr>
        <w:t>（一）项目组织架构及实施流程。</w:t>
      </w:r>
      <w:r>
        <w:rPr>
          <w:rFonts w:hint="default" w:ascii="Times New Roman" w:hAnsi="Times New Roman" w:eastAsia="仿宋_GB2312" w:cs="Times New Roman"/>
          <w:bCs/>
          <w:color w:val="000000"/>
          <w:kern w:val="0"/>
          <w:sz w:val="31"/>
          <w:szCs w:val="31"/>
          <w:lang w:bidi="ar"/>
        </w:rPr>
        <w:t>成立攀枝花市地质灾害防治驻守技术支撑工作组</w:t>
      </w:r>
      <w:r>
        <w:rPr>
          <w:rFonts w:hint="eastAsia" w:ascii="Times New Roman" w:hAnsi="Times New Roman" w:eastAsia="仿宋_GB2312" w:cs="Times New Roman"/>
          <w:bCs/>
          <w:color w:val="000000"/>
          <w:kern w:val="0"/>
          <w:sz w:val="31"/>
          <w:szCs w:val="31"/>
          <w:lang w:eastAsia="zh-CN" w:bidi="ar"/>
        </w:rPr>
        <w:t>，</w:t>
      </w:r>
      <w:r>
        <w:rPr>
          <w:rFonts w:hint="default" w:ascii="Times New Roman" w:hAnsi="Times New Roman" w:eastAsia="仿宋_GB2312" w:cs="Times New Roman"/>
          <w:bCs/>
          <w:color w:val="000000"/>
          <w:kern w:val="0"/>
          <w:sz w:val="31"/>
          <w:szCs w:val="31"/>
          <w:lang w:bidi="ar"/>
        </w:rPr>
        <w:t>投入技术人员4名（含驾驶员1名），专职车辆1台。按要求工作组进驻攀枝花市自然资源和规划局开展工作，人员、车辆调配服从攀枝花市自然资源和规划局部署与安排。</w:t>
      </w:r>
    </w:p>
    <w:p w14:paraId="7B15EB4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zh-CN"/>
        </w:rPr>
        <w:t>我局</w:t>
      </w:r>
      <w:r>
        <w:rPr>
          <w:rFonts w:ascii="Times New Roman" w:hAnsi="Times New Roman" w:eastAsia="仿宋_GB2312" w:cs="Times New Roman"/>
          <w:sz w:val="32"/>
          <w:szCs w:val="32"/>
          <w:lang w:val="zh-CN"/>
        </w:rPr>
        <w:t>执行相关法律法规及项目管理制度</w:t>
      </w:r>
      <w:r>
        <w:rPr>
          <w:rFonts w:hint="eastAsia" w:ascii="Times New Roman" w:hAnsi="Times New Roman" w:eastAsia="仿宋_GB2312" w:cs="Times New Roman"/>
          <w:sz w:val="32"/>
          <w:szCs w:val="32"/>
          <w:lang w:val="zh-CN"/>
        </w:rPr>
        <w:t>规范严谨，复核相关法律法规</w:t>
      </w:r>
      <w:r>
        <w:rPr>
          <w:rFonts w:ascii="Times New Roman" w:hAnsi="Times New Roman" w:eastAsia="仿宋_GB2312" w:cs="Times New Roman"/>
          <w:sz w:val="32"/>
          <w:szCs w:val="32"/>
          <w:lang w:val="zh-CN"/>
        </w:rPr>
        <w:t>。</w:t>
      </w:r>
    </w:p>
    <w:p w14:paraId="30778C2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ascii="Times New Roman" w:hAnsi="Times New Roman" w:eastAsia="仿宋_GB2312" w:cs="Times New Roman"/>
          <w:sz w:val="32"/>
          <w:szCs w:val="32"/>
          <w:lang w:val="zh-CN"/>
        </w:rPr>
        <w:t>为加强项目管理所采取的监管</w:t>
      </w:r>
      <w:r>
        <w:rPr>
          <w:rFonts w:hint="eastAsia" w:ascii="Times New Roman" w:hAnsi="Times New Roman" w:eastAsia="仿宋_GB2312" w:cs="Times New Roman"/>
          <w:sz w:val="32"/>
          <w:szCs w:val="32"/>
          <w:lang w:val="zh-CN"/>
        </w:rPr>
        <w:t>项目组进驻攀枝花市地质灾害防治办公室，服从市局管理</w:t>
      </w:r>
      <w:r>
        <w:rPr>
          <w:rFonts w:ascii="Times New Roman" w:hAnsi="Times New Roman" w:eastAsia="仿宋_GB2312" w:cs="Times New Roman"/>
          <w:sz w:val="32"/>
          <w:szCs w:val="32"/>
          <w:lang w:val="zh-CN"/>
        </w:rPr>
        <w:t>。</w:t>
      </w:r>
    </w:p>
    <w:p w14:paraId="1303739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0BB358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066FD90F">
      <w:p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rPr>
        <w:t>成立攀枝花市地质灾害防治驻守技术支撑工作组，投入技术人员4名（含驾驶员1名），专职车辆1台。按要求工作组进驻攀枝花市自然资源和规划局开展工作，人员、车辆调配服从攀枝花市自然资源和规划局部署与安排。完成年度任务，并提交成果报告。</w:t>
      </w:r>
    </w:p>
    <w:p w14:paraId="7811BFB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7FD37E1D">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从项目经济效益、社会效益、生态效益、可持续效益以及服务对象满意度等方面对项目效益进行全面分析评价。经济效益</w:t>
      </w:r>
      <w:r>
        <w:rPr>
          <w:rFonts w:hint="eastAsia" w:ascii="Times New Roman" w:hAnsi="Times New Roman" w:eastAsia="仿宋_GB2312" w:cs="Times New Roman"/>
          <w:sz w:val="32"/>
          <w:szCs w:val="32"/>
          <w:lang w:val="zh-CN"/>
        </w:rPr>
        <w:t>指标：有效减少地质灾害造成的财产损失</w:t>
      </w:r>
      <w:r>
        <w:rPr>
          <w:rFonts w:hint="eastAsia" w:ascii="Times New Roman" w:hAnsi="Times New Roman" w:eastAsia="仿宋_GB2312" w:cs="Times New Roman"/>
          <w:sz w:val="32"/>
          <w:szCs w:val="32"/>
          <w:lang w:val="en-US" w:eastAsia="zh-CN"/>
        </w:rPr>
        <w:t>60000万元；社会效益指标：保护受地质灾害威胁群众4000人；生态效益指标：生态环境受保护程度得到提高；可持续影响指标：全市群众受地质灾害威胁程度降低。</w:t>
      </w:r>
    </w:p>
    <w:p w14:paraId="6E9DAE3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106E88E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06F24C16">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资金支付绩效评价自评得分</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zh-CN"/>
        </w:rPr>
        <w:t>分（满分10分），项目完成情况绩效评价自评得分100分（满分100分）。</w:t>
      </w:r>
    </w:p>
    <w:p w14:paraId="5C8CAB6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1739F213">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178B6AA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E361AA6">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377FB85A">
      <w:pPr>
        <w:rPr>
          <w:rFonts w:ascii="Times New Roman" w:hAnsi="Times New Roman" w:eastAsia="仿宋_GB2312" w:cs="Times New Roman"/>
          <w:sz w:val="32"/>
          <w:szCs w:val="32"/>
        </w:rPr>
      </w:pPr>
    </w:p>
    <w:p w14:paraId="59C68C1D">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063C5307">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366DF11F">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49807671">
      <w:pPr>
        <w:widowControl w:val="0"/>
        <w:spacing w:line="600" w:lineRule="exact"/>
        <w:ind w:firstLine="1840" w:firstLineChars="575"/>
        <w:jc w:val="both"/>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全市</w:t>
      </w:r>
      <w:r>
        <w:rPr>
          <w:rFonts w:hint="eastAsia" w:ascii="??" w:hAnsi="??" w:eastAsia="宋体" w:cs="Times New Roman"/>
          <w:color w:val="000000"/>
          <w:kern w:val="0"/>
          <w:sz w:val="28"/>
          <w:szCs w:val="21"/>
          <w:lang w:val="zh-CN" w:eastAsia="zh-CN" w:bidi="ar-SA"/>
        </w:rPr>
        <w:t>地热温泉资源调查评价项目</w:t>
      </w:r>
      <w:r>
        <w:rPr>
          <w:rFonts w:ascii="Times New Roman" w:hAnsi="Times New Roman" w:eastAsia="仿宋_GB2312" w:cs="Times New Roman"/>
          <w:color w:val="auto"/>
          <w:kern w:val="2"/>
          <w:sz w:val="32"/>
          <w:szCs w:val="32"/>
          <w:lang w:val="zh-CN" w:eastAsia="zh-CN" w:bidi="ar-SA"/>
        </w:rPr>
        <w:t>）</w:t>
      </w:r>
    </w:p>
    <w:p w14:paraId="40B80B1D">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714F5C10">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0BC46AB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642E1722">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 xml:space="preserve"> </w:t>
      </w:r>
      <w:r>
        <w:rPr>
          <w:rFonts w:hint="eastAsia" w:ascii="Times New Roman" w:hAnsi="Times New Roman" w:eastAsia="楷体_GB2312" w:cs="Times New Roman"/>
          <w:sz w:val="32"/>
          <w:szCs w:val="32"/>
          <w:lang w:eastAsia="zh-CN"/>
        </w:rPr>
        <w:t>项目通过</w:t>
      </w:r>
      <w:r>
        <w:rPr>
          <w:rFonts w:hint="eastAsia" w:ascii="Times New Roman" w:hAnsi="Times New Roman" w:eastAsia="仿宋_GB2312" w:cs="Times New Roman"/>
          <w:sz w:val="32"/>
          <w:szCs w:val="32"/>
          <w:lang w:val="zh-CN"/>
        </w:rPr>
        <w:t>开展全市地热温泉资源调查评价，划定找矿重点区域；提交地热温泉找矿靶区11处，编制3个地热温泉省级地勘基金项目入库申报资料。项目已于</w:t>
      </w:r>
      <w:r>
        <w:rPr>
          <w:rFonts w:hint="eastAsia" w:ascii="Times New Roman" w:hAnsi="Times New Roman" w:eastAsia="仿宋_GB2312" w:cs="Times New Roman"/>
          <w:sz w:val="32"/>
          <w:szCs w:val="32"/>
          <w:lang w:val="en-US" w:eastAsia="zh-CN"/>
        </w:rPr>
        <w:t>2024年5月</w:t>
      </w:r>
      <w:r>
        <w:rPr>
          <w:rFonts w:hint="eastAsia" w:ascii="Times New Roman" w:hAnsi="Times New Roman" w:eastAsia="仿宋_GB2312" w:cs="Times New Roman"/>
          <w:sz w:val="32"/>
          <w:szCs w:val="32"/>
          <w:lang w:val="zh-CN"/>
        </w:rPr>
        <w:t>完成，总经费</w:t>
      </w:r>
      <w:r>
        <w:rPr>
          <w:rFonts w:hint="eastAsia" w:ascii="Times New Roman" w:hAnsi="Times New Roman" w:eastAsia="仿宋_GB2312" w:cs="Times New Roman"/>
          <w:sz w:val="32"/>
          <w:szCs w:val="32"/>
          <w:lang w:val="en-US" w:eastAsia="zh-CN"/>
        </w:rPr>
        <w:t>42万元，2023年已支付16.8万元，2025年度申请预算25.2万元，支付25.2万元。</w:t>
      </w:r>
    </w:p>
    <w:p w14:paraId="240E089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27E74220">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提交地热温泉找矿靶区11处，编制3个地热温泉省级地勘基金项目入库申报资料。</w:t>
      </w:r>
      <w:r>
        <w:rPr>
          <w:rFonts w:hint="eastAsia" w:ascii="Times New Roman" w:hAnsi="Times New Roman" w:eastAsia="仿宋_GB2312" w:cs="Times New Roman"/>
          <w:sz w:val="32"/>
          <w:szCs w:val="32"/>
          <w:lang w:val="en-US" w:eastAsia="zh-CN"/>
        </w:rPr>
        <w:t>项目已完成全部预期目标，资金支付完毕。</w:t>
      </w:r>
    </w:p>
    <w:p w14:paraId="445205E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61450192">
      <w:pPr>
        <w:snapToGrid w:val="0"/>
        <w:spacing w:line="60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sz w:val="32"/>
          <w:szCs w:val="32"/>
        </w:rPr>
        <w:t>本项目通过</w:t>
      </w:r>
      <w:r>
        <w:rPr>
          <w:rFonts w:hint="default" w:ascii="Times New Roman" w:hAnsi="Times New Roman" w:eastAsia="仿宋_GB2312" w:cs="Times New Roman"/>
          <w:sz w:val="32"/>
          <w:szCs w:val="32"/>
          <w:u w:val="none"/>
        </w:rPr>
        <w:t>现场踏勘、与项目相关人员座谈或讨论、聘请相关专业专家、市场调研</w:t>
      </w:r>
      <w:r>
        <w:rPr>
          <w:rFonts w:hint="default" w:ascii="Times New Roman" w:hAnsi="Times New Roman" w:eastAsia="仿宋_GB2312" w:cs="Times New Roman"/>
          <w:color w:val="auto"/>
          <w:sz w:val="32"/>
          <w:szCs w:val="32"/>
          <w:u w:val="none"/>
        </w:rPr>
        <w:t>了</w:t>
      </w:r>
      <w:r>
        <w:rPr>
          <w:rFonts w:hint="default" w:ascii="Times New Roman" w:hAnsi="Times New Roman" w:eastAsia="仿宋_GB2312" w:cs="Times New Roman"/>
          <w:color w:val="auto"/>
          <w:sz w:val="32"/>
          <w:szCs w:val="32"/>
        </w:rPr>
        <w:t>解项目情况，收集相关资料，综合分析相关情况后，对项目的立项必要性、投入经济性、目标合理性、方案可行性以及筹资合规性实施评估。</w:t>
      </w:r>
    </w:p>
    <w:p w14:paraId="1EC0C5D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2E4046F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0FEBE2C4">
      <w:pPr>
        <w:snapToGrid w:val="0"/>
        <w:spacing w:line="600" w:lineRule="atLeast"/>
        <w:ind w:firstLine="640" w:firstLineChars="200"/>
        <w:rPr>
          <w:rFonts w:hint="default" w:ascii="Times New Roman" w:hAnsi="Times New Roman" w:eastAsia="仿宋_GB2312" w:cs="Times New Roman"/>
          <w:sz w:val="32"/>
          <w:szCs w:val="32"/>
          <w:u w:val="none"/>
          <w:lang w:val="en-US"/>
        </w:rPr>
      </w:pPr>
      <w:r>
        <w:rPr>
          <w:rFonts w:hint="eastAsia" w:ascii="Times New Roman" w:hAnsi="Times New Roman" w:eastAsia="仿宋_GB2312" w:cs="Times New Roman"/>
          <w:sz w:val="32"/>
          <w:szCs w:val="32"/>
          <w:u w:val="none"/>
          <w:lang w:eastAsia="zh-CN"/>
        </w:rPr>
        <w:t>项目经事前询价，竞争性磋商方式采购，投入经济合理，</w:t>
      </w:r>
      <w:r>
        <w:rPr>
          <w:rFonts w:hint="eastAsia" w:ascii="Times New Roman" w:hAnsi="Times New Roman" w:eastAsia="仿宋_GB2312" w:cs="Times New Roman"/>
          <w:sz w:val="32"/>
          <w:szCs w:val="32"/>
          <w:u w:val="none"/>
        </w:rPr>
        <w:t>该</w:t>
      </w:r>
      <w:r>
        <w:rPr>
          <w:rFonts w:ascii="Times New Roman" w:hAnsi="Times New Roman" w:eastAsia="仿宋_GB2312" w:cs="Times New Roman"/>
          <w:sz w:val="32"/>
          <w:szCs w:val="32"/>
          <w:u w:val="none"/>
        </w:rPr>
        <w:t>项目申报预算</w:t>
      </w:r>
      <w:r>
        <w:rPr>
          <w:rFonts w:hint="eastAsia" w:ascii="Times New Roman" w:hAnsi="Times New Roman" w:eastAsia="仿宋_GB2312" w:cs="Times New Roman"/>
          <w:sz w:val="32"/>
          <w:szCs w:val="32"/>
          <w:u w:val="none"/>
          <w:lang w:val="en-US" w:eastAsia="zh-CN"/>
        </w:rPr>
        <w:t>42</w:t>
      </w:r>
      <w:r>
        <w:rPr>
          <w:rFonts w:hint="eastAsia" w:ascii="Times New Roman" w:hAnsi="Times New Roman" w:eastAsia="仿宋_GB2312" w:cs="Times New Roman"/>
          <w:sz w:val="32"/>
          <w:szCs w:val="32"/>
          <w:u w:val="none"/>
        </w:rPr>
        <w:t>万元，</w:t>
      </w:r>
      <w:r>
        <w:rPr>
          <w:rFonts w:hint="eastAsia" w:ascii="Times New Roman" w:hAnsi="Times New Roman" w:eastAsia="仿宋_GB2312" w:cs="Times New Roman"/>
          <w:sz w:val="32"/>
          <w:szCs w:val="32"/>
          <w:u w:val="none"/>
          <w:lang w:val="en-US" w:eastAsia="zh-CN"/>
        </w:rPr>
        <w:t>2025年度</w:t>
      </w:r>
      <w:r>
        <w:rPr>
          <w:rFonts w:hint="eastAsia" w:ascii="Times New Roman" w:hAnsi="Times New Roman" w:eastAsia="仿宋_GB2312" w:cs="Times New Roman"/>
          <w:sz w:val="32"/>
          <w:szCs w:val="32"/>
          <w:u w:val="none"/>
        </w:rPr>
        <w:t>申报金额为</w:t>
      </w:r>
      <w:r>
        <w:rPr>
          <w:rFonts w:hint="eastAsia" w:ascii="Times New Roman" w:hAnsi="Times New Roman" w:eastAsia="仿宋_GB2312" w:cs="Times New Roman"/>
          <w:sz w:val="32"/>
          <w:szCs w:val="32"/>
          <w:u w:val="none"/>
          <w:lang w:val="en-US" w:eastAsia="zh-CN"/>
        </w:rPr>
        <w:t>25.2</w:t>
      </w:r>
      <w:r>
        <w:rPr>
          <w:rFonts w:hint="eastAsia" w:ascii="Times New Roman" w:hAnsi="Times New Roman" w:eastAsia="仿宋_GB2312" w:cs="Times New Roman"/>
          <w:sz w:val="32"/>
          <w:szCs w:val="32"/>
          <w:u w:val="none"/>
        </w:rPr>
        <w:t>万元，资金来源为市级</w:t>
      </w:r>
      <w:r>
        <w:rPr>
          <w:rFonts w:ascii="Times New Roman" w:hAnsi="Times New Roman" w:eastAsia="仿宋_GB2312" w:cs="Times New Roman"/>
          <w:sz w:val="32"/>
          <w:szCs w:val="32"/>
          <w:u w:val="none"/>
        </w:rPr>
        <w:t>财政资金</w:t>
      </w:r>
      <w:r>
        <w:rPr>
          <w:rFonts w:hint="eastAsia" w:ascii="Times New Roman" w:hAnsi="Times New Roman" w:eastAsia="仿宋_GB2312" w:cs="Times New Roman"/>
          <w:sz w:val="32"/>
          <w:szCs w:val="32"/>
          <w:u w:val="none"/>
          <w:lang w:eastAsia="zh-CN"/>
        </w:rPr>
        <w:t>，实际拨付</w:t>
      </w:r>
      <w:r>
        <w:rPr>
          <w:rFonts w:hint="eastAsia" w:ascii="Times New Roman" w:hAnsi="Times New Roman" w:eastAsia="仿宋_GB2312" w:cs="Times New Roman"/>
          <w:sz w:val="32"/>
          <w:szCs w:val="32"/>
          <w:u w:val="none"/>
          <w:lang w:val="en-US" w:eastAsia="zh-CN"/>
        </w:rPr>
        <w:t>25.2万元项目已验收完成，资金已支付完毕。</w:t>
      </w:r>
    </w:p>
    <w:p w14:paraId="5995A87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1181B587">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hint="default" w:ascii="Times New Roman" w:hAnsi="Times New Roman" w:eastAsia="楷体_GB2312" w:cs="Times New Roman"/>
          <w:sz w:val="32"/>
          <w:szCs w:val="32"/>
          <w:lang w:val="zh-CN"/>
        </w:rPr>
        <w:t>资金计划。</w:t>
      </w:r>
      <w:r>
        <w:rPr>
          <w:rFonts w:hint="default" w:ascii="Times New Roman" w:hAnsi="Times New Roman" w:eastAsia="仿宋_GB2312" w:cs="Times New Roman"/>
          <w:sz w:val="32"/>
          <w:szCs w:val="32"/>
          <w:lang w:val="en-US" w:eastAsia="zh-CN"/>
        </w:rPr>
        <w:t>本项目资金来源为市级财政资金。</w:t>
      </w:r>
    </w:p>
    <w:p w14:paraId="7259BADC">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2.</w:t>
      </w:r>
      <w:r>
        <w:rPr>
          <w:rFonts w:hint="default" w:ascii="Times New Roman" w:hAnsi="Times New Roman" w:eastAsia="楷体_GB2312" w:cs="Times New Roman"/>
          <w:sz w:val="32"/>
          <w:szCs w:val="32"/>
          <w:lang w:val="zh-CN"/>
        </w:rPr>
        <w:t>资金到位。</w:t>
      </w:r>
      <w:r>
        <w:rPr>
          <w:rFonts w:hint="default" w:ascii="Times New Roman" w:hAnsi="Times New Roman" w:eastAsia="楷体_GB2312" w:cs="Times New Roman"/>
          <w:sz w:val="32"/>
          <w:szCs w:val="32"/>
          <w:lang w:val="en-US" w:eastAsia="zh-CN"/>
        </w:rPr>
        <w:t>2025年度</w:t>
      </w:r>
      <w:r>
        <w:rPr>
          <w:rFonts w:hint="default" w:ascii="Times New Roman" w:hAnsi="Times New Roman" w:eastAsia="仿宋_GB2312" w:cs="Times New Roman"/>
          <w:sz w:val="32"/>
          <w:szCs w:val="32"/>
          <w:lang w:val="en-US" w:eastAsia="zh-CN"/>
        </w:rPr>
        <w:t>项目拨付资金</w:t>
      </w:r>
      <w:r>
        <w:rPr>
          <w:rFonts w:hint="eastAsia" w:ascii="Times New Roman" w:hAnsi="Times New Roman" w:eastAsia="仿宋_GB2312" w:cs="Times New Roman"/>
          <w:sz w:val="32"/>
          <w:szCs w:val="32"/>
          <w:lang w:val="en-US" w:eastAsia="zh-CN"/>
        </w:rPr>
        <w:t>25.2</w:t>
      </w:r>
      <w:r>
        <w:rPr>
          <w:rFonts w:hint="default" w:ascii="Times New Roman" w:hAnsi="Times New Roman" w:eastAsia="仿宋_GB2312" w:cs="Times New Roman"/>
          <w:sz w:val="32"/>
          <w:szCs w:val="32"/>
          <w:lang w:val="en-US" w:eastAsia="zh-CN"/>
        </w:rPr>
        <w:t>万元，按时到位</w:t>
      </w:r>
      <w:r>
        <w:rPr>
          <w:rFonts w:hint="default" w:ascii="Times New Roman" w:hAnsi="Times New Roman" w:eastAsia="仿宋_GB2312" w:cs="Times New Roman"/>
          <w:sz w:val="32"/>
          <w:szCs w:val="32"/>
          <w:lang w:val="zh-CN" w:eastAsia="zh-CN"/>
        </w:rPr>
        <w:t>。</w:t>
      </w:r>
    </w:p>
    <w:p w14:paraId="21432383">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3.</w:t>
      </w:r>
      <w:r>
        <w:rPr>
          <w:rFonts w:hint="default" w:ascii="Times New Roman" w:hAnsi="Times New Roman" w:eastAsia="楷体_GB2312" w:cs="Times New Roman"/>
          <w:sz w:val="32"/>
          <w:szCs w:val="32"/>
          <w:lang w:val="zh-CN"/>
        </w:rPr>
        <w:t>资金使用。</w:t>
      </w:r>
      <w:r>
        <w:rPr>
          <w:rFonts w:hint="default" w:ascii="Times New Roman" w:hAnsi="Times New Roman" w:eastAsia="仿宋_GB2312" w:cs="Times New Roman"/>
          <w:sz w:val="32"/>
          <w:szCs w:val="32"/>
          <w:lang w:val="en-US" w:eastAsia="zh-CN"/>
        </w:rPr>
        <w:t>经供应商申请，按照合同约定进行费用支付。</w:t>
      </w:r>
    </w:p>
    <w:p w14:paraId="5A938E1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12F513D4">
      <w:pPr>
        <w:adjustRightInd w:val="0"/>
        <w:snapToGrid w:val="0"/>
        <w:spacing w:line="56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按照攀枝花市自然资源和规划局资金管理制度进行项目资金管理，</w:t>
      </w:r>
      <w:r>
        <w:rPr>
          <w:rFonts w:hint="default" w:ascii="Times New Roman" w:hAnsi="Times New Roman" w:eastAsia="仿宋_GB2312" w:cs="Times New Roman"/>
          <w:sz w:val="32"/>
          <w:szCs w:val="32"/>
          <w:lang w:val="en-US" w:eastAsia="zh-CN"/>
        </w:rPr>
        <w:t>财务处理及时，会计核算规范</w:t>
      </w:r>
      <w:r>
        <w:rPr>
          <w:rFonts w:hint="default" w:ascii="Times New Roman" w:hAnsi="Times New Roman" w:eastAsia="仿宋_GB2312" w:cs="Times New Roman"/>
          <w:sz w:val="32"/>
          <w:szCs w:val="32"/>
          <w:lang w:val="zh-CN"/>
        </w:rPr>
        <w:t>。</w:t>
      </w:r>
    </w:p>
    <w:p w14:paraId="5153867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13D4A1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hint="default" w:ascii="Times New Roman" w:hAnsi="Times New Roman" w:eastAsia="仿宋_GB2312" w:cs="Times New Roman"/>
          <w:sz w:val="32"/>
          <w:szCs w:val="32"/>
          <w:lang w:val="en-US" w:eastAsia="zh-CN"/>
        </w:rPr>
        <w:t>局财务科负责资金来源，保障资金支付；局地质矿产保护监督科会同矿业权管理科、财务科、法规科通过专家评审、验收工作。</w:t>
      </w:r>
    </w:p>
    <w:p w14:paraId="321454C7">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楷体_GB2312" w:cs="Times New Roman"/>
          <w:b/>
          <w:sz w:val="32"/>
          <w:szCs w:val="32"/>
          <w:lang w:val="zh-CN"/>
        </w:rPr>
        <w:t>（二）项目管理情况。</w:t>
      </w:r>
      <w:r>
        <w:rPr>
          <w:rFonts w:hint="default" w:ascii="Times New Roman" w:hAnsi="Times New Roman" w:eastAsia="仿宋_GB2312" w:cs="Times New Roman"/>
          <w:color w:val="auto"/>
          <w:sz w:val="32"/>
          <w:szCs w:val="32"/>
          <w:u w:val="none"/>
          <w:lang w:eastAsia="zh-CN"/>
        </w:rPr>
        <w:t>本次对项目投入</w:t>
      </w:r>
      <w:r>
        <w:rPr>
          <w:rFonts w:hint="default" w:ascii="Times New Roman" w:hAnsi="Times New Roman" w:eastAsia="仿宋_GB2312" w:cs="Times New Roman"/>
          <w:color w:val="auto"/>
          <w:sz w:val="32"/>
          <w:szCs w:val="32"/>
        </w:rPr>
        <w:t>经济性的评估是在项目事前绩效评估、预算测算的基础上，按照厉行节约的要求，结合相关费用标准及市场价格水平，重点对数量是否合理、投入是否经济、预算测算是否准确、测算过程是否详细、测算依据是否充分等方面进行了评估。</w:t>
      </w:r>
      <w:r>
        <w:rPr>
          <w:rFonts w:hint="default" w:ascii="Times New Roman" w:hAnsi="Times New Roman" w:eastAsia="仿宋_GB2312" w:cs="Times New Roman"/>
          <w:sz w:val="32"/>
          <w:szCs w:val="32"/>
          <w:lang w:val="en-US" w:eastAsia="zh-CN"/>
        </w:rPr>
        <w:t>根据《中华人民共和国政府采购法》，采取</w:t>
      </w:r>
      <w:r>
        <w:rPr>
          <w:rFonts w:hint="eastAsia" w:ascii="Times New Roman" w:hAnsi="Times New Roman" w:eastAsia="仿宋_GB2312" w:cs="Times New Roman"/>
          <w:sz w:val="32"/>
          <w:szCs w:val="32"/>
          <w:lang w:val="en-US" w:eastAsia="zh-CN"/>
        </w:rPr>
        <w:t>竞争性磋商方式</w:t>
      </w:r>
      <w:r>
        <w:rPr>
          <w:rFonts w:hint="default" w:ascii="Times New Roman" w:hAnsi="Times New Roman" w:eastAsia="仿宋_GB2312" w:cs="Times New Roman"/>
          <w:sz w:val="32"/>
          <w:szCs w:val="32"/>
          <w:lang w:val="en-US" w:eastAsia="zh-CN"/>
        </w:rPr>
        <w:t>对</w:t>
      </w:r>
      <w:r>
        <w:rPr>
          <w:rFonts w:hint="eastAsia" w:ascii="Times New Roman" w:hAnsi="Times New Roman" w:eastAsia="仿宋_GB2312" w:cs="Times New Roman"/>
          <w:sz w:val="32"/>
          <w:szCs w:val="32"/>
          <w:lang w:val="en-US" w:eastAsia="zh-CN"/>
        </w:rPr>
        <w:t>攀枝花市地热温泉</w:t>
      </w:r>
      <w:r>
        <w:rPr>
          <w:rFonts w:hint="default" w:ascii="Times New Roman" w:hAnsi="Times New Roman" w:eastAsia="仿宋_GB2312" w:cs="Times New Roman"/>
          <w:sz w:val="32"/>
          <w:szCs w:val="32"/>
        </w:rPr>
        <w:t>调查评价项目</w:t>
      </w:r>
      <w:r>
        <w:rPr>
          <w:rFonts w:hint="default" w:ascii="Times New Roman" w:hAnsi="Times New Roman" w:eastAsia="仿宋_GB2312" w:cs="Times New Roman"/>
          <w:sz w:val="32"/>
          <w:szCs w:val="32"/>
          <w:lang w:eastAsia="zh-CN"/>
        </w:rPr>
        <w:t>进行</w:t>
      </w:r>
      <w:r>
        <w:rPr>
          <w:rFonts w:hint="eastAsia" w:ascii="Times New Roman" w:hAnsi="Times New Roman" w:eastAsia="仿宋_GB2312" w:cs="Times New Roman"/>
          <w:sz w:val="32"/>
          <w:szCs w:val="32"/>
          <w:lang w:eastAsia="zh-CN"/>
        </w:rPr>
        <w:t>政府采购</w:t>
      </w:r>
      <w:r>
        <w:rPr>
          <w:rFonts w:hint="default" w:ascii="Times New Roman" w:hAnsi="Times New Roman" w:eastAsia="仿宋_GB2312" w:cs="Times New Roman"/>
          <w:sz w:val="32"/>
          <w:szCs w:val="32"/>
          <w:lang w:eastAsia="zh-CN"/>
        </w:rPr>
        <w:t>工作</w:t>
      </w:r>
      <w:r>
        <w:rPr>
          <w:rFonts w:hint="default" w:ascii="Times New Roman" w:hAnsi="Times New Roman" w:eastAsia="仿宋_GB2312" w:cs="Times New Roman"/>
          <w:sz w:val="32"/>
          <w:szCs w:val="32"/>
          <w:lang w:val="en-US" w:eastAsia="zh-CN"/>
        </w:rPr>
        <w:t>。</w:t>
      </w:r>
    </w:p>
    <w:p w14:paraId="5DDE8E1D">
      <w:pPr>
        <w:adjustRightInd w:val="0"/>
        <w:snapToGrid w:val="0"/>
        <w:spacing w:line="600" w:lineRule="exact"/>
        <w:ind w:firstLine="720"/>
        <w:rPr>
          <w:rFonts w:hint="eastAsia"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按照地勘项目管理相关办法对项目实施进行监督、验收等。</w:t>
      </w:r>
    </w:p>
    <w:p w14:paraId="37A5195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4DEDBC3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06F98FED">
      <w:p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rPr>
        <w:t>该项目已实施完成，完成合同约定工作量，达到预期目标。</w:t>
      </w:r>
    </w:p>
    <w:p w14:paraId="0B46DB0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5E2849F">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提交地热温泉找矿靶区11处，编制3个地热温泉省级地勘基金项目入库申报资料。</w:t>
      </w:r>
      <w:r>
        <w:rPr>
          <w:rFonts w:hint="eastAsia" w:ascii="Times New Roman" w:hAnsi="Times New Roman" w:eastAsia="仿宋_GB2312" w:cs="Times New Roman"/>
          <w:sz w:val="32"/>
          <w:szCs w:val="32"/>
          <w:lang w:val="en-US" w:eastAsia="zh-CN"/>
        </w:rPr>
        <w:t>项目已完成全部预期目标，资金支付完毕。</w:t>
      </w:r>
    </w:p>
    <w:p w14:paraId="025EBE4E">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16D89DA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（一）评价结论。</w:t>
      </w:r>
      <w:r>
        <w:rPr>
          <w:rFonts w:hint="eastAsia" w:ascii="方正仿宋_GBK" w:hAnsi="方正仿宋_GBK" w:eastAsia="方正仿宋_GBK" w:cs="方正仿宋_GBK"/>
          <w:b w:val="0"/>
          <w:bCs/>
          <w:sz w:val="32"/>
          <w:szCs w:val="32"/>
          <w:lang w:val="zh-CN"/>
        </w:rPr>
        <w:t>项目</w:t>
      </w:r>
      <w:r>
        <w:rPr>
          <w:rFonts w:hint="eastAsia" w:ascii="Times New Roman" w:hAnsi="Times New Roman" w:eastAsia="仿宋_GB2312" w:cs="Times New Roman"/>
          <w:sz w:val="32"/>
          <w:szCs w:val="32"/>
          <w:lang w:val="zh-CN"/>
        </w:rPr>
        <w:t>提交地热温泉找矿靶区11处，编制3个地热温泉省级地勘基金项目入库申报资料。</w:t>
      </w:r>
      <w:r>
        <w:rPr>
          <w:rFonts w:hint="eastAsia" w:ascii="Times New Roman" w:hAnsi="Times New Roman" w:eastAsia="仿宋_GB2312" w:cs="Times New Roman"/>
          <w:sz w:val="32"/>
          <w:szCs w:val="32"/>
          <w:lang w:val="en-US" w:eastAsia="zh-CN"/>
        </w:rPr>
        <w:t>项目已完成全部预期目标，资金支付完毕。</w:t>
      </w:r>
    </w:p>
    <w:p w14:paraId="0BC6E0A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0AB4BC5B">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经济下行压力大，提交靶区还需进一步投入资金开展下一步勘查工作，才能开发</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7DD0661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3CE3F90">
      <w:pPr>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根据文旅康养产业发展需求，分期分批开展下一步</w:t>
      </w:r>
      <w:r>
        <w:rPr>
          <w:rFonts w:hint="eastAsia" w:eastAsia="仿宋_GB2312" w:cs="Times New Roman"/>
          <w:sz w:val="32"/>
          <w:szCs w:val="32"/>
          <w:lang w:val="zh-CN"/>
        </w:rPr>
        <w:t>勘察</w:t>
      </w:r>
      <w:r>
        <w:rPr>
          <w:rFonts w:hint="eastAsia" w:ascii="Times New Roman" w:hAnsi="Times New Roman" w:eastAsia="仿宋_GB2312" w:cs="Times New Roman"/>
          <w:sz w:val="32"/>
          <w:szCs w:val="32"/>
          <w:lang w:val="zh-CN"/>
        </w:rPr>
        <w:t>工作，以供开发。</w:t>
      </w:r>
    </w:p>
    <w:p w14:paraId="0A7C1B91">
      <w:pPr>
        <w:rPr>
          <w:rFonts w:ascii="Times New Roman" w:hAnsi="Times New Roman" w:eastAsia="仿宋_GB2312" w:cs="Times New Roman"/>
          <w:sz w:val="32"/>
          <w:szCs w:val="32"/>
        </w:rPr>
      </w:pPr>
    </w:p>
    <w:p w14:paraId="663E8CFB">
      <w:pPr>
        <w:widowControl/>
        <w:jc w:val="center"/>
        <w:outlineLvl w:val="0"/>
        <w:rPr>
          <w:rFonts w:hint="eastAsia" w:ascii="Times New Roman" w:hAnsi="Times New Roman" w:eastAsia="黑体"/>
          <w:color w:val="auto"/>
          <w:sz w:val="44"/>
          <w:szCs w:val="44"/>
          <w:highlight w:val="none"/>
        </w:rPr>
      </w:pPr>
    </w:p>
    <w:p w14:paraId="1E6A355E">
      <w:pPr>
        <w:widowControl/>
        <w:jc w:val="center"/>
        <w:outlineLvl w:val="0"/>
        <w:rPr>
          <w:rFonts w:hint="eastAsia" w:ascii="Times New Roman" w:hAnsi="Times New Roman" w:eastAsia="黑体"/>
          <w:color w:val="auto"/>
          <w:sz w:val="44"/>
          <w:szCs w:val="44"/>
          <w:highlight w:val="none"/>
        </w:rPr>
      </w:pPr>
    </w:p>
    <w:p w14:paraId="7D7302B8">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669B5291">
      <w:pPr>
        <w:widowControl w:val="0"/>
        <w:spacing w:line="600" w:lineRule="exact"/>
        <w:ind w:firstLine="883"/>
        <w:jc w:val="center"/>
        <w:rPr>
          <w:rFonts w:hint="eastAsia"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zh-CN" w:eastAsia="zh-CN" w:bidi="ar-SA"/>
        </w:rPr>
        <w:t>专项预算项目支出绩效自评报告</w:t>
      </w:r>
    </w:p>
    <w:p w14:paraId="0062D7DE">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攀枝花市地质灾害避险搬迁摸底调查及专项规划编制</w:t>
      </w:r>
      <w:r>
        <w:rPr>
          <w:rFonts w:ascii="Times New Roman" w:hAnsi="Times New Roman" w:eastAsia="仿宋_GB2312" w:cs="Times New Roman"/>
          <w:color w:val="auto"/>
          <w:kern w:val="2"/>
          <w:sz w:val="32"/>
          <w:szCs w:val="32"/>
          <w:lang w:val="zh-CN" w:eastAsia="zh-CN" w:bidi="ar-SA"/>
        </w:rPr>
        <w:t>）</w:t>
      </w:r>
    </w:p>
    <w:p w14:paraId="7A8203E8">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37587B8F">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6BED0C0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726C3AA">
      <w:pPr>
        <w:adjustRightInd w:val="0"/>
        <w:snapToGrid w:val="0"/>
        <w:spacing w:line="600" w:lineRule="exact"/>
        <w:ind w:firstLine="640" w:firstLineChars="20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根据《</w:t>
      </w:r>
      <w:r>
        <w:rPr>
          <w:rFonts w:ascii="Times New Roman" w:hAnsi="Times New Roman" w:eastAsia="仿宋_GB2312" w:cs="Times New Roman"/>
          <w:sz w:val="32"/>
          <w:szCs w:val="32"/>
          <w:lang w:val="en-US" w:eastAsia="zh-CN"/>
        </w:rPr>
        <w:t>四川省人民政府办公厅关于印发四川省受山洪地质灾害威胁村（居）民避险搬迁总体规划（2023</w:t>
      </w:r>
      <w:r>
        <w:rPr>
          <w:rFonts w:hint="eastAsia" w:eastAsia="仿宋_GB2312" w:cs="Times New Roman"/>
          <w:sz w:val="32"/>
          <w:szCs w:val="32"/>
          <w:lang w:val="en-US" w:eastAsia="zh-CN"/>
        </w:rPr>
        <w:t>—</w:t>
      </w:r>
      <w:r>
        <w:rPr>
          <w:rFonts w:ascii="Times New Roman" w:hAnsi="Times New Roman" w:eastAsia="仿宋_GB2312" w:cs="Times New Roman"/>
          <w:sz w:val="32"/>
          <w:szCs w:val="32"/>
          <w:lang w:val="en-US" w:eastAsia="zh-CN"/>
        </w:rPr>
        <w:t>2027年）的通知</w:t>
      </w:r>
      <w:r>
        <w:rPr>
          <w:rFonts w:hint="eastAsia" w:ascii="Times New Roman" w:hAnsi="Times New Roman" w:eastAsia="仿宋_GB2312" w:cs="Times New Roman"/>
          <w:sz w:val="32"/>
          <w:szCs w:val="32"/>
          <w:lang w:val="en-US" w:eastAsia="zh-CN"/>
        </w:rPr>
        <w:t>》（川</w:t>
      </w:r>
      <w:r>
        <w:rPr>
          <w:rFonts w:ascii="Times New Roman" w:hAnsi="Times New Roman" w:eastAsia="仿宋_GB2312" w:cs="Times New Roman"/>
          <w:sz w:val="32"/>
          <w:szCs w:val="32"/>
          <w:lang w:val="en-US" w:eastAsia="zh-CN"/>
        </w:rPr>
        <w:t>办发</w:t>
      </w:r>
      <w:r>
        <w:rPr>
          <w:rFonts w:hint="eastAsia" w:ascii="仿宋_GB2312" w:hAnsi="仿宋_GB2312" w:eastAsia="仿宋_GB2312" w:cs="仿宋_GB2312"/>
          <w:sz w:val="32"/>
          <w:szCs w:val="32"/>
          <w:lang w:val="en-US" w:eastAsia="zh-CN"/>
        </w:rPr>
        <w:t>〔202</w:t>
      </w:r>
      <w:r>
        <w:rPr>
          <w:rFonts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en-US" w:eastAsia="zh-CN"/>
        </w:rPr>
        <w:t>〕</w:t>
      </w:r>
      <w:r>
        <w:rPr>
          <w:rFonts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en-US" w:eastAsia="zh-CN"/>
        </w:rPr>
        <w:t>4号</w:t>
      </w:r>
      <w:r>
        <w:rPr>
          <w:rFonts w:hint="eastAsia" w:ascii="Times New Roman" w:hAnsi="Times New Roman" w:eastAsia="仿宋_GB2312" w:cs="Times New Roman"/>
          <w:sz w:val="32"/>
          <w:szCs w:val="32"/>
          <w:lang w:val="en-US" w:eastAsia="zh-CN"/>
        </w:rPr>
        <w:t>）文件要求，经</w:t>
      </w:r>
      <w:r>
        <w:rPr>
          <w:rFonts w:ascii="Times New Roman" w:hAnsi="Times New Roman" w:eastAsia="仿宋_GB2312" w:cs="Times New Roman"/>
          <w:sz w:val="32"/>
          <w:szCs w:val="32"/>
          <w:lang w:val="en-US" w:eastAsia="zh-CN"/>
        </w:rPr>
        <w:t>2023年第17次局务会审议通过</w:t>
      </w:r>
      <w:r>
        <w:rPr>
          <w:rFonts w:hint="eastAsia" w:ascii="Times New Roman" w:hAnsi="Times New Roman" w:eastAsia="仿宋_GB2312" w:cs="Times New Roman"/>
          <w:sz w:val="32"/>
          <w:szCs w:val="32"/>
          <w:lang w:val="en-US" w:eastAsia="zh-CN"/>
        </w:rPr>
        <w:t>，根据《中华人民共和国政府采购法》《四川省政府采购服务管理办法》等规定，委托招标代理机构通过政府采购公开招标的方式确定项目承担单位为</w:t>
      </w:r>
      <w:r>
        <w:rPr>
          <w:rFonts w:ascii="Times New Roman" w:hAnsi="Times New Roman" w:eastAsia="仿宋_GB2312" w:cs="Times New Roman"/>
          <w:sz w:val="32"/>
          <w:szCs w:val="32"/>
          <w:lang w:val="en-US" w:eastAsia="zh-CN"/>
        </w:rPr>
        <w:t>四川省国土空间生态修复与地质灾害防治院</w:t>
      </w:r>
      <w:r>
        <w:rPr>
          <w:rFonts w:hint="eastAsia" w:ascii="Times New Roman" w:hAnsi="Times New Roman" w:eastAsia="仿宋_GB2312" w:cs="Times New Roman"/>
          <w:sz w:val="32"/>
          <w:szCs w:val="32"/>
          <w:lang w:val="en-US" w:eastAsia="zh-CN"/>
        </w:rPr>
        <w:t>。</w:t>
      </w:r>
    </w:p>
    <w:p w14:paraId="7D383F4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019D482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项目主要内容。</w:t>
      </w:r>
    </w:p>
    <w:p w14:paraId="4C4BE51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Times New Roman" w:hAnsi="Times New Roman" w:eastAsia="仿宋_GB2312" w:cs="Times New Roman"/>
          <w:sz w:val="32"/>
          <w:szCs w:val="32"/>
          <w:highlight w:val="none"/>
          <w:lang w:bidi="ar-SA"/>
        </w:rPr>
      </w:pPr>
      <w:r>
        <w:rPr>
          <w:rFonts w:ascii="Times New Roman" w:hAnsi="Times New Roman" w:eastAsia="仿宋_GB2312" w:cs="Times New Roman"/>
          <w:sz w:val="32"/>
          <w:szCs w:val="32"/>
          <w:highlight w:val="none"/>
          <w:lang w:bidi="ar-SA"/>
        </w:rPr>
        <w:t>（1）收集整理规划区地质灾害及受威胁群众情况，分析研究攀枝花市地质灾害防治形势、前期摸底调查成果，形成攀枝花市地质灾害避险搬迁基础数据分析报告。</w:t>
      </w:r>
    </w:p>
    <w:p w14:paraId="0AE68EF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Times New Roman" w:hAnsi="Times New Roman" w:eastAsia="仿宋_GB2312" w:cs="Times New Roman"/>
          <w:sz w:val="32"/>
          <w:szCs w:val="32"/>
          <w:highlight w:val="none"/>
          <w:lang w:bidi="ar-SA"/>
        </w:rPr>
      </w:pPr>
      <w:r>
        <w:rPr>
          <w:rFonts w:ascii="Times New Roman" w:hAnsi="Times New Roman" w:eastAsia="仿宋_GB2312" w:cs="Times New Roman"/>
          <w:sz w:val="32"/>
          <w:szCs w:val="32"/>
          <w:highlight w:val="none"/>
          <w:lang w:bidi="ar-SA"/>
        </w:rPr>
        <w:t>（2）抽样核查避险搬迁对象的相关信息及搬迁意愿，根据实际情况优化调整搬迁紧迫性分级排序。</w:t>
      </w:r>
    </w:p>
    <w:p w14:paraId="53CAABE1">
      <w:pPr>
        <w:keepNext w:val="0"/>
        <w:keepLines w:val="0"/>
        <w:pageBreakBefore w:val="0"/>
        <w:widowControl w:val="0"/>
        <w:kinsoku/>
        <w:wordWrap/>
        <w:overflowPunct/>
        <w:topLinePunct w:val="0"/>
        <w:autoSpaceDE/>
        <w:autoSpaceDN/>
        <w:adjustRightInd/>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highlight w:val="none"/>
          <w:lang w:bidi="ar-SA"/>
        </w:rPr>
        <w:t>（3）根据省级总体规划避险搬迁目标任务，科学编制攀枝花市地质灾害避险搬迁专项规划。</w:t>
      </w:r>
    </w:p>
    <w:p w14:paraId="293890BE">
      <w:pPr>
        <w:keepNext w:val="0"/>
        <w:keepLines w:val="0"/>
        <w:pageBreakBefore w:val="0"/>
        <w:widowControl w:val="0"/>
        <w:kinsoku/>
        <w:wordWrap/>
        <w:overflowPunct/>
        <w:topLinePunct w:val="0"/>
        <w:autoSpaceDE/>
        <w:autoSpaceDN/>
        <w:adjustRightInd/>
        <w:spacing w:line="56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项目应实现的具体绩效目标。</w:t>
      </w:r>
    </w:p>
    <w:p w14:paraId="2C16FD8D">
      <w:pPr>
        <w:keepNext w:val="0"/>
        <w:keepLines w:val="0"/>
        <w:pageBreakBefore w:val="0"/>
        <w:widowControl w:val="0"/>
        <w:tabs>
          <w:tab w:val="left" w:pos="0"/>
        </w:tabs>
        <w:kinsoku/>
        <w:wordWrap/>
        <w:overflowPunct/>
        <w:topLinePunct w:val="0"/>
        <w:autoSpaceDE/>
        <w:autoSpaceDN/>
        <w:bidi w:val="0"/>
        <w:adjustRightInd/>
        <w:snapToGrid w:val="0"/>
        <w:spacing w:after="0" w:line="560" w:lineRule="exact"/>
        <w:ind w:firstLine="640" w:firstLineChars="200"/>
        <w:jc w:val="both"/>
        <w:textAlignment w:val="auto"/>
        <w:rPr>
          <w:rFonts w:ascii="Times New Roman" w:hAnsi="Times New Roman" w:eastAsia="仿宋_GB2312" w:cs="Times New Roman"/>
          <w:color w:val="auto"/>
          <w:kern w:val="2"/>
          <w:sz w:val="32"/>
          <w:szCs w:val="32"/>
          <w:highlight w:val="none"/>
          <w:lang w:val="en-US" w:eastAsia="zh-CN" w:bidi="ar-SA"/>
        </w:rPr>
      </w:pPr>
      <w:r>
        <w:rPr>
          <w:rFonts w:ascii="Times New Roman" w:hAnsi="Times New Roman" w:eastAsia="仿宋_GB2312" w:cs="Times New Roman"/>
          <w:color w:val="auto"/>
          <w:kern w:val="2"/>
          <w:sz w:val="32"/>
          <w:szCs w:val="32"/>
          <w:highlight w:val="none"/>
          <w:lang w:val="en-US" w:eastAsia="zh-CN" w:bidi="ar-SA"/>
        </w:rPr>
        <w:t>（1）《攀枝花市地质灾害避险搬迁基础数据分析报告》；</w:t>
      </w:r>
    </w:p>
    <w:p w14:paraId="6EFBA724">
      <w:pPr>
        <w:keepNext w:val="0"/>
        <w:keepLines w:val="0"/>
        <w:pageBreakBefore w:val="0"/>
        <w:widowControl w:val="0"/>
        <w:tabs>
          <w:tab w:val="left" w:pos="0"/>
        </w:tabs>
        <w:kinsoku/>
        <w:wordWrap/>
        <w:overflowPunct/>
        <w:topLinePunct w:val="0"/>
        <w:autoSpaceDE/>
        <w:autoSpaceDN/>
        <w:bidi w:val="0"/>
        <w:adjustRightInd/>
        <w:snapToGrid w:val="0"/>
        <w:spacing w:after="0" w:line="560" w:lineRule="exact"/>
        <w:ind w:firstLine="640" w:firstLineChars="200"/>
        <w:jc w:val="both"/>
        <w:textAlignment w:val="auto"/>
        <w:rPr>
          <w:rFonts w:ascii="Times New Roman" w:hAnsi="Times New Roman" w:eastAsia="仿宋_GB2312" w:cs="Times New Roman"/>
          <w:color w:val="auto"/>
          <w:kern w:val="2"/>
          <w:sz w:val="32"/>
          <w:szCs w:val="32"/>
          <w:highlight w:val="none"/>
          <w:lang w:val="en-US" w:eastAsia="zh-CN" w:bidi="ar-SA"/>
        </w:rPr>
      </w:pPr>
      <w:r>
        <w:rPr>
          <w:rFonts w:ascii="Times New Roman" w:hAnsi="Times New Roman" w:eastAsia="仿宋_GB2312" w:cs="Times New Roman"/>
          <w:color w:val="auto"/>
          <w:kern w:val="2"/>
          <w:sz w:val="32"/>
          <w:szCs w:val="32"/>
          <w:highlight w:val="none"/>
          <w:lang w:val="en-US" w:eastAsia="zh-CN" w:bidi="ar-SA"/>
        </w:rPr>
        <w:t>（2）《攀枝花市地质灾害避险搬迁专项规划》。</w:t>
      </w:r>
    </w:p>
    <w:p w14:paraId="42D4067F">
      <w:pPr>
        <w:numPr>
          <w:ilvl w:val="0"/>
          <w:numId w:val="23"/>
        </w:numPr>
        <w:adjustRightInd w:val="0"/>
        <w:snapToGrid w:val="0"/>
        <w:spacing w:line="600" w:lineRule="exact"/>
        <w:ind w:left="0"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申报内容与实际相符，申报目标合理可行。</w:t>
      </w:r>
    </w:p>
    <w:p w14:paraId="51459EF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7A05AAB4">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1.通过项目请示、财务报账收集数据。</w:t>
      </w:r>
    </w:p>
    <w:p w14:paraId="13489778">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2.对专项预算项目绩效自评报告范本进行分析，对比实际成果与预设目标。</w:t>
      </w:r>
    </w:p>
    <w:p w14:paraId="73153EE6">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3.识别预算执行偏差、管理漏洞或绩效不足的领域，如资金使用效率低或目标达成滞后。</w:t>
      </w:r>
    </w:p>
    <w:p w14:paraId="3143681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447F79A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22DA5A92">
      <w:pPr>
        <w:adjustRightInd w:val="0"/>
        <w:snapToGrid w:val="0"/>
        <w:spacing w:line="600" w:lineRule="exact"/>
        <w:ind w:firstLine="72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经</w:t>
      </w:r>
      <w:r>
        <w:rPr>
          <w:rFonts w:ascii="Times New Roman" w:hAnsi="Times New Roman" w:eastAsia="仿宋_GB2312" w:cs="Times New Roman"/>
          <w:sz w:val="32"/>
          <w:szCs w:val="32"/>
          <w:lang w:val="en-US" w:eastAsia="zh-CN"/>
        </w:rPr>
        <w:t>2023年第17次局务会审议通过</w:t>
      </w:r>
    </w:p>
    <w:p w14:paraId="27BD2BF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3415F6C8">
      <w:pPr>
        <w:numPr>
          <w:ilvl w:val="0"/>
          <w:numId w:val="25"/>
        </w:numPr>
        <w:adjustRightInd w:val="0"/>
        <w:snapToGrid w:val="0"/>
        <w:spacing w:line="600" w:lineRule="exact"/>
        <w:ind w:left="1200" w:hanging="48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由市级</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ascii="Times New Roman" w:hAnsi="Times New Roman" w:eastAsia="仿宋_GB2312" w:cs="Times New Roman"/>
          <w:sz w:val="32"/>
          <w:szCs w:val="32"/>
          <w:lang w:val="zh-CN"/>
        </w:rPr>
        <w:t>。</w:t>
      </w:r>
    </w:p>
    <w:p w14:paraId="471F2C9C">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资金到位及时。</w:t>
      </w:r>
    </w:p>
    <w:p w14:paraId="52C2FB0E">
      <w:pPr>
        <w:adjustRightInd w:val="0"/>
        <w:snapToGrid w:val="0"/>
        <w:spacing w:line="600" w:lineRule="exact"/>
        <w:ind w:left="0" w:firstLine="640" w:firstLineChars="200"/>
        <w:rPr>
          <w:rFonts w:ascii="Times New Roman" w:hAnsi="Times New Roman" w:eastAsia="仿宋_GB2312" w:cs="Times New Roman"/>
          <w:sz w:val="32"/>
          <w:szCs w:val="32"/>
          <w:lang w:val="en-US" w:eastAsia="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eastAsia="zh-CN"/>
        </w:rPr>
        <w:t>资金预算为</w:t>
      </w:r>
      <w:r>
        <w:rPr>
          <w:rFonts w:ascii="Times New Roman" w:hAnsi="Times New Roman" w:eastAsia="仿宋_GB2312" w:cs="Times New Roman"/>
          <w:sz w:val="32"/>
          <w:szCs w:val="32"/>
          <w:lang w:val="en-US" w:eastAsia="zh-CN"/>
        </w:rPr>
        <w:t>26</w:t>
      </w:r>
      <w:r>
        <w:rPr>
          <w:rFonts w:hint="eastAsia" w:ascii="Times New Roman" w:hAnsi="Times New Roman" w:eastAsia="仿宋_GB2312" w:cs="Times New Roman"/>
          <w:sz w:val="32"/>
          <w:szCs w:val="32"/>
          <w:lang w:val="en-US" w:eastAsia="zh-CN"/>
        </w:rPr>
        <w:t>万元，预算执行为</w:t>
      </w:r>
      <w:r>
        <w:rPr>
          <w:rFonts w:ascii="Times New Roman" w:hAnsi="Times New Roman" w:eastAsia="仿宋_GB2312" w:cs="Times New Roman"/>
          <w:sz w:val="32"/>
          <w:szCs w:val="32"/>
          <w:lang w:val="en-US" w:eastAsia="zh-CN"/>
        </w:rPr>
        <w:t>25.85</w:t>
      </w:r>
      <w:r>
        <w:rPr>
          <w:rFonts w:hint="eastAsia" w:ascii="Times New Roman" w:hAnsi="Times New Roman" w:eastAsia="仿宋_GB2312" w:cs="Times New Roman"/>
          <w:sz w:val="32"/>
          <w:szCs w:val="32"/>
          <w:lang w:val="en-US" w:eastAsia="zh-CN"/>
        </w:rPr>
        <w:t>万元，</w:t>
      </w:r>
      <w:r>
        <w:rPr>
          <w:rFonts w:ascii="Times New Roman" w:hAnsi="Times New Roman" w:eastAsia="仿宋_GB2312" w:cs="Times New Roman"/>
          <w:sz w:val="32"/>
          <w:szCs w:val="32"/>
          <w:lang w:val="en-US" w:eastAsia="zh-CN"/>
        </w:rPr>
        <w:t>执行率为100%。</w:t>
      </w:r>
    </w:p>
    <w:p w14:paraId="491E681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A4DA18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总体评价各项目实施单位财务管理制度健全，严格执行财务管理制度，账务处理及时，会计核算规范。</w:t>
      </w:r>
    </w:p>
    <w:p w14:paraId="7BE3D803">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323216A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结合项目组织实施管理办法，重点围绕以下内容进行分析评价，并对自评中发现的问题分析说明。</w:t>
      </w:r>
    </w:p>
    <w:p w14:paraId="270EA07B">
      <w:pPr>
        <w:keepNext w:val="0"/>
        <w:keepLines w:val="0"/>
        <w:pageBreakBefore w:val="0"/>
        <w:widowControl w:val="0"/>
        <w:kinsoku/>
        <w:wordWrap/>
        <w:overflowPunct/>
        <w:topLinePunct w:val="0"/>
        <w:autoSpaceDE/>
        <w:autoSpaceDN/>
        <w:adjustRightInd/>
        <w:spacing w:line="560" w:lineRule="exact"/>
        <w:ind w:firstLine="643" w:firstLineChars="200"/>
        <w:rPr>
          <w:rFonts w:ascii="Times New Roman" w:hAnsi="Times New Roman" w:eastAsia="仿宋_GB2312" w:cs="Times New Roman"/>
          <w:sz w:val="32"/>
          <w:szCs w:val="32"/>
        </w:rPr>
      </w:pPr>
      <w:r>
        <w:rPr>
          <w:rFonts w:ascii="Times New Roman" w:hAnsi="Times New Roman" w:eastAsia="楷体_GB2312" w:cs="Times New Roman"/>
          <w:b/>
          <w:sz w:val="32"/>
          <w:szCs w:val="32"/>
          <w:lang w:val="zh-CN"/>
        </w:rPr>
        <w:t>（一）项目组织架构及实施流程。</w:t>
      </w:r>
      <w:r>
        <w:rPr>
          <w:rFonts w:ascii="Times New Roman" w:hAnsi="Times New Roman" w:eastAsia="仿宋_GB2312" w:cs="Times New Roman"/>
          <w:sz w:val="32"/>
          <w:szCs w:val="32"/>
          <w:highlight w:val="none"/>
          <w:lang w:bidi="ar-SA"/>
        </w:rPr>
        <w:t>收集整理规划区地质灾害及受威胁群众情况，分析研究攀枝花市地质灾害防治形势、前期摸底调查成果，形成攀枝花市地质灾害避险搬迁基础数据分析报告。抽样核查避险搬迁对象的相关信息及搬迁意愿，根据实际情况优化调整搬迁紧迫性分级排序。根据省级总体规划避险搬迁目标任务，科学编制攀枝花市地质灾害避险搬迁专项规划。</w:t>
      </w:r>
    </w:p>
    <w:p w14:paraId="18AE3CE9">
      <w:pPr>
        <w:adjustRightInd w:val="0"/>
        <w:snapToGrid w:val="0"/>
        <w:spacing w:line="600" w:lineRule="exact"/>
        <w:ind w:firstLine="643" w:firstLineChars="200"/>
        <w:rPr>
          <w:rFonts w:ascii="Times New Roman" w:hAnsi="Times New Roman" w:eastAsia="仿宋_GB2312" w:cs="Times New Roman"/>
          <w:sz w:val="32"/>
          <w:szCs w:val="32"/>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根据《中华人民共和国政府采购法》《四川省政府采购服务管理办法》等规定，委托招标代理机构通过政府采购公开招标的方式确定项目承担单位为</w:t>
      </w:r>
      <w:r>
        <w:rPr>
          <w:rFonts w:ascii="Times New Roman" w:hAnsi="Times New Roman" w:eastAsia="仿宋_GB2312" w:cs="Times New Roman"/>
          <w:sz w:val="32"/>
          <w:szCs w:val="32"/>
          <w:lang w:val="en-US" w:eastAsia="zh-CN"/>
        </w:rPr>
        <w:t>四川省国土空间生态修复与地质灾害防治院</w:t>
      </w:r>
      <w:r>
        <w:rPr>
          <w:rFonts w:hint="eastAsia" w:ascii="Times New Roman" w:hAnsi="Times New Roman" w:eastAsia="仿宋_GB2312" w:cs="Times New Roman"/>
          <w:sz w:val="32"/>
          <w:szCs w:val="32"/>
          <w:lang w:val="en-US" w:eastAsia="zh-CN"/>
        </w:rPr>
        <w:t>。</w:t>
      </w:r>
    </w:p>
    <w:p w14:paraId="5273DCA9">
      <w:pPr>
        <w:adjustRightInd w:val="0"/>
        <w:snapToGrid w:val="0"/>
        <w:spacing w:line="600" w:lineRule="exact"/>
        <w:ind w:firstLine="643" w:firstLineChars="200"/>
        <w:rPr>
          <w:rFonts w:ascii="Times New Roman" w:hAnsi="Times New Roman" w:eastAsia="仿宋_GB2312" w:cs="Times New Roman"/>
          <w:sz w:val="32"/>
          <w:szCs w:val="32"/>
          <w:lang w:val="en-US" w:eastAsia="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项目严格按照本单位相关法律法规及项目管理制度实施。</w:t>
      </w:r>
    </w:p>
    <w:p w14:paraId="5AA5596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73FAB86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559AFE9D">
      <w:pPr>
        <w:keepNext w:val="0"/>
        <w:keepLines w:val="0"/>
        <w:pageBreakBefore w:val="0"/>
        <w:widowControl w:val="0"/>
        <w:tabs>
          <w:tab w:val="left" w:pos="0"/>
        </w:tabs>
        <w:kinsoku/>
        <w:wordWrap/>
        <w:overflowPunct/>
        <w:topLinePunct w:val="0"/>
        <w:autoSpaceDE/>
        <w:autoSpaceDN/>
        <w:adjustRightInd/>
        <w:snapToGrid w:val="0"/>
        <w:spacing w:after="0" w:line="560" w:lineRule="exact"/>
        <w:ind w:firstLine="640" w:firstLineChars="200"/>
        <w:jc w:val="both"/>
        <w:rPr>
          <w:rFonts w:ascii="Times New Roman" w:hAnsi="Times New Roman" w:eastAsia="仿宋_GB2312" w:cs="Times New Roman"/>
          <w:color w:val="auto"/>
          <w:kern w:val="2"/>
          <w:sz w:val="32"/>
          <w:szCs w:val="32"/>
          <w:lang w:val="en-US" w:eastAsia="zh-CN" w:bidi="ar-SA"/>
        </w:rPr>
      </w:pPr>
      <w:r>
        <w:rPr>
          <w:rFonts w:ascii="Times New Roman" w:hAnsi="Times New Roman" w:eastAsia="仿宋_GB2312" w:cs="Times New Roman"/>
          <w:color w:val="auto"/>
          <w:kern w:val="2"/>
          <w:sz w:val="32"/>
          <w:szCs w:val="32"/>
          <w:highlight w:val="none"/>
          <w:lang w:val="en-US" w:eastAsia="zh-CN" w:bidi="ar-SA"/>
        </w:rPr>
        <w:t>完成《攀枝花市地质灾害避险搬迁基础数据分析报告》和《攀枝花市地质灾害避险搬迁专项规划》</w:t>
      </w:r>
    </w:p>
    <w:p w14:paraId="430A261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31C7665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摸清避险搬迁底数并合理规划，有效减少地质灾害造成的财产损失，保护受地质灾害威胁群众，提高</w:t>
      </w:r>
      <w:r>
        <w:rPr>
          <w:rFonts w:hint="eastAsia" w:eastAsia="仿宋_GB2312" w:cs="Times New Roman"/>
          <w:sz w:val="32"/>
          <w:szCs w:val="32"/>
          <w:lang w:val="zh-CN"/>
        </w:rPr>
        <w:t>生态环境保护</w:t>
      </w:r>
      <w:r>
        <w:rPr>
          <w:rFonts w:ascii="Times New Roman" w:hAnsi="Times New Roman" w:eastAsia="仿宋_GB2312" w:cs="Times New Roman"/>
          <w:sz w:val="32"/>
          <w:szCs w:val="32"/>
          <w:lang w:val="zh-CN"/>
        </w:rPr>
        <w:t>程度。使群众受地质灾害威胁程度降低。</w:t>
      </w:r>
    </w:p>
    <w:p w14:paraId="4A0B925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五、评价结论及建议</w:t>
      </w:r>
    </w:p>
    <w:p w14:paraId="0301D2C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F0C8ADA">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资金支付绩效评价自评得分</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zh-CN"/>
        </w:rPr>
        <w:t>分（满分10分），项目完成情况绩效评价自评得分100分（满分100分）。</w:t>
      </w:r>
    </w:p>
    <w:p w14:paraId="744F8A5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0C025A53">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r>
        <w:rPr>
          <w:rFonts w:ascii="Times New Roman" w:hAnsi="Times New Roman" w:eastAsia="仿宋_GB2312" w:cs="Times New Roman"/>
          <w:sz w:val="32"/>
          <w:szCs w:val="32"/>
          <w:lang w:val="zh-CN"/>
        </w:rPr>
        <w:tab/>
      </w:r>
    </w:p>
    <w:p w14:paraId="1C9825A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15AE029F">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176BA4BB">
      <w:pPr>
        <w:rPr>
          <w:rFonts w:ascii="Times New Roman" w:hAnsi="Times New Roman" w:eastAsia="仿宋_GB2312" w:cs="Times New Roman"/>
          <w:sz w:val="32"/>
          <w:szCs w:val="32"/>
        </w:rPr>
      </w:pPr>
    </w:p>
    <w:p w14:paraId="32085C4F">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235F5DCB">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05A5D43E">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 w:hAnsi="??" w:eastAsia="方正小标宋简体" w:cs="Times New Roman"/>
          <w:color w:val="000000"/>
          <w:kern w:val="0"/>
          <w:sz w:val="40"/>
          <w:szCs w:val="40"/>
          <w:lang w:val="zh-CN" w:eastAsia="zh-CN" w:bidi="ar-SA"/>
        </w:rPr>
        <w:t>专项预算项目绩效评价报告</w:t>
      </w:r>
    </w:p>
    <w:p w14:paraId="274C6CF1">
      <w:pPr>
        <w:widowControl w:val="0"/>
        <w:spacing w:line="600" w:lineRule="exact"/>
        <w:ind w:firstLine="883"/>
        <w:jc w:val="center"/>
        <w:rPr>
          <w:rFonts w:hint="eastAsia"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攀枝花市耕地林地园地空间治理“一张图”</w:t>
      </w:r>
    </w:p>
    <w:p w14:paraId="3D8CBF7A">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hint="eastAsia" w:ascii="Times New Roman" w:hAnsi="Times New Roman" w:eastAsia="仿宋_GB2312" w:cs="Times New Roman"/>
          <w:color w:val="auto"/>
          <w:kern w:val="2"/>
          <w:sz w:val="32"/>
          <w:szCs w:val="32"/>
          <w:lang w:val="zh-CN" w:eastAsia="zh-CN" w:bidi="ar-SA"/>
        </w:rPr>
        <w:t>摸底排查和划界工作项目</w:t>
      </w:r>
      <w:r>
        <w:rPr>
          <w:rFonts w:ascii="Times New Roman" w:hAnsi="Times New Roman" w:eastAsia="仿宋_GB2312" w:cs="Times New Roman"/>
          <w:color w:val="auto"/>
          <w:kern w:val="2"/>
          <w:sz w:val="32"/>
          <w:szCs w:val="32"/>
          <w:lang w:val="zh-CN" w:eastAsia="zh-CN" w:bidi="ar-SA"/>
        </w:rPr>
        <w:t>）</w:t>
      </w:r>
    </w:p>
    <w:p w14:paraId="44D44B64">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049A13A6">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75828CA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9C98880">
      <w:pPr>
        <w:snapToGrid w:val="0"/>
        <w:spacing w:line="600" w:lineRule="exact"/>
        <w:ind w:firstLine="640" w:firstLineChars="200"/>
        <w:rPr>
          <w:rFonts w:ascii="Times New Roman" w:hAnsi="Times New Roman" w:eastAsia="仿宋_GB2312" w:cs="Times New Roman"/>
          <w:sz w:val="32"/>
          <w:szCs w:val="32"/>
          <w:lang w:val="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说明项目主管部门（单位）在该项目管理中的职能。</w:t>
      </w:r>
    </w:p>
    <w:p w14:paraId="7E92A6A7">
      <w:pPr>
        <w:snapToGrid w:val="0"/>
        <w:spacing w:line="600" w:lineRule="exact"/>
        <w:rPr>
          <w:rFonts w:ascii="Times New Roman" w:hAnsi="Times New Roman" w:eastAsia="仿宋_GB2312" w:cs="Times New Roman"/>
          <w:sz w:val="32"/>
          <w:szCs w:val="32"/>
        </w:rPr>
      </w:pPr>
      <w:r>
        <w:rPr>
          <w:rFonts w:hint="eastAsia" w:ascii="Times New Roman" w:hAnsi="Times New Roman" w:eastAsia="仿宋_GB2312" w:cs="Times New Roman"/>
          <w:color w:val="000000"/>
          <w:sz w:val="32"/>
          <w:szCs w:val="32"/>
        </w:rPr>
        <w:t>承担牵头统筹、组织实施核心职责，以</w:t>
      </w:r>
      <w:r>
        <w:rPr>
          <w:rFonts w:ascii="Times New Roman" w:hAnsi="Times New Roman" w:eastAsia="仿宋_GB2312" w:cs="Times New Roman"/>
          <w:color w:val="000000"/>
          <w:sz w:val="32"/>
          <w:szCs w:val="32"/>
        </w:rPr>
        <w:t>2024</w:t>
      </w:r>
      <w:r>
        <w:rPr>
          <w:rFonts w:hint="eastAsia" w:ascii="Times New Roman" w:hAnsi="Times New Roman" w:eastAsia="仿宋_GB2312" w:cs="Times New Roman"/>
          <w:color w:val="000000"/>
          <w:sz w:val="32"/>
          <w:szCs w:val="32"/>
        </w:rPr>
        <w:t>年度国土变更调查成果及森林草原湿地荒漠化普查成果为基础，结合</w:t>
      </w:r>
      <w:r>
        <w:rPr>
          <w:rFonts w:ascii="Times New Roman" w:hAnsi="Times New Roman" w:eastAsia="仿宋_GB2312" w:cs="Times New Roman"/>
          <w:color w:val="000000"/>
          <w:sz w:val="32"/>
          <w:szCs w:val="32"/>
        </w:rPr>
        <w:t>2025</w:t>
      </w:r>
      <w:r>
        <w:rPr>
          <w:rFonts w:hint="eastAsia" w:ascii="Times New Roman" w:hAnsi="Times New Roman" w:eastAsia="仿宋_GB2312" w:cs="Times New Roman"/>
          <w:color w:val="000000"/>
          <w:sz w:val="32"/>
          <w:szCs w:val="32"/>
        </w:rPr>
        <w:t>年高分辨率卫星遥感影像，集成自然资源、生态环境、交通运输、水利、农业农村、林业等部门相关业务管理数据，摸清全市自然资源家底，全面梳理分析</w:t>
      </w:r>
      <w:r>
        <w:rPr>
          <w:rFonts w:hint="eastAsia" w:ascii="Times New Roman" w:hAnsi="Times New Roman" w:eastAsia="仿宋_GB2312" w:cs="Times New Roman"/>
          <w:sz w:val="32"/>
          <w:szCs w:val="32"/>
        </w:rPr>
        <w:t>耕地、林地、园地等地类管理矛盾冲突。</w:t>
      </w:r>
      <w:r>
        <w:rPr>
          <w:rFonts w:hint="eastAsia" w:ascii="Times New Roman" w:hAnsi="Times New Roman" w:eastAsia="仿宋_GB2312" w:cs="Times New Roman"/>
          <w:color w:val="000000"/>
          <w:sz w:val="32"/>
          <w:szCs w:val="32"/>
        </w:rPr>
        <w:t>开展管理边界试划，统筹空间布局优化与成果应用，为自然资源精细化管理、耕地保护及空间治理提供统一底图与支撑保障。</w:t>
      </w:r>
    </w:p>
    <w:p w14:paraId="0675036D">
      <w:pPr>
        <w:snapToGrid w:val="0"/>
        <w:spacing w:line="600" w:lineRule="exact"/>
        <w:ind w:firstLine="640" w:firstLineChars="200"/>
        <w:rPr>
          <w:rFonts w:ascii="仿宋_GB2312" w:hAnsi="宋体" w:eastAsia="仿宋_GB2312" w:cs="Times New Roman"/>
          <w:sz w:val="32"/>
          <w:szCs w:val="32"/>
        </w:rPr>
      </w:pPr>
      <w:r>
        <w:rPr>
          <w:rFonts w:hint="eastAsia" w:eastAsia="仿宋_GB2312" w:cs="Times New Roman"/>
          <w:sz w:val="32"/>
          <w:szCs w:val="32"/>
          <w:lang w:val="zh-CN"/>
        </w:rPr>
        <w:t>2.</w:t>
      </w:r>
      <w:r>
        <w:rPr>
          <w:rFonts w:ascii="Times New Roman" w:hAnsi="Times New Roman" w:eastAsia="仿宋_GB2312" w:cs="Times New Roman"/>
          <w:sz w:val="32"/>
          <w:szCs w:val="32"/>
          <w:lang w:val="zh-CN"/>
        </w:rPr>
        <w:t>项目立项、资金申报的依据。</w:t>
      </w:r>
      <w:r>
        <w:rPr>
          <w:rFonts w:hint="eastAsia" w:ascii="仿宋_GB2312" w:hAnsi="宋体" w:eastAsia="仿宋_GB2312" w:cs="Times New Roman"/>
          <w:sz w:val="32"/>
          <w:szCs w:val="32"/>
        </w:rPr>
        <w:t>依据《国务院办公厅关于印发自然资源领域中央与地方财政事权和支出责任划分改革方案的通知》（国办发〔2020〕19号）“地方性自然资源调查监测的组织实施，地方性自然资源信息系统的建设与运行维护，地方基础性、公益性、战略性地质调查，地方基础测绘及地理信息管理等事项，确认为地方财政事权，由地方承担支出责任”的规定，由地方承担支出责任。</w:t>
      </w:r>
    </w:p>
    <w:p w14:paraId="2DC1730E">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kern w:val="0"/>
          <w:sz w:val="32"/>
          <w:szCs w:val="32"/>
        </w:rPr>
        <w:t>按照《攀枝花市自然资源和规划局财务管理办法》规定，规范使用资金。</w:t>
      </w:r>
    </w:p>
    <w:p w14:paraId="179ADAB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4. 资金分配的原则及考虑因素。</w:t>
      </w:r>
      <w:r>
        <w:rPr>
          <w:rFonts w:hint="eastAsia" w:ascii="Times New Roman" w:hAnsi="Times New Roman" w:eastAsia="仿宋_GB2312" w:cs="Times New Roman"/>
          <w:sz w:val="32"/>
          <w:szCs w:val="32"/>
          <w:lang w:val="zh-CN"/>
        </w:rPr>
        <w:t>资金来源为财政资金。</w:t>
      </w:r>
    </w:p>
    <w:p w14:paraId="276B5C1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2D5D72D">
      <w:p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color w:val="000000"/>
          <w:sz w:val="32"/>
          <w:szCs w:val="32"/>
        </w:rPr>
        <w:t>为深入贯彻习近平总书记关于</w:t>
      </w:r>
      <w:r>
        <w:rPr>
          <w:rFonts w:ascii="Times New Roman" w:hAnsi="Times New Roman" w:eastAsia="仿宋_GB2312" w:cs="Times New Roman"/>
          <w:color w:val="000000"/>
          <w:sz w:val="32"/>
          <w:szCs w:val="32"/>
        </w:rPr>
        <w:t>“</w:t>
      </w:r>
      <w:r>
        <w:rPr>
          <w:rFonts w:hint="eastAsia" w:ascii="Times New Roman" w:hAnsi="Times New Roman" w:eastAsia="仿宋_GB2312" w:cs="Times New Roman"/>
          <w:color w:val="000000"/>
          <w:sz w:val="32"/>
          <w:szCs w:val="32"/>
        </w:rPr>
        <w:t>统一底图、统一标准、统一规划、统一平台</w:t>
      </w:r>
      <w:r>
        <w:rPr>
          <w:rFonts w:ascii="Times New Roman" w:hAnsi="Times New Roman" w:eastAsia="仿宋_GB2312" w:cs="Times New Roman"/>
          <w:color w:val="000000"/>
          <w:sz w:val="32"/>
          <w:szCs w:val="32"/>
        </w:rPr>
        <w:t>”</w:t>
      </w:r>
      <w:r>
        <w:rPr>
          <w:rFonts w:hint="eastAsia" w:ascii="Times New Roman" w:hAnsi="Times New Roman" w:eastAsia="仿宋_GB2312" w:cs="Times New Roman"/>
          <w:color w:val="000000"/>
          <w:sz w:val="32"/>
          <w:szCs w:val="32"/>
        </w:rPr>
        <w:t>的重要指示精神，全面落实省委、省政府，市委、市政府有关工作要求，</w:t>
      </w:r>
      <w:r>
        <w:rPr>
          <w:rFonts w:hint="eastAsia" w:ascii="Times New Roman" w:hAnsi="Times New Roman" w:eastAsia="仿宋_GB2312" w:cs="Times New Roman"/>
          <w:sz w:val="32"/>
          <w:szCs w:val="32"/>
        </w:rPr>
        <w:t>并结合《四川省自然资源厅等七部门关于印发</w:t>
      </w:r>
      <w:r>
        <w:rPr>
          <w:rFonts w:hint="eastAsia" w:ascii="仿宋_GB2312" w:hAnsi="Times New Roman" w:eastAsia="仿宋_GB2312" w:cs="Times New Roman"/>
          <w:sz w:val="32"/>
          <w:szCs w:val="32"/>
        </w:rPr>
        <w:t>〈四川省耕地林地园地空间治理“一张图”建设总体方案〉的通知</w:t>
      </w:r>
      <w:r>
        <w:rPr>
          <w:rFonts w:hint="eastAsia" w:ascii="Times New Roman" w:hAnsi="Times New Roman" w:eastAsia="仿宋_GB2312" w:cs="Times New Roman"/>
          <w:sz w:val="32"/>
          <w:szCs w:val="32"/>
        </w:rPr>
        <w:t>》（川自然资发</w:t>
      </w:r>
      <w:r>
        <w:rPr>
          <w:rFonts w:hint="eastAsia" w:ascii="仿宋_GB2312" w:hAnsi="Times New Roman" w:eastAsia="仿宋_GB2312" w:cs="Times New Roman"/>
          <w:sz w:val="32"/>
          <w:szCs w:val="32"/>
        </w:rPr>
        <w:t>〔2025〕11号</w:t>
      </w:r>
      <w:r>
        <w:rPr>
          <w:rFonts w:hint="eastAsia" w:ascii="Times New Roman" w:hAnsi="Times New Roman" w:eastAsia="仿宋_GB2312" w:cs="Times New Roman"/>
          <w:sz w:val="32"/>
          <w:szCs w:val="32"/>
        </w:rPr>
        <w:t>）安排部署，开展全市耕地林地园地空间治理“一张图”建设，厘清全市耕地林地园地管理中存在的问题困难和矛盾冲突，解决长期以来地类重叠、数据打架、管理冲突、权责不清、横向不联动、纵向不衔接等问题，形成各部门共同认可的“一张图”。</w:t>
      </w:r>
    </w:p>
    <w:p w14:paraId="603FC35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71BB2B52">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按照《攀枝花市财政局关于开展市本级预算绩效自评工作的通知》（攀财绩〔</w:t>
      </w:r>
      <w:r>
        <w:rPr>
          <w:rFonts w:ascii="Times New Roman" w:hAnsi="Times New Roman" w:eastAsia="仿宋_GB2312" w:cs="Times New Roman"/>
          <w:sz w:val="32"/>
          <w:szCs w:val="32"/>
          <w:lang w:val="zh-CN"/>
        </w:rPr>
        <w:t>2025</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3</w:t>
      </w:r>
      <w:r>
        <w:rPr>
          <w:rFonts w:hint="eastAsia" w:ascii="Times New Roman" w:hAnsi="Times New Roman" w:eastAsia="仿宋_GB2312" w:cs="Times New Roman"/>
          <w:sz w:val="32"/>
          <w:szCs w:val="32"/>
          <w:lang w:val="zh-CN"/>
        </w:rPr>
        <w:t>号）要求，积极组织开展项目自评工作，通过与项目相关人员座谈或讨论等方法了解项目经费情况，收集相关资料，综合分析相关情况后，对项目决策、项目实施、完成效果、项目效果、社会效益及经济效益等进行评估。</w:t>
      </w:r>
    </w:p>
    <w:p w14:paraId="3E42878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5ADEA27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24D78CEE">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rPr>
        <w:t>项目</w:t>
      </w:r>
      <w:r>
        <w:rPr>
          <w:rFonts w:hint="eastAsia" w:ascii="Times New Roman" w:hAnsi="Times New Roman" w:eastAsia="仿宋_GB2312" w:cs="Times New Roman"/>
          <w:sz w:val="32"/>
          <w:szCs w:val="32"/>
          <w:lang w:val="zh-CN"/>
        </w:rPr>
        <w:t>经费纳入财政预算，我单位按照申请事项和具体工作开展</w:t>
      </w:r>
      <w:r>
        <w:rPr>
          <w:rFonts w:hint="eastAsia" w:ascii="Times New Roman" w:hAnsi="Times New Roman" w:eastAsia="仿宋_GB2312" w:cs="Times New Roman"/>
          <w:sz w:val="32"/>
          <w:szCs w:val="32"/>
        </w:rPr>
        <w:t>情况</w:t>
      </w:r>
      <w:r>
        <w:rPr>
          <w:rFonts w:hint="eastAsia" w:ascii="Times New Roman" w:hAnsi="Times New Roman" w:eastAsia="仿宋_GB2312" w:cs="Times New Roman"/>
          <w:sz w:val="32"/>
          <w:szCs w:val="32"/>
          <w:lang w:val="zh-CN"/>
        </w:rPr>
        <w:t>确定，根据使用进度向财政申请相应资金及时支付。</w:t>
      </w:r>
    </w:p>
    <w:p w14:paraId="19C6F4D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4879772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1</w:t>
      </w:r>
      <w:r>
        <w:rPr>
          <w:rFonts w:hint="eastAsia" w:ascii="Times New Roman" w:hAnsi="Times New Roman" w:eastAsia="楷体_GB2312" w:cs="Times New Roman"/>
          <w:sz w:val="32"/>
          <w:szCs w:val="32"/>
          <w:lang w:val="zh-CN"/>
        </w:rPr>
        <w:t>.</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项目由</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ascii="Times New Roman" w:hAnsi="Times New Roman" w:eastAsia="仿宋_GB2312" w:cs="Times New Roman"/>
          <w:sz w:val="32"/>
          <w:szCs w:val="32"/>
          <w:lang w:val="zh-CN"/>
        </w:rPr>
        <w:t>。</w:t>
      </w:r>
    </w:p>
    <w:p w14:paraId="2804F46D">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楷体_GB2312" w:cs="Times New Roman"/>
          <w:sz w:val="32"/>
          <w:szCs w:val="32"/>
          <w:lang w:val="en-US" w:eastAsia="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rPr>
        <w:t>2025年支付项目进度款10万元</w:t>
      </w:r>
      <w:r>
        <w:rPr>
          <w:rFonts w:ascii="Times New Roman" w:hAnsi="Times New Roman" w:eastAsia="仿宋_GB2312" w:cs="Times New Roman"/>
          <w:sz w:val="32"/>
          <w:szCs w:val="32"/>
          <w:lang w:val="zh-CN"/>
        </w:rPr>
        <w:t>。</w:t>
      </w:r>
    </w:p>
    <w:p w14:paraId="6E7BB59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3</w:t>
      </w:r>
      <w:r>
        <w:rPr>
          <w:rFonts w:hint="eastAsia" w:ascii="Times New Roman" w:hAnsi="Times New Roman" w:eastAsia="楷体_GB2312" w:cs="Times New Roman"/>
          <w:sz w:val="32"/>
          <w:szCs w:val="32"/>
          <w:lang w:val="zh-CN"/>
        </w:rPr>
        <w:t>.</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资金支付范围、支付标准、支付进度、支付依据合规合法、与预算相符。</w:t>
      </w:r>
    </w:p>
    <w:p w14:paraId="6CE3661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1C1994F2">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按照《攀枝花市自然资源和规划局财务管理办法》规定，严格执行财务管理制度，及时财务处理，规范会计核算。</w:t>
      </w:r>
    </w:p>
    <w:p w14:paraId="0DE6054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0EB5DEE">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由</w:t>
      </w:r>
      <w:r>
        <w:rPr>
          <w:rFonts w:hint="eastAsia" w:ascii="Times New Roman" w:hAnsi="Times New Roman" w:eastAsia="仿宋_GB2312" w:cs="Times New Roman"/>
          <w:sz w:val="32"/>
          <w:szCs w:val="32"/>
        </w:rPr>
        <w:t>调查登记科</w:t>
      </w:r>
      <w:r>
        <w:rPr>
          <w:rFonts w:hint="eastAsia" w:ascii="Times New Roman" w:hAnsi="Times New Roman" w:eastAsia="仿宋_GB2312" w:cs="Times New Roman"/>
          <w:sz w:val="32"/>
          <w:szCs w:val="32"/>
          <w:lang w:val="zh-CN"/>
        </w:rPr>
        <w:t>负责项目实施，资金支出严格执行相关规章制度，票据真实有效，会计核算规范。</w:t>
      </w:r>
    </w:p>
    <w:p w14:paraId="3CF71A3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5032112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6D8A705A">
      <w:pPr>
        <w:widowControl w:val="0"/>
        <w:shd w:val="clear" w:color="auto" w:fill="auto"/>
        <w:spacing w:before="0" w:after="0" w:line="580" w:lineRule="exact"/>
        <w:ind w:left="40" w:firstLine="660"/>
        <w:jc w:val="both"/>
        <w:rPr>
          <w:rFonts w:ascii="Times New Roman" w:hAnsi="Times New Roman" w:eastAsia="仿宋_GB2312" w:cs="Times New Roman"/>
          <w:spacing w:val="0"/>
          <w:kern w:val="2"/>
          <w:sz w:val="32"/>
          <w:szCs w:val="32"/>
          <w:lang w:val="en-US" w:eastAsia="zh-CN" w:bidi="ar-SA"/>
        </w:rPr>
      </w:pPr>
      <w:r>
        <w:rPr>
          <w:rFonts w:ascii="Times New Roman" w:hAnsi="Times New Roman" w:eastAsia="仿宋_GB2312" w:cs="Times New Roman"/>
          <w:spacing w:val="0"/>
          <w:kern w:val="2"/>
          <w:sz w:val="32"/>
          <w:szCs w:val="32"/>
          <w:lang w:val="en-US" w:eastAsia="zh-CN" w:bidi="ar-SA"/>
        </w:rPr>
        <w:t>20</w:t>
      </w:r>
      <w:r>
        <w:rPr>
          <w:rFonts w:hint="eastAsia" w:ascii="Times New Roman" w:hAnsi="Times New Roman" w:eastAsia="仿宋_GB2312" w:cs="Times New Roman"/>
          <w:spacing w:val="0"/>
          <w:kern w:val="2"/>
          <w:sz w:val="32"/>
          <w:szCs w:val="32"/>
          <w:lang w:val="en-US" w:eastAsia="zh-CN" w:bidi="ar-SA"/>
        </w:rPr>
        <w:t>25年8月</w:t>
      </w:r>
      <w:r>
        <w:rPr>
          <w:rFonts w:ascii="Times New Roman" w:hAnsi="Times New Roman" w:eastAsia="仿宋_GB2312" w:cs="Times New Roman"/>
          <w:spacing w:val="0"/>
          <w:kern w:val="2"/>
          <w:sz w:val="32"/>
          <w:szCs w:val="32"/>
          <w:lang w:val="en-US" w:eastAsia="zh-CN" w:bidi="ar-SA"/>
        </w:rPr>
        <w:t>25</w:t>
      </w:r>
      <w:r>
        <w:rPr>
          <w:rFonts w:hint="eastAsia" w:ascii="Times New Roman" w:hAnsi="Times New Roman" w:eastAsia="仿宋_GB2312" w:cs="Times New Roman"/>
          <w:spacing w:val="0"/>
          <w:kern w:val="2"/>
          <w:sz w:val="32"/>
          <w:szCs w:val="32"/>
          <w:lang w:val="en-US" w:eastAsia="zh-CN" w:bidi="ar-SA"/>
        </w:rPr>
        <w:t>日，</w:t>
      </w:r>
      <w:bookmarkStart w:id="126" w:name="OLE_LINK38"/>
      <w:bookmarkStart w:id="127" w:name="OLE_LINK37"/>
      <w:r>
        <w:rPr>
          <w:rFonts w:hint="eastAsia" w:ascii="Times New Roman" w:hAnsi="Times New Roman" w:eastAsia="仿宋_GB2312" w:cs="Times New Roman"/>
          <w:spacing w:val="0"/>
          <w:kern w:val="2"/>
          <w:sz w:val="32"/>
          <w:szCs w:val="32"/>
          <w:lang w:val="en-US" w:eastAsia="zh-CN" w:bidi="ar-SA"/>
        </w:rPr>
        <w:t>向省级提交第一轮管理边界试划成果</w:t>
      </w:r>
      <w:bookmarkEnd w:id="126"/>
      <w:bookmarkEnd w:id="127"/>
      <w:r>
        <w:rPr>
          <w:rFonts w:hint="eastAsia" w:ascii="Times New Roman" w:hAnsi="Times New Roman" w:eastAsia="仿宋_GB2312" w:cs="Times New Roman"/>
          <w:spacing w:val="0"/>
          <w:kern w:val="2"/>
          <w:sz w:val="32"/>
          <w:szCs w:val="32"/>
          <w:lang w:val="en-US" w:eastAsia="zh-CN" w:bidi="ar-SA"/>
        </w:rPr>
        <w:t>；2025年10月25日，向省级提交第二轮管理边界试划成果；2025年12月25日，向省级提交第三轮管理边界试划成果。</w:t>
      </w:r>
      <w:r>
        <w:rPr>
          <w:rFonts w:ascii="Times New Roman" w:hAnsi="Times New Roman" w:eastAsia="仿宋_GB2312" w:cs="Times New Roman"/>
          <w:spacing w:val="0"/>
          <w:kern w:val="2"/>
          <w:sz w:val="32"/>
          <w:szCs w:val="32"/>
          <w:lang w:val="en-US" w:eastAsia="zh-CN" w:bidi="ar-SA"/>
        </w:rPr>
        <w:t xml:space="preserve"> </w:t>
      </w:r>
    </w:p>
    <w:p w14:paraId="094F975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2272D9C">
      <w:pPr>
        <w:widowControl w:val="0"/>
        <w:shd w:val="clear" w:color="auto" w:fill="auto"/>
        <w:spacing w:before="0" w:after="0" w:line="580" w:lineRule="exact"/>
        <w:ind w:left="40" w:firstLine="660"/>
        <w:jc w:val="both"/>
        <w:rPr>
          <w:rFonts w:ascii="Times New Roman" w:hAnsi="Times New Roman" w:eastAsia="仿宋_GB2312" w:cs="Times New Roman"/>
          <w:spacing w:val="0"/>
          <w:kern w:val="2"/>
          <w:sz w:val="32"/>
          <w:szCs w:val="32"/>
          <w:lang w:val="en-US" w:eastAsia="zh-CN" w:bidi="ar-SA"/>
        </w:rPr>
      </w:pPr>
      <w:r>
        <w:rPr>
          <w:rFonts w:hint="eastAsia" w:ascii="Times New Roman" w:hAnsi="Times New Roman" w:eastAsia="仿宋_GB2312" w:cs="Times New Roman"/>
          <w:spacing w:val="0"/>
          <w:kern w:val="2"/>
          <w:sz w:val="32"/>
          <w:szCs w:val="32"/>
          <w:lang w:val="en-US" w:eastAsia="zh-CN" w:bidi="ar-SA"/>
        </w:rPr>
        <w:t>按照省级统一要求，全面开展耕地林地园地管理边界试划工作，同步向省级提交相关成果，相关工作受到自然资源厅、市政府充分肯定和通报表扬。通过耕地林地园地管理边界试划项目，全面摸清了自然资源家底，系统分析各部门管理数据矛盾冲突，开展管理边界试划，初步划定全市耕地林地园地管理边界，满足经济社会发展和国土资源管理工作需要。</w:t>
      </w:r>
    </w:p>
    <w:p w14:paraId="0322A4B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53D33F2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F29DA39">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zh-CN"/>
        </w:rPr>
        <w:t>经评价，该项目预算合理，资金管理较好，资金使用总体规范，整体工作发展态势良好，达到预期目标。</w:t>
      </w:r>
    </w:p>
    <w:p w14:paraId="17F4DCD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6FDD7E3B">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5802DB4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22FC1515">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3C7C4F1D">
      <w:pPr>
        <w:rPr>
          <w:rFonts w:ascii="Times New Roman" w:hAnsi="Times New Roman" w:eastAsia="仿宋_GB2312" w:cs="Times New Roman"/>
          <w:sz w:val="32"/>
          <w:szCs w:val="32"/>
        </w:rPr>
      </w:pPr>
    </w:p>
    <w:p w14:paraId="7658A8F4">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05054756">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5BD36C31">
      <w:pPr>
        <w:widowControl w:val="0"/>
        <w:spacing w:line="600" w:lineRule="exact"/>
        <w:ind w:firstLine="883"/>
        <w:jc w:val="center"/>
        <w:rPr>
          <w:rFonts w:hint="eastAsia"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zh-CN" w:eastAsia="zh-CN" w:bidi="ar-SA"/>
        </w:rPr>
        <w:t>专项预算项目支出绩效自评报告</w:t>
      </w:r>
    </w:p>
    <w:p w14:paraId="6A87B33F">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攀枝花市国土空间总体规划（2021</w:t>
      </w:r>
      <w:r>
        <w:rPr>
          <w:rFonts w:hint="eastAsia"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2035年）项目</w:t>
      </w:r>
      <w:r>
        <w:rPr>
          <w:rFonts w:ascii="Times New Roman" w:hAnsi="Times New Roman" w:eastAsia="仿宋_GB2312" w:cs="Times New Roman"/>
          <w:color w:val="auto"/>
          <w:kern w:val="2"/>
          <w:sz w:val="32"/>
          <w:szCs w:val="32"/>
          <w:lang w:val="zh-CN" w:eastAsia="zh-CN" w:bidi="ar-SA"/>
        </w:rPr>
        <w:t>）</w:t>
      </w:r>
    </w:p>
    <w:p w14:paraId="0692BBC4">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343AD4C0">
      <w:pPr>
        <w:adjustRightInd w:val="0"/>
        <w:snapToGrid w:val="0"/>
        <w:spacing w:line="600" w:lineRule="exact"/>
        <w:ind w:firstLine="720"/>
        <w:rPr>
          <w:rFonts w:eastAsia="黑体"/>
          <w:sz w:val="32"/>
          <w:szCs w:val="32"/>
          <w:lang w:val="zh-CN"/>
        </w:rPr>
      </w:pPr>
      <w:r>
        <w:rPr>
          <w:rFonts w:eastAsia="黑体"/>
          <w:sz w:val="32"/>
          <w:szCs w:val="32"/>
        </w:rPr>
        <w:t>一、</w:t>
      </w:r>
      <w:r>
        <w:rPr>
          <w:rFonts w:eastAsia="黑体"/>
          <w:sz w:val="32"/>
          <w:szCs w:val="32"/>
          <w:lang w:val="zh-CN"/>
        </w:rPr>
        <w:t>项目概况</w:t>
      </w:r>
    </w:p>
    <w:p w14:paraId="6B362A3E">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（一）项目基本情况。</w:t>
      </w:r>
    </w:p>
    <w:p w14:paraId="53E9EFFA">
      <w:pPr>
        <w:keepNext w:val="0"/>
        <w:keepLines w:val="0"/>
        <w:pageBreakBefore w:val="0"/>
        <w:kinsoku/>
        <w:overflowPunct/>
        <w:topLinePunct w:val="0"/>
        <w:bidi w:val="0"/>
        <w:snapToGrid/>
        <w:spacing w:line="600" w:lineRule="exact"/>
        <w:ind w:firstLine="640"/>
        <w:textAlignment w:val="auto"/>
        <w:rPr>
          <w:rFonts w:eastAsia="仿宋_GB2312"/>
          <w:sz w:val="32"/>
          <w:szCs w:val="32"/>
          <w:lang w:val="zh-CN"/>
        </w:rPr>
      </w:pPr>
      <w:r>
        <w:rPr>
          <w:rFonts w:hint="eastAsia" w:eastAsia="仿宋_GB2312"/>
          <w:sz w:val="32"/>
          <w:szCs w:val="32"/>
          <w:lang w:val="zh-CN"/>
        </w:rPr>
        <w:t>1.</w:t>
      </w:r>
      <w:r>
        <w:rPr>
          <w:rFonts w:hint="default" w:ascii="Times New Roman" w:hAnsi="Times New Roman" w:eastAsia="仿宋_GB2312" w:cs="Times New Roman"/>
          <w:color w:val="auto"/>
          <w:sz w:val="32"/>
          <w:szCs w:val="32"/>
          <w:lang w:val="en-US" w:eastAsia="zh-CN"/>
        </w:rPr>
        <w:t>为深入贯彻落实习近平总书记对四川工作系列重要指示精神和党中央、国务院关于国土空间规划编制的决策部署，加快构建全省</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四级三类</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国土空间规划体系，按照《中共中央 国务院关于建立国土空间规划体系并监督实施的若干意见》（中发 〔2019〕18号）、《自然资源部关于全面开展国土空间规划工作的通知》（自然资发〔2019〕87号）等文件精神</w:t>
      </w:r>
      <w:r>
        <w:rPr>
          <w:rFonts w:hint="eastAsia" w:eastAsia="仿宋_GB2312" w:cs="Times New Roman"/>
          <w:color w:val="auto"/>
          <w:sz w:val="32"/>
          <w:szCs w:val="32"/>
          <w:lang w:val="en-US" w:eastAsia="zh-CN"/>
        </w:rPr>
        <w:t>。市政府作为编制主体，市自然资源和规划局承担具体编制任务，</w:t>
      </w:r>
      <w:r>
        <w:rPr>
          <w:rFonts w:hint="default" w:ascii="Times New Roman" w:hAnsi="Times New Roman" w:eastAsia="仿宋_GB2312" w:cs="Times New Roman"/>
          <w:color w:val="auto"/>
          <w:sz w:val="32"/>
          <w:szCs w:val="32"/>
          <w:lang w:val="en-US" w:eastAsia="zh-CN"/>
        </w:rPr>
        <w:t>全力推进市级国土空间总体规划编制工作</w:t>
      </w:r>
      <w:r>
        <w:rPr>
          <w:rFonts w:hint="eastAsia" w:eastAsia="仿宋_GB2312" w:cs="Times New Roman"/>
          <w:color w:val="auto"/>
          <w:sz w:val="32"/>
          <w:szCs w:val="32"/>
          <w:lang w:val="en-US" w:eastAsia="zh-CN"/>
        </w:rPr>
        <w:t>。</w:t>
      </w:r>
    </w:p>
    <w:p w14:paraId="59044FFC">
      <w:pPr>
        <w:keepNext w:val="0"/>
        <w:keepLines w:val="0"/>
        <w:pageBreakBefore w:val="0"/>
        <w:kinsoku/>
        <w:overflowPunct/>
        <w:topLinePunct w:val="0"/>
        <w:bidi w:val="0"/>
        <w:snapToGrid/>
        <w:spacing w:line="600" w:lineRule="exact"/>
        <w:ind w:firstLine="640"/>
        <w:textAlignment w:val="auto"/>
        <w:rPr>
          <w:rFonts w:eastAsia="仿宋_GB2312"/>
          <w:sz w:val="32"/>
          <w:szCs w:val="32"/>
          <w:lang w:val="zh-CN"/>
        </w:rPr>
      </w:pPr>
      <w:r>
        <w:rPr>
          <w:rFonts w:eastAsia="仿宋_GB2312"/>
          <w:sz w:val="32"/>
          <w:szCs w:val="32"/>
          <w:lang w:val="zh-CN"/>
        </w:rPr>
        <w:t xml:space="preserve">2. </w:t>
      </w:r>
      <w:r>
        <w:rPr>
          <w:rFonts w:hint="default" w:ascii="Times New Roman" w:hAnsi="Times New Roman" w:eastAsia="仿宋_GB2312" w:cs="Times New Roman"/>
          <w:color w:val="auto"/>
          <w:sz w:val="32"/>
          <w:szCs w:val="32"/>
          <w:lang w:val="en-US" w:eastAsia="zh-CN"/>
        </w:rPr>
        <w:t>并根据《自然资源部关于市级国土空间总体规划编制指南（试行）》《四川省市县国土空间总体规划编制办法（2022年修订版）》《四川省市县国土空间总体规划审查要点》等文件要求，形成《攀枝花市国土空间总体规划（2021—2035年）（送审稿）》（以下简称《规划》）。</w:t>
      </w:r>
    </w:p>
    <w:p w14:paraId="71B477A6">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3.按照《攀枝花市自然资源和规划局财务管理办法》规定，规范使用资金</w:t>
      </w:r>
      <w:r>
        <w:rPr>
          <w:rFonts w:eastAsia="仿宋_GB2312"/>
          <w:sz w:val="32"/>
          <w:szCs w:val="32"/>
          <w:lang w:val="zh-CN"/>
        </w:rPr>
        <w:t>。</w:t>
      </w:r>
    </w:p>
    <w:p w14:paraId="1AF7AA92">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（二）项目绩效目标。</w:t>
      </w:r>
    </w:p>
    <w:p w14:paraId="4A6A240D">
      <w:pPr>
        <w:keepNext w:val="0"/>
        <w:keepLines w:val="0"/>
        <w:pageBreakBefore w:val="0"/>
        <w:widowControl/>
        <w:kinsoku/>
        <w:wordWrap/>
        <w:overflowPunct/>
        <w:topLinePunct w:val="0"/>
        <w:autoSpaceDE w:val="0"/>
        <w:autoSpaceDN w:val="0"/>
        <w:bidi w:val="0"/>
        <w:adjustRightInd w:val="0"/>
        <w:snapToGrid/>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规划》认真贯彻党的二十大精神及省、市最新要求，充分衔接《全国国土空间规划纲要（2021—2035年）》《四川省国土空间规划（2021—2035年）》《安宁河流域国土空间规划（2022—2035年）》等上位规划，对全市国土空间保护利用进行了总体安排布局。《规划》成果由文本、图集、规划说明、专题研究等部分组成，其中文本共二十六章，分为五个部分。</w:t>
      </w:r>
    </w:p>
    <w:p w14:paraId="298E3D0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第一部分为现状与形势</w:t>
      </w:r>
      <w:r>
        <w:rPr>
          <w:rFonts w:hint="default" w:ascii="Times New Roman" w:hAnsi="Times New Roman" w:eastAsia="仿宋_GB2312" w:cs="Times New Roman"/>
          <w:color w:val="auto"/>
          <w:kern w:val="2"/>
          <w:sz w:val="32"/>
          <w:szCs w:val="32"/>
          <w:lang w:val="en-US" w:eastAsia="zh-CN" w:bidi="ar-SA"/>
        </w:rPr>
        <w:t>，共两章，主要内容为总结我市国土空间和自然资源的基本特征，开展底图底数整理和基础评价，梳理新时期建设发展的优势与机遇，厘清国土空间规划工作面临的机遇与挑战。</w:t>
      </w:r>
    </w:p>
    <w:p w14:paraId="6FB02FCA">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第二部分为战略与目标</w:t>
      </w:r>
      <w:r>
        <w:rPr>
          <w:rFonts w:hint="default" w:ascii="Times New Roman" w:hAnsi="Times New Roman" w:eastAsia="仿宋_GB2312" w:cs="Times New Roman"/>
          <w:color w:val="auto"/>
          <w:kern w:val="2"/>
          <w:sz w:val="32"/>
          <w:szCs w:val="32"/>
          <w:lang w:val="en-US" w:eastAsia="zh-CN" w:bidi="ar-SA"/>
        </w:rPr>
        <w:t>，共三章，主要内容为明确规划依据、指导思想、基本原则，提出我市</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‘天府第二粮仓’重要承载地、四川南向开放门户、世界级钒钛产业基地、阳光康养旅游目的地、全国重要的清洁能源基地</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的战略定位，以及</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川西南滇西北现代化区域中心城市、钒钛引领的区域产业创新中心、阳光康养特色的高品质山水宜居地</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的城市性质，围绕扎实推进共同富裕，相应明确国土空间保护与开发的近期、远期、远景规划目标和战略。</w:t>
      </w:r>
    </w:p>
    <w:p w14:paraId="2DCAE31C">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第三部分为市域规划</w:t>
      </w:r>
      <w:r>
        <w:rPr>
          <w:rFonts w:hint="default" w:ascii="Times New Roman" w:hAnsi="Times New Roman" w:eastAsia="仿宋_GB2312" w:cs="Times New Roman"/>
          <w:color w:val="auto"/>
          <w:kern w:val="2"/>
          <w:sz w:val="32"/>
          <w:szCs w:val="32"/>
          <w:lang w:val="en-US" w:eastAsia="zh-CN" w:bidi="ar-SA"/>
        </w:rPr>
        <w:t>，共八章，聚焦重点为市域，主要内容包括</w:t>
      </w:r>
      <w:bookmarkStart w:id="128" w:name="_Toc126706981"/>
      <w:r>
        <w:rPr>
          <w:rFonts w:hint="default" w:ascii="Times New Roman" w:hAnsi="Times New Roman" w:eastAsia="仿宋_GB2312" w:cs="Times New Roman"/>
          <w:color w:val="auto"/>
          <w:kern w:val="2"/>
          <w:sz w:val="32"/>
          <w:szCs w:val="32"/>
          <w:lang w:val="en-US" w:eastAsia="zh-CN" w:bidi="ar-SA"/>
        </w:rPr>
        <w:t>加强区域协同、推动高水平对外开放</w:t>
      </w:r>
      <w:bookmarkEnd w:id="128"/>
      <w:r>
        <w:rPr>
          <w:rFonts w:hint="default" w:ascii="Times New Roman" w:hAnsi="Times New Roman" w:eastAsia="仿宋_GB2312" w:cs="Times New Roman"/>
          <w:color w:val="auto"/>
          <w:kern w:val="2"/>
          <w:sz w:val="32"/>
          <w:szCs w:val="32"/>
          <w:lang w:val="en-US" w:eastAsia="zh-CN" w:bidi="ar-SA"/>
        </w:rPr>
        <w:t>，</w:t>
      </w:r>
      <w:bookmarkStart w:id="129" w:name="_Toc126706986"/>
      <w:r>
        <w:rPr>
          <w:rFonts w:hint="default" w:ascii="Times New Roman" w:hAnsi="Times New Roman" w:eastAsia="仿宋_GB2312" w:cs="Times New Roman"/>
          <w:color w:val="auto"/>
          <w:kern w:val="2"/>
          <w:sz w:val="32"/>
          <w:szCs w:val="32"/>
          <w:lang w:val="en-US" w:eastAsia="zh-CN" w:bidi="ar-SA"/>
        </w:rPr>
        <w:t>以</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三区三线</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为基础、优化国土空间格局</w:t>
      </w:r>
      <w:bookmarkEnd w:id="129"/>
      <w:r>
        <w:rPr>
          <w:rFonts w:hint="default" w:ascii="Times New Roman" w:hAnsi="Times New Roman" w:eastAsia="仿宋_GB2312" w:cs="Times New Roman"/>
          <w:color w:val="auto"/>
          <w:kern w:val="2"/>
          <w:sz w:val="32"/>
          <w:szCs w:val="32"/>
          <w:lang w:val="en-US" w:eastAsia="zh-CN" w:bidi="ar-SA"/>
        </w:rPr>
        <w:t>，</w:t>
      </w:r>
      <w:bookmarkStart w:id="130" w:name="_Toc126706992"/>
      <w:r>
        <w:rPr>
          <w:rFonts w:hint="default" w:ascii="Times New Roman" w:hAnsi="Times New Roman" w:eastAsia="仿宋_GB2312" w:cs="Times New Roman"/>
          <w:color w:val="auto"/>
          <w:kern w:val="2"/>
          <w:sz w:val="32"/>
          <w:szCs w:val="32"/>
          <w:lang w:val="en-US" w:eastAsia="zh-CN" w:bidi="ar-SA"/>
        </w:rPr>
        <w:t>夯实</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天府第二粮仓</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空间基础、支持推进乡村振兴</w:t>
      </w:r>
      <w:bookmarkEnd w:id="130"/>
      <w:r>
        <w:rPr>
          <w:rFonts w:hint="default" w:ascii="Times New Roman" w:hAnsi="Times New Roman" w:eastAsia="仿宋_GB2312" w:cs="Times New Roman"/>
          <w:color w:val="auto"/>
          <w:kern w:val="2"/>
          <w:sz w:val="32"/>
          <w:szCs w:val="32"/>
          <w:lang w:val="en-US" w:eastAsia="zh-CN" w:bidi="ar-SA"/>
        </w:rPr>
        <w:t>，</w:t>
      </w:r>
      <w:bookmarkStart w:id="131" w:name="_Toc126706997"/>
      <w:bookmarkStart w:id="132" w:name="_Toc120196621"/>
      <w:r>
        <w:rPr>
          <w:rFonts w:hint="default" w:ascii="Times New Roman" w:hAnsi="Times New Roman" w:eastAsia="仿宋_GB2312" w:cs="Times New Roman"/>
          <w:color w:val="auto"/>
          <w:kern w:val="2"/>
          <w:sz w:val="32"/>
          <w:szCs w:val="32"/>
          <w:lang w:val="en-US" w:eastAsia="zh-CN" w:bidi="ar-SA"/>
        </w:rPr>
        <w:t>筑牢长江上游生态屏障、保护山清水秀生态空间</w:t>
      </w:r>
      <w:bookmarkEnd w:id="131"/>
      <w:bookmarkEnd w:id="132"/>
      <w:r>
        <w:rPr>
          <w:rFonts w:hint="default" w:ascii="Times New Roman" w:hAnsi="Times New Roman" w:eastAsia="仿宋_GB2312" w:cs="Times New Roman"/>
          <w:color w:val="auto"/>
          <w:kern w:val="2"/>
          <w:sz w:val="32"/>
          <w:szCs w:val="32"/>
          <w:lang w:val="en-US" w:eastAsia="zh-CN" w:bidi="ar-SA"/>
        </w:rPr>
        <w:t>，</w:t>
      </w:r>
      <w:bookmarkStart w:id="133" w:name="_Toc126707003"/>
      <w:r>
        <w:rPr>
          <w:rFonts w:hint="default" w:ascii="Times New Roman" w:hAnsi="Times New Roman" w:eastAsia="仿宋_GB2312" w:cs="Times New Roman"/>
          <w:color w:val="auto"/>
          <w:kern w:val="2"/>
          <w:sz w:val="32"/>
          <w:szCs w:val="32"/>
          <w:lang w:val="en-US" w:eastAsia="zh-CN" w:bidi="ar-SA"/>
        </w:rPr>
        <w:t>强化河谷城镇集约集聚、支撑新型城镇化发展</w:t>
      </w:r>
      <w:bookmarkEnd w:id="133"/>
      <w:r>
        <w:rPr>
          <w:rFonts w:hint="default" w:ascii="Times New Roman" w:hAnsi="Times New Roman" w:eastAsia="仿宋_GB2312" w:cs="Times New Roman"/>
          <w:color w:val="auto"/>
          <w:kern w:val="2"/>
          <w:sz w:val="32"/>
          <w:szCs w:val="32"/>
          <w:lang w:val="en-US" w:eastAsia="zh-CN" w:bidi="ar-SA"/>
        </w:rPr>
        <w:t>、守好安全底线、强化支撑体系和展现魅力风貌等内容。</w:t>
      </w:r>
    </w:p>
    <w:p w14:paraId="2B8E634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第四部分为中心城区规划</w:t>
      </w:r>
      <w:r>
        <w:rPr>
          <w:rFonts w:hint="default" w:ascii="Times New Roman" w:hAnsi="Times New Roman" w:eastAsia="仿宋_GB2312" w:cs="Times New Roman"/>
          <w:color w:val="auto"/>
          <w:kern w:val="2"/>
          <w:sz w:val="32"/>
          <w:szCs w:val="32"/>
          <w:lang w:val="en-US" w:eastAsia="zh-CN" w:bidi="ar-SA"/>
        </w:rPr>
        <w:t>，共九章，聚焦重点为中心城区，主要内容包括科学确定城市规模，优化中心城区各类用地布局，构建绿地与开敞空间系统，彰显城市特色景观风貌，畅通综合交通体系，支撑</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双枢纽</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打造，完善基础设施体系，增强综合防灾能力，严格</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四线</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仿宋_GB2312" w:cs="Times New Roman"/>
          <w:color w:val="auto"/>
          <w:kern w:val="2"/>
          <w:sz w:val="32"/>
          <w:szCs w:val="32"/>
          <w:lang w:val="en-US" w:eastAsia="zh-CN" w:bidi="ar-SA"/>
        </w:rPr>
        <w:t>管控等内容。</w:t>
      </w:r>
    </w:p>
    <w:p w14:paraId="14ADB8F2">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第五部分为实施保障</w:t>
      </w:r>
      <w:r>
        <w:rPr>
          <w:rFonts w:hint="default" w:ascii="Times New Roman" w:hAnsi="Times New Roman" w:eastAsia="仿宋_GB2312" w:cs="Times New Roman"/>
          <w:color w:val="auto"/>
          <w:kern w:val="2"/>
          <w:sz w:val="32"/>
          <w:szCs w:val="32"/>
          <w:lang w:val="en-US" w:eastAsia="zh-CN" w:bidi="ar-SA"/>
        </w:rPr>
        <w:t>，共四章，主要内容为完善体制机制、保障规划有效实施；完善规划体系，加强市级规划对县（区）和专项规划的传导管控；创新规划管理，强化政策保障，维护规划的严肃性和权威性；强化信息化管理，建立国土空间基础信息平台；结合市域开发保护策略与布局，推动近期建设与项目落地。</w:t>
      </w:r>
    </w:p>
    <w:p w14:paraId="4D33A28F">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（三）项目自评步骤及方法。</w:t>
      </w:r>
    </w:p>
    <w:p w14:paraId="74D8F1CF">
      <w:pPr>
        <w:adjustRightInd w:val="0"/>
        <w:snapToGrid w:val="0"/>
        <w:spacing w:line="600" w:lineRule="exact"/>
        <w:ind w:firstLine="720"/>
        <w:rPr>
          <w:rFonts w:hint="eastAsia" w:eastAsia="仿宋_GB2312"/>
          <w:sz w:val="32"/>
          <w:szCs w:val="32"/>
          <w:lang w:val="zh-CN"/>
        </w:rPr>
      </w:pPr>
      <w:r>
        <w:rPr>
          <w:rFonts w:hint="eastAsia" w:eastAsia="仿宋_GB2312"/>
          <w:sz w:val="32"/>
          <w:szCs w:val="32"/>
          <w:lang w:val="zh-CN"/>
        </w:rPr>
        <w:t>按照《攀枝花市财政局关于开展市本级预算绩效自评工作的通知》（攀财绩〔2025〕3号）要求，积极组织开展项目自评工作，通过与项目相关人员座谈或讨论等方法了解项目经费情况，收集相关资料，综合分析相关情况后，对项目决策、项目实施、完成效果、项目效果、社会效益及经济效益等进行评估。</w:t>
      </w:r>
    </w:p>
    <w:p w14:paraId="7613D2C6">
      <w:pPr>
        <w:adjustRightInd w:val="0"/>
        <w:snapToGrid w:val="0"/>
        <w:spacing w:line="600" w:lineRule="exact"/>
        <w:ind w:firstLine="720"/>
        <w:rPr>
          <w:rFonts w:eastAsia="黑体"/>
          <w:sz w:val="32"/>
          <w:szCs w:val="32"/>
        </w:rPr>
      </w:pPr>
      <w:r>
        <w:rPr>
          <w:rFonts w:eastAsia="黑体"/>
          <w:sz w:val="32"/>
          <w:szCs w:val="32"/>
        </w:rPr>
        <w:t>二、项目资金申报及使用情况</w:t>
      </w:r>
    </w:p>
    <w:p w14:paraId="1E978334">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（一）项目资金申报及批复情况。</w:t>
      </w:r>
    </w:p>
    <w:p w14:paraId="5992F1C6">
      <w:pPr>
        <w:adjustRightInd w:val="0"/>
        <w:snapToGrid w:val="0"/>
        <w:spacing w:line="600" w:lineRule="exact"/>
        <w:ind w:firstLine="720"/>
        <w:rPr>
          <w:rFonts w:ascii="Times New Roman" w:hAnsi="Times New Roman" w:eastAsia="仿宋_GB2312"/>
          <w:color w:val="auto"/>
          <w:sz w:val="32"/>
          <w:szCs w:val="32"/>
        </w:rPr>
      </w:pPr>
      <w:r>
        <w:rPr>
          <w:rFonts w:hint="eastAsia" w:eastAsia="仿宋_GB2312"/>
          <w:color w:val="auto"/>
          <w:sz w:val="32"/>
          <w:szCs w:val="32"/>
          <w:lang w:val="en-US" w:eastAsia="zh-CN"/>
        </w:rPr>
        <w:t>项目资金为市级财政资金，并纳入2025年财政预算</w:t>
      </w:r>
      <w:r>
        <w:rPr>
          <w:rFonts w:ascii="Times New Roman" w:hAnsi="Times New Roman" w:eastAsia="仿宋_GB2312"/>
          <w:color w:val="auto"/>
          <w:sz w:val="32"/>
          <w:szCs w:val="32"/>
        </w:rPr>
        <w:t>。</w:t>
      </w:r>
    </w:p>
    <w:p w14:paraId="7147A950">
      <w:pPr>
        <w:adjustRightInd w:val="0"/>
        <w:snapToGrid w:val="0"/>
        <w:spacing w:line="600" w:lineRule="exact"/>
        <w:ind w:firstLine="720"/>
        <w:rPr>
          <w:rFonts w:eastAsia="仿宋_GB2312"/>
          <w:sz w:val="32"/>
          <w:szCs w:val="32"/>
          <w:lang w:val="zh-CN"/>
        </w:rPr>
      </w:pPr>
      <w:r>
        <w:rPr>
          <w:rFonts w:eastAsia="楷体_GB2312"/>
          <w:b/>
          <w:sz w:val="32"/>
          <w:szCs w:val="32"/>
          <w:lang w:val="zh-CN"/>
        </w:rPr>
        <w:t>（二）资金计划、到位及使用情况（可用表格形式反映）。</w:t>
      </w:r>
    </w:p>
    <w:p w14:paraId="75A0100F">
      <w:pPr>
        <w:adjustRightInd w:val="0"/>
        <w:snapToGrid w:val="0"/>
        <w:spacing w:line="600" w:lineRule="exact"/>
        <w:ind w:firstLine="720"/>
        <w:rPr>
          <w:rFonts w:eastAsia="仿宋_GB2312"/>
          <w:sz w:val="32"/>
          <w:szCs w:val="32"/>
          <w:lang w:val="zh-CN"/>
        </w:rPr>
      </w:pPr>
      <w:r>
        <w:rPr>
          <w:rFonts w:hint="eastAsia" w:eastAsia="楷体_GB2312"/>
          <w:sz w:val="32"/>
          <w:szCs w:val="32"/>
          <w:lang w:val="zh-CN"/>
        </w:rPr>
        <w:t>1.</w:t>
      </w:r>
      <w:r>
        <w:rPr>
          <w:rFonts w:eastAsia="楷体_GB2312"/>
          <w:sz w:val="32"/>
          <w:szCs w:val="32"/>
          <w:lang w:val="zh-CN"/>
        </w:rPr>
        <w:t>资金计划</w:t>
      </w:r>
      <w:r>
        <w:rPr>
          <w:rFonts w:hint="eastAsia" w:eastAsia="楷体_GB2312"/>
          <w:sz w:val="32"/>
          <w:szCs w:val="32"/>
          <w:lang w:val="zh-CN"/>
        </w:rPr>
        <w:t>。</w:t>
      </w:r>
      <w:r>
        <w:rPr>
          <w:rFonts w:hint="eastAsia" w:eastAsia="仿宋_GB2312"/>
          <w:sz w:val="32"/>
          <w:szCs w:val="32"/>
          <w:lang w:val="zh-CN"/>
        </w:rPr>
        <w:t>项目由</w:t>
      </w:r>
      <w:r>
        <w:rPr>
          <w:rFonts w:hint="eastAsia" w:eastAsia="仿宋_GB2312"/>
          <w:sz w:val="32"/>
          <w:szCs w:val="32"/>
          <w:lang w:val="en-US" w:eastAsia="zh-CN"/>
        </w:rPr>
        <w:t>市级</w:t>
      </w:r>
      <w:r>
        <w:rPr>
          <w:rFonts w:hint="eastAsia" w:eastAsia="仿宋_GB2312"/>
          <w:sz w:val="32"/>
          <w:szCs w:val="32"/>
          <w:lang w:val="zh-CN"/>
        </w:rPr>
        <w:t>财政资金保障。</w:t>
      </w:r>
    </w:p>
    <w:p w14:paraId="73ECAEC9">
      <w:pPr>
        <w:adjustRightInd w:val="0"/>
        <w:snapToGrid w:val="0"/>
        <w:spacing w:line="600" w:lineRule="exact"/>
        <w:ind w:firstLine="720"/>
        <w:rPr>
          <w:rFonts w:hint="eastAsia" w:eastAsia="仿宋_GB2312"/>
          <w:sz w:val="32"/>
          <w:szCs w:val="32"/>
          <w:lang w:val="en-US" w:eastAsia="zh-CN"/>
        </w:rPr>
      </w:pPr>
      <w:r>
        <w:rPr>
          <w:rFonts w:hint="eastAsia" w:eastAsia="楷体_GB2312"/>
          <w:sz w:val="32"/>
          <w:szCs w:val="32"/>
          <w:lang w:val="zh-CN"/>
        </w:rPr>
        <w:t>2.</w:t>
      </w:r>
      <w:r>
        <w:rPr>
          <w:rFonts w:eastAsia="楷体_GB2312"/>
          <w:sz w:val="32"/>
          <w:szCs w:val="32"/>
          <w:lang w:val="zh-CN"/>
        </w:rPr>
        <w:t>资金到位。</w:t>
      </w:r>
      <w:r>
        <w:rPr>
          <w:rFonts w:hint="eastAsia" w:eastAsia="仿宋_GB2312"/>
          <w:sz w:val="32"/>
          <w:szCs w:val="32"/>
          <w:lang w:val="en-US" w:eastAsia="zh-CN"/>
        </w:rPr>
        <w:t>资金到位及时。</w:t>
      </w:r>
    </w:p>
    <w:p w14:paraId="4F8DF69D">
      <w:pPr>
        <w:adjustRightInd w:val="0"/>
        <w:snapToGrid w:val="0"/>
        <w:spacing w:line="600" w:lineRule="exact"/>
        <w:ind w:firstLine="720"/>
        <w:rPr>
          <w:rFonts w:hint="eastAsia" w:eastAsia="仿宋_GB2312"/>
          <w:sz w:val="32"/>
          <w:szCs w:val="32"/>
          <w:lang w:val="en-US" w:eastAsia="zh-CN"/>
        </w:rPr>
      </w:pPr>
      <w:r>
        <w:rPr>
          <w:rFonts w:hint="eastAsia" w:eastAsia="楷体_GB2312"/>
          <w:sz w:val="32"/>
          <w:szCs w:val="32"/>
          <w:lang w:val="zh-CN"/>
        </w:rPr>
        <w:t>3.</w:t>
      </w:r>
      <w:r>
        <w:rPr>
          <w:rFonts w:eastAsia="楷体_GB2312"/>
          <w:sz w:val="32"/>
          <w:szCs w:val="32"/>
          <w:lang w:val="zh-CN"/>
        </w:rPr>
        <w:t>资金使用。</w:t>
      </w:r>
      <w:r>
        <w:rPr>
          <w:rFonts w:hint="eastAsia" w:eastAsia="仿宋_GB2312"/>
          <w:sz w:val="32"/>
          <w:szCs w:val="32"/>
          <w:lang w:val="zh-CN"/>
        </w:rPr>
        <w:t>资金支付范围、支付标准、支付进度、支付依据合规合法、与预算相符。</w:t>
      </w:r>
      <w:r>
        <w:rPr>
          <w:rFonts w:hint="eastAsia" w:eastAsia="仿宋_GB2312"/>
          <w:sz w:val="32"/>
          <w:szCs w:val="32"/>
          <w:lang w:val="en-US" w:eastAsia="zh-CN"/>
        </w:rPr>
        <w:t xml:space="preserve"> </w:t>
      </w:r>
    </w:p>
    <w:p w14:paraId="0C079EB8">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（三）项目财务管理情况。</w:t>
      </w:r>
    </w:p>
    <w:p w14:paraId="632B9AC5">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按照《攀枝花市自然资源和规划局财务管理办法》规定，严格执行财务管理制度，及时财务处理，规范会计核算。</w:t>
      </w:r>
    </w:p>
    <w:p w14:paraId="381E4CD6">
      <w:pPr>
        <w:adjustRightInd w:val="0"/>
        <w:snapToGrid w:val="0"/>
        <w:spacing w:line="600" w:lineRule="exact"/>
        <w:ind w:firstLine="720"/>
        <w:rPr>
          <w:rFonts w:eastAsia="黑体"/>
          <w:sz w:val="32"/>
          <w:szCs w:val="32"/>
        </w:rPr>
      </w:pPr>
      <w:r>
        <w:rPr>
          <w:rFonts w:eastAsia="黑体"/>
          <w:sz w:val="32"/>
          <w:szCs w:val="32"/>
        </w:rPr>
        <w:t>三、项目实施及管理情况</w:t>
      </w:r>
    </w:p>
    <w:p w14:paraId="63C410BD">
      <w:pPr>
        <w:adjustRightInd w:val="0"/>
        <w:snapToGrid w:val="0"/>
        <w:spacing w:line="600" w:lineRule="exact"/>
        <w:ind w:firstLine="720"/>
        <w:rPr>
          <w:rFonts w:hint="default" w:eastAsia="仿宋_GB2312"/>
          <w:sz w:val="32"/>
          <w:szCs w:val="32"/>
          <w:lang w:val="en-US" w:eastAsia="zh-CN"/>
        </w:rPr>
      </w:pPr>
      <w:r>
        <w:rPr>
          <w:rFonts w:eastAsia="楷体_GB2312"/>
          <w:b/>
          <w:sz w:val="32"/>
          <w:szCs w:val="32"/>
          <w:lang w:val="zh-CN"/>
        </w:rPr>
        <w:t>（一）项目组织架构及实施流程。</w:t>
      </w:r>
      <w:r>
        <w:rPr>
          <w:rFonts w:hint="eastAsia" w:eastAsia="仿宋_GB2312"/>
          <w:sz w:val="32"/>
          <w:szCs w:val="32"/>
          <w:lang w:val="en-US" w:eastAsia="zh-CN"/>
        </w:rPr>
        <w:t>规划</w:t>
      </w:r>
      <w:r>
        <w:rPr>
          <w:rFonts w:hint="eastAsia" w:eastAsia="仿宋_GB2312"/>
          <w:sz w:val="32"/>
          <w:szCs w:val="32"/>
          <w:lang w:val="zh-CN"/>
        </w:rPr>
        <w:t>由</w:t>
      </w:r>
      <w:r>
        <w:rPr>
          <w:rFonts w:hint="eastAsia" w:eastAsia="仿宋_GB2312"/>
          <w:sz w:val="32"/>
          <w:szCs w:val="32"/>
          <w:lang w:val="en-US" w:eastAsia="zh-CN"/>
        </w:rPr>
        <w:t>市自然资源和规划局国土空间规划管理科具体</w:t>
      </w:r>
      <w:r>
        <w:rPr>
          <w:rFonts w:hint="eastAsia" w:eastAsia="仿宋_GB2312"/>
          <w:sz w:val="32"/>
          <w:szCs w:val="32"/>
          <w:lang w:val="zh-CN"/>
        </w:rPr>
        <w:t>负责，</w:t>
      </w:r>
      <w:r>
        <w:rPr>
          <w:rFonts w:hint="eastAsia" w:eastAsia="仿宋_GB2312"/>
          <w:sz w:val="32"/>
          <w:szCs w:val="32"/>
          <w:lang w:val="en-US" w:eastAsia="zh-CN"/>
        </w:rPr>
        <w:t>并已按程序开展项目采购、方案编制，完成省、市两级审查、公示、公布等工作。</w:t>
      </w:r>
    </w:p>
    <w:p w14:paraId="5B5DCB50">
      <w:pPr>
        <w:adjustRightInd w:val="0"/>
        <w:snapToGrid w:val="0"/>
        <w:spacing w:line="600" w:lineRule="exact"/>
        <w:ind w:firstLine="720"/>
        <w:rPr>
          <w:rFonts w:hint="default" w:eastAsia="仿宋_GB2312"/>
          <w:sz w:val="32"/>
          <w:szCs w:val="32"/>
          <w:lang w:val="en-US" w:eastAsia="zh-CN"/>
        </w:rPr>
      </w:pPr>
      <w:r>
        <w:rPr>
          <w:rFonts w:eastAsia="楷体_GB2312"/>
          <w:b/>
          <w:sz w:val="32"/>
          <w:szCs w:val="32"/>
          <w:lang w:val="zh-CN"/>
        </w:rPr>
        <w:t>（二）项目管理情况。</w:t>
      </w:r>
      <w:r>
        <w:rPr>
          <w:rFonts w:hint="eastAsia" w:eastAsia="仿宋_GB2312"/>
          <w:sz w:val="32"/>
          <w:szCs w:val="32"/>
          <w:lang w:val="en-US" w:eastAsia="zh-CN"/>
        </w:rPr>
        <w:t>规划已按上级文件要求完成方案编制、审查、批复等程序，正在按批复内容实施管理，作为攀枝花市各类保护开发建设活动的依据和支撑。</w:t>
      </w:r>
    </w:p>
    <w:p w14:paraId="7A66B684">
      <w:pPr>
        <w:adjustRightInd w:val="0"/>
        <w:snapToGrid w:val="0"/>
        <w:spacing w:line="600" w:lineRule="exact"/>
        <w:ind w:firstLine="720"/>
        <w:rPr>
          <w:rFonts w:hint="eastAsia" w:eastAsia="仿宋_GB2312"/>
          <w:sz w:val="32"/>
          <w:szCs w:val="32"/>
          <w:lang w:val="zh-CN"/>
        </w:rPr>
      </w:pPr>
      <w:r>
        <w:rPr>
          <w:rFonts w:eastAsia="楷体_GB2312"/>
          <w:b/>
          <w:sz w:val="32"/>
          <w:szCs w:val="32"/>
          <w:lang w:val="zh-CN"/>
        </w:rPr>
        <w:t>（三）项目监管情况。</w:t>
      </w:r>
      <w:r>
        <w:rPr>
          <w:rFonts w:hint="eastAsia" w:eastAsia="仿宋_GB2312"/>
          <w:sz w:val="32"/>
          <w:szCs w:val="32"/>
          <w:lang w:val="zh-CN"/>
        </w:rPr>
        <w:t>资金</w:t>
      </w:r>
      <w:r>
        <w:rPr>
          <w:rFonts w:hint="eastAsia" w:eastAsia="仿宋_GB2312"/>
          <w:sz w:val="32"/>
          <w:szCs w:val="32"/>
          <w:lang w:val="en-US" w:eastAsia="zh-CN"/>
        </w:rPr>
        <w:t>使用和</w:t>
      </w:r>
      <w:r>
        <w:rPr>
          <w:rFonts w:hint="eastAsia" w:eastAsia="仿宋_GB2312"/>
          <w:sz w:val="32"/>
          <w:szCs w:val="32"/>
          <w:lang w:val="zh-CN"/>
        </w:rPr>
        <w:t>支出严格执行相关规章制度，票据真实有效，会计核算规范。</w:t>
      </w:r>
    </w:p>
    <w:p w14:paraId="094E49D9">
      <w:pPr>
        <w:adjustRightInd w:val="0"/>
        <w:snapToGrid w:val="0"/>
        <w:spacing w:line="600" w:lineRule="exact"/>
        <w:ind w:firstLine="720"/>
        <w:rPr>
          <w:rFonts w:eastAsia="仿宋_GB2312"/>
          <w:sz w:val="32"/>
          <w:szCs w:val="32"/>
          <w:lang w:val="zh-CN"/>
        </w:rPr>
      </w:pPr>
      <w:r>
        <w:rPr>
          <w:rFonts w:eastAsia="黑体"/>
          <w:sz w:val="32"/>
          <w:szCs w:val="32"/>
        </w:rPr>
        <w:t>四、项目绩效情况</w:t>
      </w:r>
      <w:r>
        <w:rPr>
          <w:rFonts w:eastAsia="仿宋_GB2312"/>
          <w:sz w:val="32"/>
          <w:szCs w:val="32"/>
          <w:lang w:val="zh-CN"/>
        </w:rPr>
        <w:tab/>
      </w:r>
    </w:p>
    <w:p w14:paraId="0C70482B">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（一）项目完成情况。</w:t>
      </w:r>
    </w:p>
    <w:p w14:paraId="0B87A4F3">
      <w:pPr>
        <w:adjustRightInd w:val="0"/>
        <w:snapToGrid w:val="0"/>
        <w:spacing w:line="600" w:lineRule="exact"/>
        <w:ind w:firstLine="720"/>
        <w:rPr>
          <w:rFonts w:hint="default" w:eastAsia="仿宋_GB2312"/>
          <w:sz w:val="32"/>
          <w:szCs w:val="32"/>
          <w:lang w:val="en-US" w:eastAsia="zh-CN"/>
        </w:rPr>
      </w:pPr>
      <w:r>
        <w:rPr>
          <w:rFonts w:hint="eastAsia" w:eastAsia="仿宋_GB2312"/>
          <w:sz w:val="32"/>
          <w:szCs w:val="32"/>
          <w:lang w:val="en-US" w:eastAsia="zh-CN"/>
        </w:rPr>
        <w:t>规划完成了征求意见、专家论证，市规委会、市政府常务会议、市委常委会、人大常委会审议以及省规委会审议等程序，并已由四川省人民政府批复实施。</w:t>
      </w:r>
    </w:p>
    <w:p w14:paraId="72D1C568">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（二）项目效益情况。</w:t>
      </w:r>
    </w:p>
    <w:p w14:paraId="058B4432">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规划明确了攀枝花市国土空间开发保护格局、底线管控、城市品质提升和基础设施建设等内容，为攀枝花各类保护开发建设活动提供了依据和支撑。</w:t>
      </w:r>
    </w:p>
    <w:p w14:paraId="51AD5C52">
      <w:pPr>
        <w:adjustRightInd w:val="0"/>
        <w:snapToGrid w:val="0"/>
        <w:spacing w:line="600" w:lineRule="exact"/>
        <w:ind w:firstLine="720"/>
        <w:rPr>
          <w:rFonts w:eastAsia="黑体"/>
          <w:sz w:val="32"/>
          <w:szCs w:val="32"/>
        </w:rPr>
      </w:pPr>
      <w:r>
        <w:rPr>
          <w:rFonts w:eastAsia="黑体"/>
          <w:sz w:val="32"/>
          <w:szCs w:val="32"/>
        </w:rPr>
        <w:t>五、评价结论及建议</w:t>
      </w:r>
    </w:p>
    <w:p w14:paraId="27BE915D">
      <w:pPr>
        <w:adjustRightInd w:val="0"/>
        <w:snapToGrid w:val="0"/>
        <w:spacing w:line="600" w:lineRule="exact"/>
        <w:ind w:firstLine="720"/>
        <w:rPr>
          <w:rFonts w:eastAsia="楷体_GB2312"/>
          <w:b/>
          <w:sz w:val="32"/>
          <w:szCs w:val="32"/>
          <w:lang w:val="zh-CN"/>
        </w:rPr>
      </w:pPr>
      <w:r>
        <w:rPr>
          <w:rFonts w:eastAsia="楷体_GB2312"/>
          <w:b/>
          <w:sz w:val="32"/>
          <w:szCs w:val="32"/>
          <w:lang w:val="zh-CN"/>
        </w:rPr>
        <w:t>（一）评价结论。</w:t>
      </w:r>
    </w:p>
    <w:p w14:paraId="1963387A">
      <w:pPr>
        <w:adjustRightInd w:val="0"/>
        <w:snapToGrid w:val="0"/>
        <w:spacing w:line="600" w:lineRule="exact"/>
        <w:ind w:firstLine="640" w:firstLineChars="200"/>
        <w:rPr>
          <w:rFonts w:eastAsia="仿宋_GB2312"/>
          <w:sz w:val="32"/>
          <w:szCs w:val="32"/>
          <w:bdr w:val="single" w:color="auto" w:sz="4" w:space="0"/>
          <w:lang w:val="zh-CN"/>
        </w:rPr>
      </w:pPr>
      <w:r>
        <w:rPr>
          <w:rFonts w:hint="eastAsia" w:eastAsia="仿宋_GB2312"/>
          <w:sz w:val="32"/>
          <w:szCs w:val="32"/>
          <w:lang w:val="zh-CN"/>
        </w:rPr>
        <w:t>经评价，该项目预算合理，资金管理较好，资金使用总体规范，整体工作发展态势良好，达到预期目标。</w:t>
      </w:r>
    </w:p>
    <w:p w14:paraId="02F9C8E5">
      <w:pPr>
        <w:adjustRightInd w:val="0"/>
        <w:snapToGrid w:val="0"/>
        <w:spacing w:line="600" w:lineRule="exact"/>
        <w:ind w:firstLine="720"/>
        <w:rPr>
          <w:rFonts w:eastAsia="楷体_GB2312"/>
          <w:b/>
          <w:sz w:val="32"/>
          <w:szCs w:val="32"/>
          <w:lang w:val="zh-CN"/>
        </w:rPr>
      </w:pPr>
      <w:r>
        <w:rPr>
          <w:rFonts w:eastAsia="楷体_GB2312"/>
          <w:b/>
          <w:sz w:val="32"/>
          <w:szCs w:val="32"/>
          <w:lang w:val="zh-CN"/>
        </w:rPr>
        <w:t>（二）存在的问题。</w:t>
      </w:r>
    </w:p>
    <w:p w14:paraId="74D93F72">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en-US" w:eastAsia="zh-CN"/>
        </w:rPr>
        <w:t>无</w:t>
      </w:r>
      <w:r>
        <w:rPr>
          <w:rFonts w:eastAsia="仿宋_GB2312"/>
          <w:sz w:val="32"/>
          <w:szCs w:val="32"/>
          <w:lang w:val="zh-CN"/>
        </w:rPr>
        <w:t>。</w:t>
      </w:r>
      <w:r>
        <w:rPr>
          <w:rFonts w:eastAsia="仿宋_GB2312"/>
          <w:sz w:val="32"/>
          <w:szCs w:val="32"/>
          <w:lang w:val="zh-CN"/>
        </w:rPr>
        <w:tab/>
      </w:r>
    </w:p>
    <w:p w14:paraId="2F9A2D07">
      <w:pPr>
        <w:adjustRightInd w:val="0"/>
        <w:snapToGrid w:val="0"/>
        <w:spacing w:line="600" w:lineRule="exact"/>
        <w:ind w:firstLine="720"/>
        <w:rPr>
          <w:rFonts w:eastAsia="楷体_GB2312"/>
          <w:b/>
          <w:sz w:val="32"/>
          <w:szCs w:val="32"/>
          <w:lang w:val="zh-CN"/>
        </w:rPr>
      </w:pPr>
      <w:r>
        <w:rPr>
          <w:rFonts w:eastAsia="楷体_GB2312"/>
          <w:b/>
          <w:sz w:val="32"/>
          <w:szCs w:val="32"/>
          <w:lang w:val="zh-CN"/>
        </w:rPr>
        <w:t>（三）相关建议。</w:t>
      </w:r>
    </w:p>
    <w:p w14:paraId="4F32E6EE">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en-US" w:eastAsia="zh-CN"/>
        </w:rPr>
        <w:t>无</w:t>
      </w:r>
      <w:r>
        <w:rPr>
          <w:rFonts w:eastAsia="仿宋_GB2312"/>
          <w:sz w:val="32"/>
          <w:szCs w:val="32"/>
          <w:lang w:val="zh-CN"/>
        </w:rPr>
        <w:t>。</w:t>
      </w:r>
    </w:p>
    <w:p w14:paraId="365A14FB">
      <w:pPr>
        <w:rPr>
          <w:rFonts w:eastAsia="仿宋_GB2312"/>
          <w:sz w:val="32"/>
          <w:szCs w:val="32"/>
        </w:rPr>
      </w:pPr>
    </w:p>
    <w:p w14:paraId="312BC88D">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345BFDFD">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19F03D4B">
      <w:pPr>
        <w:widowControl w:val="0"/>
        <w:spacing w:line="600" w:lineRule="exact"/>
        <w:ind w:firstLine="883"/>
        <w:jc w:val="center"/>
        <w:rPr>
          <w:rFonts w:hint="eastAsia"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zh-CN" w:eastAsia="zh-CN" w:bidi="ar-SA"/>
        </w:rPr>
        <w:t>专项预算项目支出绩效自评报告</w:t>
      </w:r>
    </w:p>
    <w:p w14:paraId="36C68224">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攀枝花市国土空间总体规划实施评估项目</w:t>
      </w:r>
      <w:r>
        <w:rPr>
          <w:rFonts w:ascii="Times New Roman" w:hAnsi="Times New Roman" w:eastAsia="仿宋_GB2312" w:cs="Times New Roman"/>
          <w:color w:val="auto"/>
          <w:kern w:val="2"/>
          <w:sz w:val="32"/>
          <w:szCs w:val="32"/>
          <w:lang w:val="zh-CN" w:eastAsia="zh-CN" w:bidi="ar-SA"/>
        </w:rPr>
        <w:t>）</w:t>
      </w:r>
    </w:p>
    <w:p w14:paraId="34E45C05">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3EBB4C6">
      <w:pPr>
        <w:adjustRightInd w:val="0"/>
        <w:snapToGrid w:val="0"/>
        <w:spacing w:line="600" w:lineRule="exact"/>
        <w:ind w:firstLine="720"/>
        <w:rPr>
          <w:rFonts w:eastAsia="黑体"/>
          <w:sz w:val="32"/>
          <w:szCs w:val="32"/>
          <w:lang w:val="zh-CN"/>
        </w:rPr>
      </w:pPr>
      <w:r>
        <w:rPr>
          <w:rFonts w:eastAsia="黑体"/>
          <w:sz w:val="32"/>
          <w:szCs w:val="32"/>
        </w:rPr>
        <w:t>一、</w:t>
      </w:r>
      <w:r>
        <w:rPr>
          <w:rFonts w:eastAsia="黑体"/>
          <w:sz w:val="32"/>
          <w:szCs w:val="32"/>
          <w:lang w:val="zh-CN"/>
        </w:rPr>
        <w:t>项目概况</w:t>
      </w:r>
    </w:p>
    <w:p w14:paraId="66020EB9">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（一）项目基本情况。</w:t>
      </w:r>
    </w:p>
    <w:p w14:paraId="5B9E6C68">
      <w:pPr>
        <w:spacing w:line="640" w:lineRule="exact"/>
        <w:ind w:firstLine="645"/>
        <w:rPr>
          <w:rFonts w:ascii="Times New Roman" w:hAnsi="Times New Roman" w:eastAsia="仿宋_GB2312"/>
          <w:sz w:val="32"/>
          <w:szCs w:val="32"/>
          <w:u w:val="single"/>
        </w:rPr>
      </w:pPr>
      <w:r>
        <w:rPr>
          <w:rFonts w:hint="eastAsia" w:eastAsia="仿宋_GB2312"/>
          <w:sz w:val="32"/>
          <w:szCs w:val="32"/>
          <w:lang w:val="zh-CN"/>
        </w:rPr>
        <w:t>1.</w:t>
      </w:r>
      <w:r>
        <w:rPr>
          <w:rFonts w:hint="eastAsia" w:ascii="Times New Roman" w:hAnsi="Times New Roman" w:eastAsia="仿宋_GB2312"/>
          <w:sz w:val="32"/>
          <w:szCs w:val="32"/>
          <w:u w:val="none"/>
          <w:lang w:val="en-US" w:eastAsia="zh-CN"/>
        </w:rPr>
        <w:t>项目按照部、省工作要求，以“问题导向、目标导向、效果导向”为核心，立足攀枝花市国土空间总体规划实施5年以来的阶段性特征，通过系统评估规划目标实现程度、空间布局优化效果、政策工具实施效能等，全面总结经验、精准识别问题，为规划动态调整、政策优化完善和下一轮规划编制提供科学依据，推动国土空间开发保护向更高质量、更可持续方向发展。</w:t>
      </w:r>
    </w:p>
    <w:p w14:paraId="0C786A18">
      <w:pPr>
        <w:snapToGrid w:val="0"/>
        <w:spacing w:line="600" w:lineRule="atLeast"/>
        <w:ind w:firstLine="640" w:firstLineChars="200"/>
        <w:rPr>
          <w:rFonts w:ascii="Times New Roman" w:hAnsi="Times New Roman" w:eastAsia="仿宋_GB2312" w:cs="Times New Roman"/>
          <w:sz w:val="32"/>
          <w:szCs w:val="32"/>
        </w:rPr>
      </w:pPr>
      <w:r>
        <w:rPr>
          <w:rFonts w:eastAsia="仿宋_GB2312"/>
          <w:sz w:val="32"/>
          <w:szCs w:val="32"/>
          <w:lang w:val="zh-CN"/>
        </w:rPr>
        <w:t xml:space="preserve">2. </w:t>
      </w:r>
      <w:r>
        <w:rPr>
          <w:rFonts w:hint="default" w:ascii="Times New Roman" w:hAnsi="Times New Roman" w:eastAsia="仿宋_GB2312" w:cs="Times New Roman"/>
          <w:sz w:val="32"/>
          <w:szCs w:val="32"/>
          <w:lang w:val="en-US" w:eastAsia="zh-CN"/>
        </w:rPr>
        <w:t>为</w:t>
      </w:r>
      <w:r>
        <w:rPr>
          <w:rFonts w:hint="eastAsia" w:ascii="Times New Roman" w:hAnsi="Times New Roman" w:eastAsia="仿宋_GB2312" w:cs="Times New Roman"/>
          <w:sz w:val="32"/>
          <w:szCs w:val="32"/>
          <w:lang w:val="en-US" w:eastAsia="zh-CN"/>
        </w:rPr>
        <w:t>健全国土空间规划实施监测、定期评估、动态维护制度，及时</w:t>
      </w:r>
      <w:r>
        <w:rPr>
          <w:rFonts w:hint="eastAsia" w:eastAsia="仿宋_GB2312" w:cs="Times New Roman"/>
          <w:sz w:val="32"/>
          <w:szCs w:val="32"/>
          <w:lang w:val="en-US" w:eastAsia="zh-CN"/>
        </w:rPr>
        <w:t>揭示</w:t>
      </w:r>
      <w:r>
        <w:rPr>
          <w:rFonts w:hint="eastAsia" w:ascii="Times New Roman" w:hAnsi="Times New Roman" w:eastAsia="仿宋_GB2312" w:cs="Times New Roman"/>
          <w:sz w:val="32"/>
          <w:szCs w:val="32"/>
          <w:lang w:val="en-US" w:eastAsia="zh-CN"/>
        </w:rPr>
        <w:t>城市空间治理中存在的问题和短板，提高城市治理水平，</w:t>
      </w:r>
      <w:r>
        <w:rPr>
          <w:rFonts w:hint="default" w:ascii="Times New Roman" w:hAnsi="Times New Roman" w:eastAsia="仿宋_GB2312" w:cs="Times New Roman"/>
          <w:sz w:val="32"/>
          <w:szCs w:val="32"/>
          <w:lang w:val="en-US" w:eastAsia="zh-CN"/>
        </w:rPr>
        <w:t>按照《自然资源部办公厅关于开展国土空间总体规划体检评估的通知》（自然资办发〔2025〕20号）、《自然资源部办公厅关于印发</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国土空间规划城市体检评估规程（2025年修订版）</w:t>
      </w:r>
      <w:r>
        <w:rPr>
          <w:rFonts w:hint="eastAsia" w:eastAsia="仿宋_GB2312" w:cs="Times New Roman"/>
          <w:sz w:val="32"/>
          <w:szCs w:val="32"/>
          <w:lang w:val="en-US" w:eastAsia="zh-CN"/>
        </w:rPr>
        <w:t>〉的通知》</w:t>
      </w:r>
      <w:r>
        <w:rPr>
          <w:rFonts w:hint="default" w:ascii="Times New Roman" w:hAnsi="Times New Roman" w:eastAsia="仿宋_GB2312" w:cs="Times New Roman"/>
          <w:sz w:val="32"/>
          <w:szCs w:val="32"/>
          <w:lang w:val="en-US" w:eastAsia="zh-CN"/>
        </w:rPr>
        <w:t>（自然资办发〔2025〕15号）、《四川省自然资源厅办公室关于开展国土空间规划体检评估相关工作的通知》（〔2025〕—269）精神和</w:t>
      </w:r>
      <w:r>
        <w:rPr>
          <w:rFonts w:hint="eastAsia" w:ascii="Times New Roman" w:hAnsi="Times New Roman" w:eastAsia="仿宋_GB2312" w:cs="Times New Roman"/>
          <w:sz w:val="32"/>
          <w:szCs w:val="32"/>
          <w:lang w:val="en-US" w:eastAsia="zh-CN"/>
        </w:rPr>
        <w:t>有</w:t>
      </w:r>
      <w:r>
        <w:rPr>
          <w:rFonts w:hint="default" w:ascii="Times New Roman" w:hAnsi="Times New Roman" w:eastAsia="仿宋_GB2312" w:cs="Times New Roman"/>
          <w:sz w:val="32"/>
          <w:szCs w:val="32"/>
          <w:lang w:val="en-US" w:eastAsia="zh-CN"/>
        </w:rPr>
        <w:t>关工作安排，我市</w:t>
      </w:r>
      <w:r>
        <w:rPr>
          <w:rFonts w:hint="eastAsia" w:ascii="Times New Roman" w:hAnsi="Times New Roman" w:eastAsia="仿宋_GB2312" w:cs="Times New Roman"/>
          <w:sz w:val="32"/>
          <w:szCs w:val="32"/>
          <w:lang w:val="en-US" w:eastAsia="zh-CN"/>
        </w:rPr>
        <w:t>须</w:t>
      </w:r>
      <w:r>
        <w:rPr>
          <w:rFonts w:hint="default" w:ascii="Times New Roman" w:hAnsi="Times New Roman" w:eastAsia="仿宋_GB2312" w:cs="Times New Roman"/>
          <w:sz w:val="32"/>
          <w:szCs w:val="32"/>
          <w:lang w:val="en-US" w:eastAsia="zh-CN"/>
        </w:rPr>
        <w:t>开展市级国土空间总体规划评估工作。</w:t>
      </w:r>
    </w:p>
    <w:p w14:paraId="478B05C2">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3.按照《攀枝花市自然资源和规划局财务管理办法》规定，规范使用资金</w:t>
      </w:r>
      <w:r>
        <w:rPr>
          <w:rFonts w:eastAsia="仿宋_GB2312"/>
          <w:sz w:val="32"/>
          <w:szCs w:val="32"/>
          <w:lang w:val="zh-CN"/>
        </w:rPr>
        <w:t>。</w:t>
      </w:r>
    </w:p>
    <w:p w14:paraId="6C777A1E">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（二）项目绩效目标。</w:t>
      </w:r>
    </w:p>
    <w:p w14:paraId="5BE0158A">
      <w:pPr>
        <w:widowControl w:val="0"/>
        <w:ind w:firstLine="640" w:firstLineChars="200"/>
        <w:jc w:val="both"/>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项目于2026年1月底完成公开招标程序，正在开展项目服务合同审查、签订等事宜，暂未开展具体方案编制工作。</w:t>
      </w:r>
    </w:p>
    <w:p w14:paraId="5627DF21">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（三）项目自评步骤及方法。</w:t>
      </w:r>
    </w:p>
    <w:p w14:paraId="1963B992">
      <w:pPr>
        <w:adjustRightInd w:val="0"/>
        <w:snapToGrid w:val="0"/>
        <w:spacing w:line="600" w:lineRule="exact"/>
        <w:ind w:firstLine="720"/>
        <w:rPr>
          <w:rFonts w:hint="eastAsia" w:eastAsia="仿宋_GB2312"/>
          <w:sz w:val="32"/>
          <w:szCs w:val="32"/>
          <w:lang w:val="zh-CN"/>
        </w:rPr>
      </w:pPr>
      <w:r>
        <w:rPr>
          <w:rFonts w:hint="eastAsia" w:eastAsia="仿宋_GB2312"/>
          <w:sz w:val="32"/>
          <w:szCs w:val="32"/>
          <w:lang w:val="zh-CN"/>
        </w:rPr>
        <w:t>按照《攀枝花市财政局关于开展市本级预算绩效自评工作的通知》（攀财绩〔2025〕3号）要求，积极组织开展项目自评工作，通过与项目相关人员座谈或讨论等方法了解项目经费情况，收集相关资料，综合分析相关情况后，对项目决策、项目实施、完成效果、项目效果、社会效益及经济效益等进行评估。</w:t>
      </w:r>
    </w:p>
    <w:p w14:paraId="379A49BA">
      <w:pPr>
        <w:adjustRightInd w:val="0"/>
        <w:snapToGrid w:val="0"/>
        <w:spacing w:line="600" w:lineRule="exact"/>
        <w:ind w:firstLine="720"/>
        <w:rPr>
          <w:rFonts w:eastAsia="黑体"/>
          <w:sz w:val="32"/>
          <w:szCs w:val="32"/>
        </w:rPr>
      </w:pPr>
      <w:r>
        <w:rPr>
          <w:rFonts w:eastAsia="黑体"/>
          <w:sz w:val="32"/>
          <w:szCs w:val="32"/>
        </w:rPr>
        <w:t>二、项目资金申报及使用情况</w:t>
      </w:r>
    </w:p>
    <w:p w14:paraId="40FBAC82">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（一）项目资金申报及批复情况。</w:t>
      </w:r>
    </w:p>
    <w:p w14:paraId="13FF0449">
      <w:pPr>
        <w:adjustRightInd w:val="0"/>
        <w:snapToGrid w:val="0"/>
        <w:spacing w:line="600" w:lineRule="exact"/>
        <w:ind w:firstLine="720"/>
        <w:rPr>
          <w:rFonts w:ascii="Times New Roman" w:hAnsi="Times New Roman" w:eastAsia="仿宋_GB2312"/>
          <w:color w:val="auto"/>
          <w:sz w:val="32"/>
          <w:szCs w:val="32"/>
        </w:rPr>
      </w:pPr>
      <w:r>
        <w:rPr>
          <w:rFonts w:hint="eastAsia" w:eastAsia="仿宋_GB2312"/>
          <w:color w:val="auto"/>
          <w:sz w:val="32"/>
          <w:szCs w:val="32"/>
          <w:lang w:val="en-US" w:eastAsia="zh-CN"/>
        </w:rPr>
        <w:t>项目资金为市级财政资金，并纳入2025年财政预算</w:t>
      </w:r>
      <w:r>
        <w:rPr>
          <w:rFonts w:ascii="Times New Roman" w:hAnsi="Times New Roman" w:eastAsia="仿宋_GB2312"/>
          <w:color w:val="auto"/>
          <w:sz w:val="32"/>
          <w:szCs w:val="32"/>
        </w:rPr>
        <w:t>。</w:t>
      </w:r>
    </w:p>
    <w:p w14:paraId="4321A35C">
      <w:pPr>
        <w:adjustRightInd w:val="0"/>
        <w:snapToGrid w:val="0"/>
        <w:spacing w:line="600" w:lineRule="exact"/>
        <w:ind w:firstLine="720"/>
        <w:rPr>
          <w:rFonts w:eastAsia="仿宋_GB2312"/>
          <w:sz w:val="32"/>
          <w:szCs w:val="32"/>
          <w:lang w:val="zh-CN"/>
        </w:rPr>
      </w:pPr>
      <w:r>
        <w:rPr>
          <w:rFonts w:eastAsia="楷体_GB2312"/>
          <w:b/>
          <w:sz w:val="32"/>
          <w:szCs w:val="32"/>
          <w:lang w:val="zh-CN"/>
        </w:rPr>
        <w:t>（二）资金计划、到位及使用情况（可用表格形式反映）。</w:t>
      </w:r>
    </w:p>
    <w:p w14:paraId="077EA7C0">
      <w:pPr>
        <w:adjustRightInd w:val="0"/>
        <w:snapToGrid w:val="0"/>
        <w:spacing w:line="600" w:lineRule="exact"/>
        <w:ind w:firstLine="720"/>
        <w:rPr>
          <w:rFonts w:eastAsia="仿宋_GB2312"/>
          <w:sz w:val="32"/>
          <w:szCs w:val="32"/>
          <w:lang w:val="zh-CN"/>
        </w:rPr>
      </w:pPr>
      <w:r>
        <w:rPr>
          <w:rFonts w:hint="eastAsia" w:eastAsia="楷体_GB2312"/>
          <w:sz w:val="32"/>
          <w:szCs w:val="32"/>
          <w:lang w:val="zh-CN"/>
        </w:rPr>
        <w:t>1.</w:t>
      </w:r>
      <w:r>
        <w:rPr>
          <w:rFonts w:eastAsia="楷体_GB2312"/>
          <w:sz w:val="32"/>
          <w:szCs w:val="32"/>
          <w:lang w:val="zh-CN"/>
        </w:rPr>
        <w:t>资金计划</w:t>
      </w:r>
      <w:r>
        <w:rPr>
          <w:rFonts w:hint="eastAsia" w:eastAsia="楷体_GB2312"/>
          <w:sz w:val="32"/>
          <w:szCs w:val="32"/>
          <w:lang w:val="zh-CN"/>
        </w:rPr>
        <w:t>。</w:t>
      </w:r>
      <w:r>
        <w:rPr>
          <w:rFonts w:hint="eastAsia" w:eastAsia="仿宋_GB2312"/>
          <w:sz w:val="32"/>
          <w:szCs w:val="32"/>
          <w:lang w:val="zh-CN"/>
        </w:rPr>
        <w:t>项目由</w:t>
      </w:r>
      <w:r>
        <w:rPr>
          <w:rFonts w:hint="eastAsia" w:eastAsia="仿宋_GB2312"/>
          <w:sz w:val="32"/>
          <w:szCs w:val="32"/>
          <w:lang w:val="en-US" w:eastAsia="zh-CN"/>
        </w:rPr>
        <w:t>市级</w:t>
      </w:r>
      <w:r>
        <w:rPr>
          <w:rFonts w:hint="eastAsia" w:eastAsia="仿宋_GB2312"/>
          <w:sz w:val="32"/>
          <w:szCs w:val="32"/>
          <w:lang w:val="zh-CN"/>
        </w:rPr>
        <w:t>财政资金保障。</w:t>
      </w:r>
    </w:p>
    <w:p w14:paraId="56BF181E">
      <w:pPr>
        <w:adjustRightInd w:val="0"/>
        <w:snapToGrid w:val="0"/>
        <w:spacing w:line="600" w:lineRule="exact"/>
        <w:ind w:firstLine="720"/>
        <w:rPr>
          <w:rFonts w:hint="eastAsia" w:eastAsia="仿宋_GB2312"/>
          <w:sz w:val="32"/>
          <w:szCs w:val="32"/>
          <w:lang w:val="en-US" w:eastAsia="zh-CN"/>
        </w:rPr>
      </w:pPr>
      <w:r>
        <w:rPr>
          <w:rFonts w:hint="eastAsia" w:eastAsia="楷体_GB2312"/>
          <w:sz w:val="32"/>
          <w:szCs w:val="32"/>
          <w:lang w:val="zh-CN"/>
        </w:rPr>
        <w:t>2.</w:t>
      </w:r>
      <w:r>
        <w:rPr>
          <w:rFonts w:eastAsia="楷体_GB2312"/>
          <w:sz w:val="32"/>
          <w:szCs w:val="32"/>
          <w:lang w:val="zh-CN"/>
        </w:rPr>
        <w:t>资金到位。</w:t>
      </w:r>
      <w:r>
        <w:rPr>
          <w:rFonts w:hint="eastAsia" w:eastAsia="仿宋_GB2312"/>
          <w:sz w:val="32"/>
          <w:szCs w:val="32"/>
          <w:lang w:val="en-US" w:eastAsia="zh-CN"/>
        </w:rPr>
        <w:t>资金到位及时。</w:t>
      </w:r>
    </w:p>
    <w:p w14:paraId="31F17EF1">
      <w:pPr>
        <w:adjustRightInd w:val="0"/>
        <w:snapToGrid w:val="0"/>
        <w:spacing w:line="600" w:lineRule="exact"/>
        <w:ind w:firstLine="720"/>
        <w:rPr>
          <w:rFonts w:hint="eastAsia" w:eastAsia="仿宋_GB2312"/>
          <w:sz w:val="32"/>
          <w:szCs w:val="32"/>
          <w:lang w:val="en-US" w:eastAsia="zh-CN"/>
        </w:rPr>
      </w:pPr>
      <w:r>
        <w:rPr>
          <w:rFonts w:hint="eastAsia" w:eastAsia="楷体_GB2312"/>
          <w:sz w:val="32"/>
          <w:szCs w:val="32"/>
          <w:lang w:val="zh-CN"/>
        </w:rPr>
        <w:t>3.</w:t>
      </w:r>
      <w:r>
        <w:rPr>
          <w:rFonts w:eastAsia="楷体_GB2312"/>
          <w:sz w:val="32"/>
          <w:szCs w:val="32"/>
          <w:lang w:val="zh-CN"/>
        </w:rPr>
        <w:t>资金使用。</w:t>
      </w:r>
      <w:r>
        <w:rPr>
          <w:rFonts w:hint="eastAsia" w:eastAsia="仿宋_GB2312"/>
          <w:sz w:val="32"/>
          <w:szCs w:val="32"/>
          <w:lang w:val="zh-CN"/>
        </w:rPr>
        <w:t>资金支付范围、支付标准、支付进度、支付依据合规合法、与预算相符。</w:t>
      </w:r>
      <w:r>
        <w:rPr>
          <w:rFonts w:hint="eastAsia" w:eastAsia="仿宋_GB2312"/>
          <w:sz w:val="32"/>
          <w:szCs w:val="32"/>
          <w:lang w:val="en-US" w:eastAsia="zh-CN"/>
        </w:rPr>
        <w:t xml:space="preserve"> </w:t>
      </w:r>
    </w:p>
    <w:p w14:paraId="68BCEDE7">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（三）项目财务管理情况。</w:t>
      </w:r>
    </w:p>
    <w:p w14:paraId="6BFAF074">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按照《攀枝花市自然资源和规划局财务管理办法》规定，严格执行财务管理制度，及时财务处理，规范会计核算。</w:t>
      </w:r>
    </w:p>
    <w:p w14:paraId="366EE3B8">
      <w:pPr>
        <w:adjustRightInd w:val="0"/>
        <w:snapToGrid w:val="0"/>
        <w:spacing w:line="600" w:lineRule="exact"/>
        <w:ind w:firstLine="720"/>
        <w:rPr>
          <w:rFonts w:eastAsia="黑体"/>
          <w:sz w:val="32"/>
          <w:szCs w:val="32"/>
        </w:rPr>
      </w:pPr>
      <w:r>
        <w:rPr>
          <w:rFonts w:eastAsia="黑体"/>
          <w:sz w:val="32"/>
          <w:szCs w:val="32"/>
        </w:rPr>
        <w:t>三、项目实施及管理情况</w:t>
      </w:r>
    </w:p>
    <w:p w14:paraId="23E1039E">
      <w:pPr>
        <w:adjustRightInd w:val="0"/>
        <w:snapToGrid w:val="0"/>
        <w:spacing w:line="600" w:lineRule="exact"/>
        <w:ind w:firstLine="720"/>
        <w:rPr>
          <w:rFonts w:hint="default" w:eastAsia="仿宋_GB2312"/>
          <w:sz w:val="32"/>
          <w:szCs w:val="32"/>
          <w:lang w:val="en-US" w:eastAsia="zh-CN"/>
        </w:rPr>
      </w:pPr>
      <w:r>
        <w:rPr>
          <w:rFonts w:eastAsia="楷体_GB2312"/>
          <w:b/>
          <w:sz w:val="32"/>
          <w:szCs w:val="32"/>
          <w:lang w:val="zh-CN"/>
        </w:rPr>
        <w:t>（一）项目组织架构及实施流程。</w:t>
      </w:r>
      <w:r>
        <w:rPr>
          <w:rFonts w:hint="eastAsia" w:eastAsia="仿宋_GB2312"/>
          <w:sz w:val="32"/>
          <w:szCs w:val="32"/>
          <w:lang w:val="en-US" w:eastAsia="zh-CN"/>
        </w:rPr>
        <w:t>规划</w:t>
      </w:r>
      <w:r>
        <w:rPr>
          <w:rFonts w:hint="eastAsia" w:eastAsia="仿宋_GB2312"/>
          <w:sz w:val="32"/>
          <w:szCs w:val="32"/>
          <w:lang w:val="zh-CN"/>
        </w:rPr>
        <w:t>由</w:t>
      </w:r>
      <w:r>
        <w:rPr>
          <w:rFonts w:hint="eastAsia" w:eastAsia="仿宋_GB2312"/>
          <w:sz w:val="32"/>
          <w:szCs w:val="32"/>
          <w:lang w:val="en-US" w:eastAsia="zh-CN"/>
        </w:rPr>
        <w:t>市自然资源和规划局国土空间规划管理科具体</w:t>
      </w:r>
      <w:r>
        <w:rPr>
          <w:rFonts w:hint="eastAsia" w:eastAsia="仿宋_GB2312"/>
          <w:sz w:val="32"/>
          <w:szCs w:val="32"/>
          <w:lang w:val="zh-CN"/>
        </w:rPr>
        <w:t>负责，并</w:t>
      </w:r>
      <w:r>
        <w:rPr>
          <w:rFonts w:hint="eastAsia" w:eastAsia="仿宋_GB2312"/>
          <w:sz w:val="32"/>
          <w:szCs w:val="32"/>
          <w:lang w:val="en-US" w:eastAsia="zh-CN"/>
        </w:rPr>
        <w:t>按程序开展项目采购、合同签订等前期事宜。</w:t>
      </w:r>
    </w:p>
    <w:p w14:paraId="0B662791">
      <w:pPr>
        <w:adjustRightInd w:val="0"/>
        <w:snapToGrid w:val="0"/>
        <w:spacing w:line="600" w:lineRule="exact"/>
        <w:ind w:firstLine="720"/>
        <w:rPr>
          <w:rFonts w:hint="default" w:eastAsia="仿宋_GB2312"/>
          <w:sz w:val="32"/>
          <w:szCs w:val="32"/>
          <w:lang w:val="en-US" w:eastAsia="zh-CN"/>
        </w:rPr>
      </w:pPr>
      <w:r>
        <w:rPr>
          <w:rFonts w:eastAsia="楷体_GB2312"/>
          <w:b/>
          <w:sz w:val="32"/>
          <w:szCs w:val="32"/>
          <w:lang w:val="zh-CN"/>
        </w:rPr>
        <w:t>（二）项目管理情况。</w:t>
      </w:r>
      <w:r>
        <w:rPr>
          <w:rFonts w:hint="eastAsia" w:eastAsia="仿宋_GB2312"/>
          <w:sz w:val="32"/>
          <w:szCs w:val="32"/>
          <w:lang w:val="en-US" w:eastAsia="zh-CN"/>
        </w:rPr>
        <w:t>待合同签订后，立即开展项目方案编制工作。</w:t>
      </w:r>
    </w:p>
    <w:p w14:paraId="1EB43443">
      <w:pPr>
        <w:adjustRightInd w:val="0"/>
        <w:snapToGrid w:val="0"/>
        <w:spacing w:line="600" w:lineRule="exact"/>
        <w:ind w:firstLine="720"/>
        <w:rPr>
          <w:rFonts w:hint="eastAsia" w:eastAsia="仿宋_GB2312"/>
          <w:sz w:val="32"/>
          <w:szCs w:val="32"/>
          <w:lang w:val="zh-CN"/>
        </w:rPr>
      </w:pPr>
      <w:r>
        <w:rPr>
          <w:rFonts w:eastAsia="楷体_GB2312"/>
          <w:b/>
          <w:sz w:val="32"/>
          <w:szCs w:val="32"/>
          <w:lang w:val="zh-CN"/>
        </w:rPr>
        <w:t>（三）项目监管情况。</w:t>
      </w:r>
      <w:r>
        <w:rPr>
          <w:rFonts w:hint="eastAsia" w:eastAsia="仿宋_GB2312"/>
          <w:sz w:val="32"/>
          <w:szCs w:val="32"/>
          <w:lang w:val="zh-CN"/>
        </w:rPr>
        <w:t>资金</w:t>
      </w:r>
      <w:r>
        <w:rPr>
          <w:rFonts w:hint="eastAsia" w:eastAsia="仿宋_GB2312"/>
          <w:sz w:val="32"/>
          <w:szCs w:val="32"/>
          <w:lang w:val="en-US" w:eastAsia="zh-CN"/>
        </w:rPr>
        <w:t>使用和</w:t>
      </w:r>
      <w:r>
        <w:rPr>
          <w:rFonts w:hint="eastAsia" w:eastAsia="仿宋_GB2312"/>
          <w:sz w:val="32"/>
          <w:szCs w:val="32"/>
          <w:lang w:val="zh-CN"/>
        </w:rPr>
        <w:t>支出严格执行相关规章制度，票据真实有效，会计核算规范。</w:t>
      </w:r>
    </w:p>
    <w:p w14:paraId="4D077676">
      <w:pPr>
        <w:adjustRightInd w:val="0"/>
        <w:snapToGrid w:val="0"/>
        <w:spacing w:line="600" w:lineRule="exact"/>
        <w:ind w:firstLine="720"/>
        <w:rPr>
          <w:rFonts w:eastAsia="仿宋_GB2312"/>
          <w:sz w:val="32"/>
          <w:szCs w:val="32"/>
          <w:lang w:val="zh-CN"/>
        </w:rPr>
      </w:pPr>
      <w:r>
        <w:rPr>
          <w:rFonts w:eastAsia="黑体"/>
          <w:sz w:val="32"/>
          <w:szCs w:val="32"/>
        </w:rPr>
        <w:t>四、项目绩效情况</w:t>
      </w:r>
      <w:r>
        <w:rPr>
          <w:rFonts w:eastAsia="仿宋_GB2312"/>
          <w:sz w:val="32"/>
          <w:szCs w:val="32"/>
          <w:lang w:val="zh-CN"/>
        </w:rPr>
        <w:tab/>
      </w:r>
    </w:p>
    <w:p w14:paraId="74F3699D">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（一）项目完成情况。</w:t>
      </w:r>
    </w:p>
    <w:p w14:paraId="14912238">
      <w:pPr>
        <w:adjustRightInd w:val="0"/>
        <w:snapToGrid w:val="0"/>
        <w:spacing w:line="600" w:lineRule="exact"/>
        <w:ind w:firstLine="720"/>
        <w:rPr>
          <w:rFonts w:hint="default" w:eastAsia="仿宋_GB2312"/>
          <w:sz w:val="32"/>
          <w:szCs w:val="32"/>
          <w:lang w:val="en-US" w:eastAsia="zh-CN"/>
        </w:rPr>
      </w:pPr>
      <w:r>
        <w:rPr>
          <w:rFonts w:hint="eastAsia" w:eastAsia="仿宋_GB2312"/>
          <w:sz w:val="32"/>
          <w:szCs w:val="32"/>
          <w:lang w:val="en-US" w:eastAsia="zh-CN"/>
        </w:rPr>
        <w:t>正在按程序开展项目采购、合同签订等前期事宜。</w:t>
      </w:r>
    </w:p>
    <w:p w14:paraId="327F065D">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（二）项目效益情况。</w:t>
      </w:r>
    </w:p>
    <w:p w14:paraId="28D0DF22">
      <w:pPr>
        <w:adjustRightInd w:val="0"/>
        <w:snapToGrid w:val="0"/>
        <w:spacing w:line="600" w:lineRule="exact"/>
        <w:ind w:firstLine="720"/>
        <w:rPr>
          <w:rFonts w:hint="default" w:eastAsia="仿宋_GB2312"/>
          <w:sz w:val="32"/>
          <w:szCs w:val="32"/>
          <w:lang w:val="en-US" w:eastAsia="zh-CN"/>
        </w:rPr>
      </w:pPr>
      <w:r>
        <w:rPr>
          <w:rFonts w:hint="eastAsia" w:eastAsia="仿宋_GB2312"/>
          <w:sz w:val="32"/>
          <w:szCs w:val="32"/>
          <w:lang w:val="en-US" w:eastAsia="zh-CN"/>
        </w:rPr>
        <w:t>待合同签订后，立即开展项目方案编制工作。</w:t>
      </w:r>
    </w:p>
    <w:p w14:paraId="16637E02">
      <w:pPr>
        <w:adjustRightInd w:val="0"/>
        <w:snapToGrid w:val="0"/>
        <w:spacing w:line="600" w:lineRule="exact"/>
        <w:ind w:firstLine="720"/>
        <w:rPr>
          <w:rFonts w:eastAsia="黑体"/>
          <w:sz w:val="32"/>
          <w:szCs w:val="32"/>
        </w:rPr>
      </w:pPr>
      <w:r>
        <w:rPr>
          <w:rFonts w:eastAsia="黑体"/>
          <w:sz w:val="32"/>
          <w:szCs w:val="32"/>
        </w:rPr>
        <w:t>五、评价结论及建议</w:t>
      </w:r>
    </w:p>
    <w:p w14:paraId="7D4B6B90">
      <w:pPr>
        <w:adjustRightInd w:val="0"/>
        <w:snapToGrid w:val="0"/>
        <w:spacing w:line="600" w:lineRule="exact"/>
        <w:ind w:firstLine="720"/>
        <w:rPr>
          <w:rFonts w:eastAsia="楷体_GB2312"/>
          <w:b/>
          <w:sz w:val="32"/>
          <w:szCs w:val="32"/>
          <w:lang w:val="zh-CN"/>
        </w:rPr>
      </w:pPr>
      <w:r>
        <w:rPr>
          <w:rFonts w:eastAsia="楷体_GB2312"/>
          <w:b/>
          <w:sz w:val="32"/>
          <w:szCs w:val="32"/>
          <w:lang w:val="zh-CN"/>
        </w:rPr>
        <w:t>（一）评价结论。</w:t>
      </w:r>
    </w:p>
    <w:p w14:paraId="32345C48">
      <w:pPr>
        <w:adjustRightInd w:val="0"/>
        <w:snapToGrid w:val="0"/>
        <w:spacing w:line="600" w:lineRule="exact"/>
        <w:ind w:firstLine="640" w:firstLineChars="200"/>
        <w:rPr>
          <w:rFonts w:eastAsia="仿宋_GB2312"/>
          <w:sz w:val="32"/>
          <w:szCs w:val="32"/>
          <w:bdr w:val="single" w:color="auto" w:sz="4" w:space="0"/>
          <w:lang w:val="zh-CN"/>
        </w:rPr>
      </w:pPr>
      <w:r>
        <w:rPr>
          <w:rFonts w:hint="eastAsia" w:eastAsia="仿宋_GB2312"/>
          <w:sz w:val="32"/>
          <w:szCs w:val="32"/>
          <w:lang w:val="zh-CN"/>
        </w:rPr>
        <w:t>经评价，该项目预算合理，资金管理较好，资金使用总体规范，整体工作发展态势良好，达到预期目标。</w:t>
      </w:r>
    </w:p>
    <w:p w14:paraId="3017F090">
      <w:pPr>
        <w:adjustRightInd w:val="0"/>
        <w:snapToGrid w:val="0"/>
        <w:spacing w:line="600" w:lineRule="exact"/>
        <w:ind w:firstLine="720"/>
        <w:rPr>
          <w:rFonts w:eastAsia="楷体_GB2312"/>
          <w:b/>
          <w:sz w:val="32"/>
          <w:szCs w:val="32"/>
          <w:lang w:val="zh-CN"/>
        </w:rPr>
      </w:pPr>
      <w:r>
        <w:rPr>
          <w:rFonts w:eastAsia="楷体_GB2312"/>
          <w:b/>
          <w:sz w:val="32"/>
          <w:szCs w:val="32"/>
          <w:lang w:val="zh-CN"/>
        </w:rPr>
        <w:t>（二）存在的问题。</w:t>
      </w:r>
    </w:p>
    <w:p w14:paraId="619BF310">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en-US" w:eastAsia="zh-CN"/>
        </w:rPr>
        <w:t>无</w:t>
      </w:r>
      <w:r>
        <w:rPr>
          <w:rFonts w:eastAsia="仿宋_GB2312"/>
          <w:sz w:val="32"/>
          <w:szCs w:val="32"/>
          <w:lang w:val="zh-CN"/>
        </w:rPr>
        <w:t>。</w:t>
      </w:r>
      <w:r>
        <w:rPr>
          <w:rFonts w:eastAsia="仿宋_GB2312"/>
          <w:sz w:val="32"/>
          <w:szCs w:val="32"/>
          <w:lang w:val="zh-CN"/>
        </w:rPr>
        <w:tab/>
      </w:r>
    </w:p>
    <w:p w14:paraId="1BAF59B1">
      <w:pPr>
        <w:adjustRightInd w:val="0"/>
        <w:snapToGrid w:val="0"/>
        <w:spacing w:line="600" w:lineRule="exact"/>
        <w:ind w:firstLine="720"/>
        <w:rPr>
          <w:rFonts w:eastAsia="楷体_GB2312"/>
          <w:b/>
          <w:sz w:val="32"/>
          <w:szCs w:val="32"/>
          <w:lang w:val="zh-CN"/>
        </w:rPr>
      </w:pPr>
      <w:r>
        <w:rPr>
          <w:rFonts w:eastAsia="楷体_GB2312"/>
          <w:b/>
          <w:sz w:val="32"/>
          <w:szCs w:val="32"/>
          <w:lang w:val="zh-CN"/>
        </w:rPr>
        <w:t>（三）相关建议。</w:t>
      </w:r>
    </w:p>
    <w:p w14:paraId="0C252155">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en-US" w:eastAsia="zh-CN"/>
        </w:rPr>
        <w:t>无</w:t>
      </w:r>
      <w:r>
        <w:rPr>
          <w:rFonts w:eastAsia="仿宋_GB2312"/>
          <w:sz w:val="32"/>
          <w:szCs w:val="32"/>
          <w:lang w:val="zh-CN"/>
        </w:rPr>
        <w:t>。</w:t>
      </w:r>
    </w:p>
    <w:p w14:paraId="5F234028">
      <w:pPr>
        <w:rPr>
          <w:rFonts w:eastAsia="仿宋_GB2312"/>
          <w:sz w:val="32"/>
          <w:szCs w:val="32"/>
        </w:rPr>
      </w:pPr>
    </w:p>
    <w:p w14:paraId="4C4B58A9">
      <w:pPr>
        <w:widowControl/>
        <w:jc w:val="center"/>
        <w:outlineLvl w:val="0"/>
        <w:rPr>
          <w:rFonts w:hint="eastAsia" w:ascii="Times New Roman" w:hAnsi="Times New Roman" w:eastAsia="黑体"/>
          <w:color w:val="auto"/>
          <w:sz w:val="44"/>
          <w:szCs w:val="44"/>
          <w:highlight w:val="none"/>
        </w:rPr>
      </w:pPr>
    </w:p>
    <w:p w14:paraId="69976F16">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55848E53">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7397A772">
      <w:pPr>
        <w:widowControl w:val="0"/>
        <w:spacing w:after="120" w:line="600" w:lineRule="exact"/>
        <w:jc w:val="center"/>
        <w:outlineLvl w:val="0"/>
        <w:rPr>
          <w:rFonts w:ascii="Times New Roman" w:hAnsi="Times New Roman" w:eastAsia="仿宋_GB2312" w:cs="Times New Roman"/>
          <w:color w:val="auto"/>
          <w:kern w:val="2"/>
          <w:sz w:val="32"/>
          <w:szCs w:val="32"/>
          <w:lang w:val="en-US" w:eastAsia="zh-CN" w:bidi="ar-SA"/>
        </w:rPr>
      </w:pPr>
      <w:bookmarkStart w:id="134" w:name="_Toc29449"/>
      <w:r>
        <w:rPr>
          <w:rFonts w:hint="eastAsia" w:ascii="方正仿宋_GBK" w:hAnsi="方正仿宋_GBK" w:eastAsia="方正仿宋_GBK" w:cs="方正仿宋_GBK"/>
          <w:color w:val="auto"/>
          <w:kern w:val="2"/>
          <w:sz w:val="32"/>
          <w:szCs w:val="32"/>
          <w:lang w:val="en-US" w:eastAsia="zh-CN" w:bidi="ar-SA"/>
        </w:rPr>
        <w:t>（</w:t>
      </w:r>
      <w:r>
        <w:rPr>
          <w:rFonts w:hint="eastAsia" w:ascii="方正仿宋_GBK" w:hAnsi="方正仿宋_GBK" w:eastAsia="方正仿宋_GBK" w:cs="方正仿宋_GBK"/>
          <w:bCs/>
          <w:kern w:val="2"/>
          <w:sz w:val="32"/>
          <w:szCs w:val="32"/>
          <w:lang w:val="en-US" w:eastAsia="zh-CN" w:bidi="ar-SA"/>
        </w:rPr>
        <w:t>攀枝花市紧缺战略性矿产资源调查评价项目</w:t>
      </w:r>
      <w:r>
        <w:rPr>
          <w:rFonts w:hint="eastAsia" w:ascii="方正仿宋_GBK" w:hAnsi="方正仿宋_GBK" w:eastAsia="方正仿宋_GBK" w:cs="方正仿宋_GBK"/>
          <w:color w:val="auto"/>
          <w:kern w:val="2"/>
          <w:sz w:val="32"/>
          <w:szCs w:val="32"/>
          <w:lang w:val="en-US" w:eastAsia="zh-CN" w:bidi="ar-SA"/>
        </w:rPr>
        <w:t>）</w:t>
      </w:r>
      <w:bookmarkEnd w:id="134"/>
    </w:p>
    <w:p w14:paraId="58E7E935">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64206C9">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4A17CDD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3D5AEE0">
      <w:pPr>
        <w:snapToGrid w:val="0"/>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zh-CN"/>
        </w:rPr>
        <w:t xml:space="preserve"> 项目为《攀枝花市发展和改革委员会</w:t>
      </w:r>
      <w:r>
        <w:rPr>
          <w:rFonts w:hint="default" w:ascii="Times New Roman" w:hAnsi="Times New Roman" w:eastAsia="仿宋_GB2312" w:cs="Times New Roman"/>
          <w:sz w:val="32"/>
          <w:szCs w:val="32"/>
          <w:lang w:val="en-US" w:eastAsia="zh-CN"/>
        </w:rPr>
        <w:t xml:space="preserve"> 攀枝花市财政局关于印发</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2023年攀枝花市规划及重大项目前期工作经费安排计划</w:t>
      </w:r>
      <w:r>
        <w:rPr>
          <w:rFonts w:hint="eastAsia" w:eastAsia="仿宋_GB2312" w:cs="Times New Roman"/>
          <w:sz w:val="32"/>
          <w:szCs w:val="32"/>
          <w:lang w:val="en-US" w:eastAsia="zh-CN"/>
        </w:rPr>
        <w:t>〉的通知》</w:t>
      </w:r>
      <w:r>
        <w:rPr>
          <w:rFonts w:hint="default" w:ascii="Times New Roman" w:hAnsi="Times New Roman" w:eastAsia="仿宋_GB2312" w:cs="Times New Roman"/>
          <w:sz w:val="32"/>
          <w:szCs w:val="32"/>
          <w:lang w:val="zh-CN"/>
        </w:rPr>
        <w:t>（攀发改发〔</w:t>
      </w:r>
      <w:r>
        <w:rPr>
          <w:rFonts w:hint="default" w:ascii="Times New Roman" w:hAnsi="Times New Roman" w:eastAsia="仿宋_GB2312" w:cs="Times New Roman"/>
          <w:sz w:val="32"/>
          <w:szCs w:val="32"/>
          <w:lang w:val="en-US" w:eastAsia="zh-CN"/>
        </w:rPr>
        <w:t>2023</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10号文</w:t>
      </w:r>
      <w:r>
        <w:rPr>
          <w:rFonts w:hint="default" w:ascii="Times New Roman" w:hAnsi="Times New Roman" w:eastAsia="仿宋_GB2312" w:cs="Times New Roman"/>
          <w:sz w:val="32"/>
          <w:szCs w:val="32"/>
          <w:lang w:val="zh-CN"/>
        </w:rPr>
        <w:t>）批准项目，并下达资金</w:t>
      </w:r>
      <w:r>
        <w:rPr>
          <w:rFonts w:hint="default" w:ascii="Times New Roman" w:hAnsi="Times New Roman" w:eastAsia="仿宋_GB2312" w:cs="Times New Roman"/>
          <w:sz w:val="32"/>
          <w:szCs w:val="32"/>
          <w:lang w:val="en-US" w:eastAsia="zh-CN"/>
        </w:rPr>
        <w:t>180万元。2023年11月30日经竞争性磋商，以178.5万元的中标价委托</w:t>
      </w:r>
      <w:r>
        <w:rPr>
          <w:rFonts w:hint="eastAsia" w:eastAsia="仿宋_GB2312" w:cs="Times New Roman"/>
          <w:sz w:val="32"/>
          <w:szCs w:val="32"/>
          <w:lang w:val="en-US" w:eastAsia="zh-CN"/>
        </w:rPr>
        <w:t>一〇六</w:t>
      </w:r>
      <w:r>
        <w:rPr>
          <w:rFonts w:hint="default" w:ascii="Times New Roman" w:hAnsi="Times New Roman" w:eastAsia="仿宋_GB2312" w:cs="Times New Roman"/>
          <w:sz w:val="32"/>
          <w:szCs w:val="32"/>
          <w:lang w:val="en-US" w:eastAsia="zh-CN"/>
        </w:rPr>
        <w:t>地质队承担。2023年已支付项目总费用的20%即35.7万元，项目已经验收完成。2025年</w:t>
      </w:r>
      <w:r>
        <w:rPr>
          <w:rFonts w:hint="default" w:ascii="Times New Roman" w:hAnsi="Times New Roman" w:eastAsia="仿宋_GB2312" w:cs="Times New Roman"/>
          <w:sz w:val="32"/>
          <w:szCs w:val="32"/>
        </w:rPr>
        <w:t>申报项目预算金</w:t>
      </w:r>
      <w:r>
        <w:rPr>
          <w:rFonts w:hint="default" w:ascii="Times New Roman" w:hAnsi="Times New Roman" w:eastAsia="仿宋_GB2312" w:cs="Times New Roman"/>
          <w:sz w:val="32"/>
          <w:szCs w:val="32"/>
          <w:u w:val="none"/>
        </w:rPr>
        <w:t>额为</w:t>
      </w:r>
      <w:r>
        <w:rPr>
          <w:rFonts w:hint="default" w:ascii="Times New Roman" w:hAnsi="Times New Roman" w:eastAsia="仿宋_GB2312" w:cs="Times New Roman"/>
          <w:sz w:val="32"/>
          <w:szCs w:val="32"/>
          <w:u w:val="none"/>
          <w:lang w:val="en-US" w:eastAsia="zh-CN"/>
        </w:rPr>
        <w:t>142.8</w:t>
      </w:r>
      <w:r>
        <w:rPr>
          <w:rFonts w:hint="default" w:ascii="Times New Roman" w:hAnsi="Times New Roman" w:eastAsia="仿宋_GB2312" w:cs="Times New Roman"/>
          <w:sz w:val="32"/>
          <w:szCs w:val="32"/>
          <w:u w:val="none"/>
        </w:rPr>
        <w:t>万元</w:t>
      </w:r>
      <w:r>
        <w:rPr>
          <w:rFonts w:hint="default" w:ascii="Times New Roman" w:hAnsi="Times New Roman" w:eastAsia="仿宋_GB2312" w:cs="Times New Roman"/>
          <w:sz w:val="32"/>
          <w:szCs w:val="32"/>
          <w:u w:val="none"/>
          <w:lang w:eastAsia="zh-CN"/>
        </w:rPr>
        <w:t>，</w:t>
      </w:r>
      <w:r>
        <w:rPr>
          <w:rFonts w:hint="default" w:ascii="Times New Roman" w:hAnsi="Times New Roman" w:eastAsia="仿宋_GB2312" w:cs="Times New Roman"/>
          <w:sz w:val="32"/>
          <w:szCs w:val="32"/>
          <w:lang w:eastAsia="zh-CN"/>
        </w:rPr>
        <w:t>实际支付</w:t>
      </w:r>
      <w:r>
        <w:rPr>
          <w:rFonts w:hint="default" w:ascii="Times New Roman" w:hAnsi="Times New Roman" w:eastAsia="仿宋_GB2312" w:cs="Times New Roman"/>
          <w:sz w:val="32"/>
          <w:szCs w:val="32"/>
          <w:lang w:val="en-US" w:eastAsia="zh-CN"/>
        </w:rPr>
        <w:t>12.8万元</w:t>
      </w:r>
      <w:r>
        <w:rPr>
          <w:rFonts w:hint="default" w:ascii="Times New Roman" w:hAnsi="Times New Roman" w:eastAsia="仿宋_GB2312" w:cs="Times New Roman"/>
          <w:sz w:val="32"/>
          <w:szCs w:val="32"/>
        </w:rPr>
        <w:t>（资金来源为财政资金）</w:t>
      </w:r>
    </w:p>
    <w:p w14:paraId="1B168AFD">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（二）项目绩效目标。</w:t>
      </w:r>
    </w:p>
    <w:p w14:paraId="4BA283B6">
      <w:pPr>
        <w:snapToGrid w:val="0"/>
        <w:spacing w:line="600" w:lineRule="exact"/>
        <w:ind w:firstLine="640" w:firstLineChars="2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项目</w:t>
      </w:r>
      <w:r>
        <w:rPr>
          <w:rFonts w:hint="default" w:ascii="Times New Roman" w:hAnsi="Times New Roman" w:eastAsia="仿宋_GB2312" w:cs="Times New Roman"/>
          <w:sz w:val="32"/>
          <w:szCs w:val="32"/>
          <w:lang w:val="en-US" w:eastAsia="zh-CN"/>
        </w:rPr>
        <w:t>通过野外地质勘查、地球物理勘查等方法，获取地质信息。对采集到的地质信息进行分析和解释，以查明</w:t>
      </w:r>
      <w:r>
        <w:rPr>
          <w:rFonts w:hint="eastAsia" w:ascii="Times New Roman" w:hAnsi="Times New Roman" w:eastAsia="仿宋_GB2312" w:cs="Times New Roman"/>
          <w:sz w:val="32"/>
          <w:szCs w:val="32"/>
          <w:lang w:val="en-US" w:eastAsia="zh-CN"/>
        </w:rPr>
        <w:t>我市</w:t>
      </w:r>
      <w:r>
        <w:rPr>
          <w:rFonts w:hint="default" w:ascii="Times New Roman" w:hAnsi="Times New Roman" w:eastAsia="仿宋_GB2312" w:cs="Times New Roman"/>
          <w:sz w:val="32"/>
          <w:szCs w:val="32"/>
          <w:lang w:val="en-US" w:eastAsia="zh-CN"/>
        </w:rPr>
        <w:t>紧缺战略性资源分布特征、赋存规律，初步评价资源数量和质量，划定找矿重点区域。根据调查评价结果划定找矿重点区域，圈定找矿靶区，包装申报不少于 3 个中央、省财政资金支持找矿项目，并实现成功入库。</w:t>
      </w:r>
    </w:p>
    <w:p w14:paraId="36333648">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（三）项目自评步骤及方法。</w:t>
      </w:r>
    </w:p>
    <w:p w14:paraId="197C910E">
      <w:pPr>
        <w:snapToGrid w:val="0"/>
        <w:spacing w:line="60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sz w:val="32"/>
          <w:szCs w:val="32"/>
        </w:rPr>
        <w:t>本项目通过</w:t>
      </w:r>
      <w:r>
        <w:rPr>
          <w:rFonts w:hint="default" w:ascii="Times New Roman" w:hAnsi="Times New Roman" w:eastAsia="仿宋_GB2312" w:cs="Times New Roman"/>
          <w:sz w:val="32"/>
          <w:szCs w:val="32"/>
          <w:u w:val="none"/>
        </w:rPr>
        <w:t>现场踏勘、与项目相关人员座谈或讨论、聘请相关专业专家、市场调研</w:t>
      </w:r>
      <w:r>
        <w:rPr>
          <w:rFonts w:hint="default" w:ascii="Times New Roman" w:hAnsi="Times New Roman" w:eastAsia="仿宋_GB2312" w:cs="Times New Roman"/>
          <w:color w:val="auto"/>
          <w:sz w:val="32"/>
          <w:szCs w:val="32"/>
          <w:u w:val="none"/>
        </w:rPr>
        <w:t>了</w:t>
      </w:r>
      <w:r>
        <w:rPr>
          <w:rFonts w:hint="default" w:ascii="Times New Roman" w:hAnsi="Times New Roman" w:eastAsia="仿宋_GB2312" w:cs="Times New Roman"/>
          <w:color w:val="auto"/>
          <w:sz w:val="32"/>
          <w:szCs w:val="32"/>
        </w:rPr>
        <w:t>解项目情况，收集相关资料，综合分析相关情况后，对项目的立项必要性、投入经济性、目标合理性、方案可行性以及筹资合规性实施评估。</w:t>
      </w:r>
    </w:p>
    <w:p w14:paraId="4F779E32">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二、项目资金申报及使用情况</w:t>
      </w:r>
    </w:p>
    <w:p w14:paraId="492CE517">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（一）项目资金申报及批复情况。</w:t>
      </w:r>
    </w:p>
    <w:p w14:paraId="18767055">
      <w:pPr>
        <w:snapToGrid w:val="0"/>
        <w:spacing w:line="600" w:lineRule="atLeast"/>
        <w:ind w:firstLine="640" w:firstLineChars="200"/>
        <w:rPr>
          <w:rFonts w:hint="default" w:ascii="Times New Roman" w:hAnsi="Times New Roman" w:eastAsia="仿宋_GB2312" w:cs="Times New Roman"/>
          <w:sz w:val="32"/>
          <w:szCs w:val="32"/>
          <w:u w:val="none"/>
          <w:lang w:val="en-US"/>
        </w:rPr>
      </w:pPr>
      <w:r>
        <w:rPr>
          <w:rFonts w:hint="default" w:ascii="Times New Roman" w:hAnsi="Times New Roman" w:eastAsia="仿宋_GB2312" w:cs="Times New Roman"/>
          <w:sz w:val="32"/>
          <w:szCs w:val="32"/>
          <w:u w:val="none"/>
          <w:lang w:eastAsia="zh-CN"/>
        </w:rPr>
        <w:t>项目经事前询价，竞争性磋商方式采购，投入经济合理，</w:t>
      </w:r>
      <w:r>
        <w:rPr>
          <w:rFonts w:hint="default" w:ascii="Times New Roman" w:hAnsi="Times New Roman" w:eastAsia="仿宋_GB2312" w:cs="Times New Roman"/>
          <w:sz w:val="32"/>
          <w:szCs w:val="32"/>
          <w:u w:val="none"/>
        </w:rPr>
        <w:t>该项目申报预算</w:t>
      </w:r>
      <w:r>
        <w:rPr>
          <w:rFonts w:hint="eastAsia" w:ascii="Times New Roman" w:hAnsi="Times New Roman" w:eastAsia="仿宋_GB2312" w:cs="Times New Roman"/>
          <w:sz w:val="32"/>
          <w:szCs w:val="32"/>
          <w:u w:val="none"/>
          <w:lang w:val="en-US" w:eastAsia="zh-CN"/>
        </w:rPr>
        <w:t>180</w:t>
      </w:r>
      <w:r>
        <w:rPr>
          <w:rFonts w:hint="default" w:ascii="Times New Roman" w:hAnsi="Times New Roman" w:eastAsia="仿宋_GB2312" w:cs="Times New Roman"/>
          <w:sz w:val="32"/>
          <w:szCs w:val="32"/>
          <w:u w:val="none"/>
        </w:rPr>
        <w:t>万元，</w:t>
      </w:r>
      <w:r>
        <w:rPr>
          <w:rFonts w:hint="default" w:ascii="Times New Roman" w:hAnsi="Times New Roman" w:eastAsia="仿宋_GB2312" w:cs="Times New Roman"/>
          <w:sz w:val="32"/>
          <w:szCs w:val="32"/>
          <w:u w:val="none"/>
          <w:lang w:val="en-US" w:eastAsia="zh-CN"/>
        </w:rPr>
        <w:t>中标价178.5万元</w:t>
      </w:r>
      <w:r>
        <w:rPr>
          <w:rFonts w:hint="eastAsia" w:ascii="Times New Roman" w:hAnsi="Times New Roman" w:eastAsia="仿宋_GB2312" w:cs="Times New Roman"/>
          <w:sz w:val="32"/>
          <w:szCs w:val="32"/>
          <w:u w:val="none"/>
          <w:lang w:val="en-US" w:eastAsia="zh-CN"/>
        </w:rPr>
        <w:t>，</w:t>
      </w:r>
      <w:r>
        <w:rPr>
          <w:rFonts w:hint="default" w:ascii="Times New Roman" w:hAnsi="Times New Roman" w:eastAsia="仿宋_GB2312" w:cs="Times New Roman"/>
          <w:sz w:val="32"/>
          <w:szCs w:val="32"/>
          <w:u w:val="none"/>
          <w:lang w:val="en-US" w:eastAsia="zh-CN"/>
        </w:rPr>
        <w:t>2025年度</w:t>
      </w:r>
      <w:r>
        <w:rPr>
          <w:rFonts w:hint="default" w:ascii="Times New Roman" w:hAnsi="Times New Roman" w:eastAsia="仿宋_GB2312" w:cs="Times New Roman"/>
          <w:sz w:val="32"/>
          <w:szCs w:val="32"/>
          <w:u w:val="none"/>
        </w:rPr>
        <w:t>申报金额为</w:t>
      </w:r>
      <w:r>
        <w:rPr>
          <w:rFonts w:hint="eastAsia" w:ascii="Times New Roman" w:hAnsi="Times New Roman" w:eastAsia="仿宋_GB2312" w:cs="Times New Roman"/>
          <w:sz w:val="32"/>
          <w:szCs w:val="32"/>
          <w:u w:val="none"/>
          <w:lang w:val="en-US" w:eastAsia="zh-CN"/>
        </w:rPr>
        <w:t>142.8</w:t>
      </w:r>
      <w:r>
        <w:rPr>
          <w:rFonts w:hint="default" w:ascii="Times New Roman" w:hAnsi="Times New Roman" w:eastAsia="仿宋_GB2312" w:cs="Times New Roman"/>
          <w:sz w:val="32"/>
          <w:szCs w:val="32"/>
          <w:u w:val="none"/>
        </w:rPr>
        <w:t>万元</w:t>
      </w:r>
      <w:r>
        <w:rPr>
          <w:rFonts w:hint="eastAsia" w:ascii="Times New Roman" w:hAnsi="Times New Roman" w:eastAsia="仿宋_GB2312" w:cs="Times New Roman"/>
          <w:sz w:val="32"/>
          <w:szCs w:val="32"/>
          <w:u w:val="none"/>
          <w:lang w:eastAsia="zh-CN"/>
        </w:rPr>
        <w:t>，实际支付金额</w:t>
      </w:r>
      <w:r>
        <w:rPr>
          <w:rFonts w:hint="eastAsia" w:ascii="Times New Roman" w:hAnsi="Times New Roman" w:eastAsia="仿宋_GB2312" w:cs="Times New Roman"/>
          <w:sz w:val="32"/>
          <w:szCs w:val="32"/>
          <w:u w:val="none"/>
          <w:lang w:val="en-US" w:eastAsia="zh-CN"/>
        </w:rPr>
        <w:t>12.8万元</w:t>
      </w:r>
      <w:r>
        <w:rPr>
          <w:rFonts w:hint="default" w:ascii="Times New Roman" w:hAnsi="Times New Roman" w:eastAsia="仿宋_GB2312" w:cs="Times New Roman"/>
          <w:sz w:val="32"/>
          <w:szCs w:val="32"/>
          <w:u w:val="none"/>
        </w:rPr>
        <w:t>，资金来源为市级财政资金</w:t>
      </w:r>
      <w:r>
        <w:rPr>
          <w:rFonts w:hint="eastAsia" w:ascii="Times New Roman" w:hAnsi="Times New Roman" w:eastAsia="仿宋_GB2312" w:cs="Times New Roman"/>
          <w:sz w:val="32"/>
          <w:szCs w:val="32"/>
          <w:u w:val="none"/>
          <w:lang w:eastAsia="zh-CN"/>
        </w:rPr>
        <w:t>。</w:t>
      </w:r>
      <w:r>
        <w:rPr>
          <w:rFonts w:hint="eastAsia" w:ascii="Times New Roman" w:hAnsi="Times New Roman" w:eastAsia="仿宋_GB2312" w:cs="Times New Roman"/>
          <w:sz w:val="32"/>
          <w:szCs w:val="32"/>
          <w:u w:val="none"/>
          <w:lang w:val="en-US" w:eastAsia="zh-CN"/>
        </w:rPr>
        <w:t xml:space="preserve"> </w:t>
      </w:r>
    </w:p>
    <w:p w14:paraId="3B4C4E04">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（二）资金计划、到位及使用情况（可用表格形式反映）。</w:t>
      </w:r>
    </w:p>
    <w:p w14:paraId="6A96EE31">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hint="default" w:ascii="Times New Roman" w:hAnsi="Times New Roman" w:eastAsia="楷体_GB2312" w:cs="Times New Roman"/>
          <w:sz w:val="32"/>
          <w:szCs w:val="32"/>
          <w:lang w:val="zh-CN"/>
        </w:rPr>
        <w:t>资金计划。</w:t>
      </w:r>
      <w:r>
        <w:rPr>
          <w:rFonts w:hint="default" w:ascii="Times New Roman" w:hAnsi="Times New Roman" w:eastAsia="仿宋_GB2312" w:cs="Times New Roman"/>
          <w:sz w:val="32"/>
          <w:szCs w:val="32"/>
          <w:lang w:val="en-US" w:eastAsia="zh-CN"/>
        </w:rPr>
        <w:t>本项目资金来源为市级财政资金。</w:t>
      </w:r>
    </w:p>
    <w:p w14:paraId="54E441DF">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2.</w:t>
      </w:r>
      <w:r>
        <w:rPr>
          <w:rFonts w:hint="default" w:ascii="Times New Roman" w:hAnsi="Times New Roman" w:eastAsia="楷体_GB2312" w:cs="Times New Roman"/>
          <w:sz w:val="32"/>
          <w:szCs w:val="32"/>
          <w:lang w:val="zh-CN"/>
        </w:rPr>
        <w:t>资金到位。</w:t>
      </w:r>
      <w:r>
        <w:rPr>
          <w:rFonts w:hint="default" w:ascii="Times New Roman" w:hAnsi="Times New Roman" w:eastAsia="楷体_GB2312" w:cs="Times New Roman"/>
          <w:sz w:val="32"/>
          <w:szCs w:val="32"/>
          <w:lang w:val="en-US" w:eastAsia="zh-CN"/>
        </w:rPr>
        <w:t>2025年度</w:t>
      </w:r>
      <w:r>
        <w:rPr>
          <w:rFonts w:hint="default" w:ascii="Times New Roman" w:hAnsi="Times New Roman" w:eastAsia="仿宋_GB2312" w:cs="Times New Roman"/>
          <w:sz w:val="32"/>
          <w:szCs w:val="32"/>
          <w:lang w:val="en-US" w:eastAsia="zh-CN"/>
        </w:rPr>
        <w:t>项目拨付资金</w:t>
      </w:r>
      <w:r>
        <w:rPr>
          <w:rFonts w:hint="eastAsia" w:ascii="Times New Roman" w:hAnsi="Times New Roman" w:eastAsia="仿宋_GB2312" w:cs="Times New Roman"/>
          <w:sz w:val="32"/>
          <w:szCs w:val="32"/>
          <w:lang w:val="en-US" w:eastAsia="zh-CN"/>
        </w:rPr>
        <w:t>12.8</w:t>
      </w:r>
      <w:r>
        <w:rPr>
          <w:rFonts w:hint="default" w:ascii="Times New Roman" w:hAnsi="Times New Roman" w:eastAsia="仿宋_GB2312" w:cs="Times New Roman"/>
          <w:sz w:val="32"/>
          <w:szCs w:val="32"/>
          <w:lang w:val="en-US" w:eastAsia="zh-CN"/>
        </w:rPr>
        <w:t>万元，按时到位</w:t>
      </w:r>
      <w:r>
        <w:rPr>
          <w:rFonts w:hint="default" w:ascii="Times New Roman" w:hAnsi="Times New Roman" w:eastAsia="仿宋_GB2312" w:cs="Times New Roman"/>
          <w:sz w:val="32"/>
          <w:szCs w:val="32"/>
          <w:lang w:val="zh-CN" w:eastAsia="zh-CN"/>
        </w:rPr>
        <w:t>。</w:t>
      </w:r>
    </w:p>
    <w:p w14:paraId="140D70BB">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3.</w:t>
      </w:r>
      <w:r>
        <w:rPr>
          <w:rFonts w:hint="default" w:ascii="Times New Roman" w:hAnsi="Times New Roman" w:eastAsia="楷体_GB2312" w:cs="Times New Roman"/>
          <w:sz w:val="32"/>
          <w:szCs w:val="32"/>
          <w:lang w:val="zh-CN"/>
        </w:rPr>
        <w:t>资金使用。</w:t>
      </w:r>
      <w:r>
        <w:rPr>
          <w:rFonts w:hint="default" w:ascii="Times New Roman" w:hAnsi="Times New Roman" w:eastAsia="仿宋_GB2312" w:cs="Times New Roman"/>
          <w:sz w:val="32"/>
          <w:szCs w:val="32"/>
          <w:lang w:val="en-US" w:eastAsia="zh-CN"/>
        </w:rPr>
        <w:t>经供应商申请，按照合同约定进行费用支付。</w:t>
      </w:r>
    </w:p>
    <w:p w14:paraId="6F7E276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38E6A44F">
      <w:pPr>
        <w:adjustRightInd w:val="0"/>
        <w:snapToGrid w:val="0"/>
        <w:spacing w:line="56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按照攀枝花市自然资源和规划局资金管理制度进行项目资金管理，</w:t>
      </w:r>
      <w:r>
        <w:rPr>
          <w:rFonts w:hint="default" w:ascii="Times New Roman" w:hAnsi="Times New Roman" w:eastAsia="仿宋_GB2312" w:cs="Times New Roman"/>
          <w:sz w:val="32"/>
          <w:szCs w:val="32"/>
          <w:lang w:val="en-US" w:eastAsia="zh-CN"/>
        </w:rPr>
        <w:t>财务处理及时，会计核算规范</w:t>
      </w:r>
      <w:r>
        <w:rPr>
          <w:rFonts w:hint="default" w:ascii="Times New Roman" w:hAnsi="Times New Roman" w:eastAsia="仿宋_GB2312" w:cs="Times New Roman"/>
          <w:sz w:val="32"/>
          <w:szCs w:val="32"/>
          <w:lang w:val="zh-CN"/>
        </w:rPr>
        <w:t>。</w:t>
      </w:r>
    </w:p>
    <w:p w14:paraId="2E1C2A67">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37BF835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hint="default" w:ascii="Times New Roman" w:hAnsi="Times New Roman" w:eastAsia="仿宋_GB2312" w:cs="Times New Roman"/>
          <w:sz w:val="32"/>
          <w:szCs w:val="32"/>
          <w:lang w:val="en-US" w:eastAsia="zh-CN"/>
        </w:rPr>
        <w:t>局财务科负责资金来源，保障资金支付；局地质矿产保护监督科会同矿业权管理科、财务科、法规科通过专家评审、验收工作。</w:t>
      </w:r>
    </w:p>
    <w:p w14:paraId="02501E2B">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楷体_GB2312" w:cs="Times New Roman"/>
          <w:b/>
          <w:sz w:val="32"/>
          <w:szCs w:val="32"/>
          <w:lang w:val="zh-CN"/>
        </w:rPr>
        <w:t>（二）项目管理情况。</w:t>
      </w:r>
      <w:r>
        <w:rPr>
          <w:rFonts w:hint="default" w:ascii="Times New Roman" w:hAnsi="Times New Roman" w:eastAsia="仿宋_GB2312" w:cs="Times New Roman"/>
          <w:color w:val="auto"/>
          <w:sz w:val="32"/>
          <w:szCs w:val="32"/>
          <w:u w:val="none"/>
          <w:lang w:eastAsia="zh-CN"/>
        </w:rPr>
        <w:t>本次对项目投入</w:t>
      </w:r>
      <w:r>
        <w:rPr>
          <w:rFonts w:hint="default" w:ascii="Times New Roman" w:hAnsi="Times New Roman" w:eastAsia="仿宋_GB2312" w:cs="Times New Roman"/>
          <w:color w:val="auto"/>
          <w:sz w:val="32"/>
          <w:szCs w:val="32"/>
        </w:rPr>
        <w:t>经济性的评估是在项目事前绩效评估、预算测算的基础上，按照厉行节约的要求，结合相关费用标准及市场价格水平，重点对数量是否合理、投入是否经济、预算测算是否准确、测算过程是否详细、测算依据是否充分等方面进行了评估。</w:t>
      </w:r>
      <w:r>
        <w:rPr>
          <w:rFonts w:hint="default" w:ascii="Times New Roman" w:hAnsi="Times New Roman" w:eastAsia="仿宋_GB2312" w:cs="Times New Roman"/>
          <w:sz w:val="32"/>
          <w:szCs w:val="32"/>
          <w:lang w:val="en-US" w:eastAsia="zh-CN"/>
        </w:rPr>
        <w:t>根据《中华人民共和国政府采购法》，采取</w:t>
      </w:r>
      <w:r>
        <w:rPr>
          <w:rFonts w:hint="eastAsia" w:ascii="Times New Roman" w:hAnsi="Times New Roman" w:eastAsia="仿宋_GB2312" w:cs="Times New Roman"/>
          <w:sz w:val="32"/>
          <w:szCs w:val="32"/>
          <w:lang w:val="en-US" w:eastAsia="zh-CN"/>
        </w:rPr>
        <w:t>竞争性磋商方式</w:t>
      </w:r>
      <w:r>
        <w:rPr>
          <w:rFonts w:hint="default" w:ascii="Times New Roman" w:hAnsi="Times New Roman" w:eastAsia="仿宋_GB2312" w:cs="Times New Roman"/>
          <w:sz w:val="32"/>
          <w:szCs w:val="32"/>
          <w:lang w:val="en-US" w:eastAsia="zh-CN"/>
        </w:rPr>
        <w:t>对</w:t>
      </w:r>
      <w:r>
        <w:rPr>
          <w:rFonts w:hint="eastAsia" w:ascii="Times New Roman" w:hAnsi="Times New Roman" w:eastAsia="仿宋_GB2312" w:cs="Times New Roman"/>
          <w:sz w:val="32"/>
          <w:szCs w:val="32"/>
          <w:lang w:val="en-US" w:eastAsia="zh-CN"/>
        </w:rPr>
        <w:t>攀枝花市紧缺战略性资源</w:t>
      </w:r>
      <w:r>
        <w:rPr>
          <w:rFonts w:hint="default" w:ascii="Times New Roman" w:hAnsi="Times New Roman" w:eastAsia="仿宋_GB2312" w:cs="Times New Roman"/>
          <w:sz w:val="32"/>
          <w:szCs w:val="32"/>
        </w:rPr>
        <w:t>调查评价项目</w:t>
      </w:r>
      <w:r>
        <w:rPr>
          <w:rFonts w:hint="default" w:ascii="Times New Roman" w:hAnsi="Times New Roman" w:eastAsia="仿宋_GB2312" w:cs="Times New Roman"/>
          <w:sz w:val="32"/>
          <w:szCs w:val="32"/>
          <w:lang w:eastAsia="zh-CN"/>
        </w:rPr>
        <w:t>进行</w:t>
      </w:r>
      <w:r>
        <w:rPr>
          <w:rFonts w:hint="eastAsia" w:ascii="Times New Roman" w:hAnsi="Times New Roman" w:eastAsia="仿宋_GB2312" w:cs="Times New Roman"/>
          <w:sz w:val="32"/>
          <w:szCs w:val="32"/>
          <w:lang w:eastAsia="zh-CN"/>
        </w:rPr>
        <w:t>政府采购</w:t>
      </w:r>
      <w:r>
        <w:rPr>
          <w:rFonts w:hint="default" w:ascii="Times New Roman" w:hAnsi="Times New Roman" w:eastAsia="仿宋_GB2312" w:cs="Times New Roman"/>
          <w:sz w:val="32"/>
          <w:szCs w:val="32"/>
          <w:lang w:eastAsia="zh-CN"/>
        </w:rPr>
        <w:t>工作</w:t>
      </w:r>
      <w:r>
        <w:rPr>
          <w:rFonts w:hint="default" w:ascii="Times New Roman" w:hAnsi="Times New Roman" w:eastAsia="仿宋_GB2312" w:cs="Times New Roman"/>
          <w:sz w:val="32"/>
          <w:szCs w:val="32"/>
          <w:lang w:val="en-US" w:eastAsia="zh-CN"/>
        </w:rPr>
        <w:t>。</w:t>
      </w:r>
    </w:p>
    <w:p w14:paraId="45C81B55">
      <w:pPr>
        <w:adjustRightInd w:val="0"/>
        <w:snapToGrid w:val="0"/>
        <w:spacing w:line="600" w:lineRule="exact"/>
        <w:ind w:firstLine="720"/>
        <w:rPr>
          <w:rFonts w:hint="eastAsia"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按照地勘项目管理相关办法对项目实施进行监督、验收等。</w:t>
      </w:r>
    </w:p>
    <w:p w14:paraId="5C5AD35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43AA043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21398033">
      <w:p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rPr>
        <w:t>该项目已实施完成，完成合同约定工作量，达到预期目标。</w:t>
      </w:r>
    </w:p>
    <w:p w14:paraId="21E7840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803281D">
      <w:pPr>
        <w:adjustRightInd w:val="0"/>
        <w:snapToGrid w:val="0"/>
        <w:spacing w:line="600" w:lineRule="exact"/>
        <w:ind w:firstLine="720"/>
        <w:rPr>
          <w:rFonts w:hint="default" w:ascii="Times New Roman" w:hAnsi="Times New Roman" w:eastAsia="仿宋_GB2312" w:cs="Times New Roman"/>
          <w:spacing w:val="2"/>
          <w:sz w:val="32"/>
          <w:szCs w:val="32"/>
          <w:lang w:eastAsia="zh-CN"/>
        </w:rPr>
      </w:pPr>
      <w:r>
        <w:rPr>
          <w:rFonts w:hint="eastAsia" w:ascii="Times New Roman" w:hAnsi="Times New Roman" w:eastAsia="仿宋_GB2312" w:cs="Times New Roman"/>
          <w:spacing w:val="2"/>
          <w:sz w:val="32"/>
          <w:szCs w:val="32"/>
          <w:lang w:eastAsia="zh-CN"/>
        </w:rPr>
        <w:t>项目</w:t>
      </w:r>
      <w:r>
        <w:rPr>
          <w:rFonts w:hint="default" w:ascii="Times New Roman" w:hAnsi="Times New Roman" w:eastAsia="仿宋_GB2312" w:cs="Times New Roman"/>
          <w:spacing w:val="2"/>
          <w:sz w:val="32"/>
          <w:szCs w:val="32"/>
        </w:rPr>
        <w:t>通过</w:t>
      </w:r>
      <w:r>
        <w:rPr>
          <w:rFonts w:hint="default" w:ascii="Times New Roman" w:hAnsi="Times New Roman" w:eastAsia="仿宋_GB2312" w:cs="Times New Roman"/>
          <w:sz w:val="32"/>
          <w:szCs w:val="32"/>
        </w:rPr>
        <w:t>野</w:t>
      </w:r>
      <w:r>
        <w:rPr>
          <w:rFonts w:hint="default" w:ascii="Times New Roman" w:hAnsi="Times New Roman" w:eastAsia="仿宋_GB2312" w:cs="Times New Roman"/>
          <w:spacing w:val="2"/>
          <w:sz w:val="32"/>
          <w:szCs w:val="32"/>
        </w:rPr>
        <w:t>外</w:t>
      </w:r>
      <w:r>
        <w:rPr>
          <w:rFonts w:hint="default" w:ascii="Times New Roman" w:hAnsi="Times New Roman" w:eastAsia="仿宋_GB2312" w:cs="Times New Roman"/>
          <w:sz w:val="32"/>
          <w:szCs w:val="32"/>
        </w:rPr>
        <w:t>地</w:t>
      </w:r>
      <w:r>
        <w:rPr>
          <w:rFonts w:hint="default" w:ascii="Times New Roman" w:hAnsi="Times New Roman" w:eastAsia="仿宋_GB2312" w:cs="Times New Roman"/>
          <w:spacing w:val="2"/>
          <w:sz w:val="32"/>
          <w:szCs w:val="32"/>
        </w:rPr>
        <w:t>质勘</w:t>
      </w:r>
      <w:r>
        <w:rPr>
          <w:rFonts w:hint="default" w:ascii="Times New Roman" w:hAnsi="Times New Roman" w:eastAsia="仿宋_GB2312" w:cs="Times New Roman"/>
          <w:sz w:val="32"/>
          <w:szCs w:val="32"/>
        </w:rPr>
        <w:t>查</w:t>
      </w:r>
      <w:r>
        <w:rPr>
          <w:rFonts w:hint="default" w:ascii="Times New Roman" w:hAnsi="Times New Roman" w:eastAsia="仿宋_GB2312" w:cs="Times New Roman"/>
          <w:spacing w:val="2"/>
          <w:sz w:val="32"/>
          <w:szCs w:val="32"/>
        </w:rPr>
        <w:t>、</w:t>
      </w:r>
      <w:r>
        <w:rPr>
          <w:rFonts w:hint="default" w:ascii="Times New Roman" w:hAnsi="Times New Roman" w:eastAsia="仿宋_GB2312" w:cs="Times New Roman"/>
          <w:sz w:val="32"/>
          <w:szCs w:val="32"/>
        </w:rPr>
        <w:t>地</w:t>
      </w:r>
      <w:r>
        <w:rPr>
          <w:rFonts w:hint="default" w:ascii="Times New Roman" w:hAnsi="Times New Roman" w:eastAsia="仿宋_GB2312" w:cs="Times New Roman"/>
          <w:spacing w:val="2"/>
          <w:sz w:val="32"/>
          <w:szCs w:val="32"/>
        </w:rPr>
        <w:t>球物</w:t>
      </w:r>
      <w:r>
        <w:rPr>
          <w:rFonts w:hint="default" w:ascii="Times New Roman" w:hAnsi="Times New Roman" w:eastAsia="仿宋_GB2312" w:cs="Times New Roman"/>
          <w:sz w:val="32"/>
          <w:szCs w:val="32"/>
        </w:rPr>
        <w:t>理</w:t>
      </w:r>
      <w:r>
        <w:rPr>
          <w:rFonts w:hint="default" w:ascii="Times New Roman" w:hAnsi="Times New Roman" w:eastAsia="仿宋_GB2312" w:cs="Times New Roman"/>
          <w:spacing w:val="2"/>
          <w:sz w:val="32"/>
          <w:szCs w:val="32"/>
        </w:rPr>
        <w:t>勘</w:t>
      </w:r>
      <w:r>
        <w:rPr>
          <w:rFonts w:hint="default" w:ascii="Times New Roman" w:hAnsi="Times New Roman" w:eastAsia="仿宋_GB2312" w:cs="Times New Roman"/>
          <w:sz w:val="32"/>
          <w:szCs w:val="32"/>
        </w:rPr>
        <w:t>查</w:t>
      </w:r>
      <w:r>
        <w:rPr>
          <w:rFonts w:hint="default" w:ascii="Times New Roman" w:hAnsi="Times New Roman" w:eastAsia="仿宋_GB2312" w:cs="Times New Roman"/>
          <w:spacing w:val="2"/>
          <w:sz w:val="32"/>
          <w:szCs w:val="32"/>
        </w:rPr>
        <w:t>等方</w:t>
      </w:r>
      <w:r>
        <w:rPr>
          <w:rFonts w:hint="default" w:ascii="Times New Roman" w:hAnsi="Times New Roman" w:eastAsia="仿宋_GB2312" w:cs="Times New Roman"/>
          <w:sz w:val="32"/>
          <w:szCs w:val="32"/>
        </w:rPr>
        <w:t>法</w:t>
      </w:r>
      <w:r>
        <w:rPr>
          <w:rFonts w:hint="default" w:ascii="Times New Roman" w:hAnsi="Times New Roman" w:eastAsia="仿宋_GB2312" w:cs="Times New Roman"/>
          <w:spacing w:val="2"/>
          <w:sz w:val="32"/>
          <w:szCs w:val="32"/>
        </w:rPr>
        <w:t>，</w:t>
      </w:r>
      <w:r>
        <w:rPr>
          <w:rFonts w:hint="default" w:ascii="Times New Roman" w:hAnsi="Times New Roman" w:eastAsia="仿宋_GB2312" w:cs="Times New Roman"/>
          <w:sz w:val="32"/>
          <w:szCs w:val="32"/>
        </w:rPr>
        <w:t>获</w:t>
      </w:r>
      <w:r>
        <w:rPr>
          <w:rFonts w:hint="default" w:ascii="Times New Roman" w:hAnsi="Times New Roman" w:eastAsia="仿宋_GB2312" w:cs="Times New Roman"/>
          <w:spacing w:val="2"/>
          <w:sz w:val="32"/>
          <w:szCs w:val="32"/>
        </w:rPr>
        <w:t>取</w:t>
      </w:r>
      <w:r>
        <w:rPr>
          <w:rFonts w:hint="default" w:ascii="Times New Roman" w:hAnsi="Times New Roman" w:eastAsia="仿宋_GB2312" w:cs="Times New Roman"/>
          <w:sz w:val="32"/>
          <w:szCs w:val="32"/>
        </w:rPr>
        <w:t>地</w:t>
      </w:r>
      <w:r>
        <w:rPr>
          <w:rFonts w:hint="default" w:ascii="Times New Roman" w:hAnsi="Times New Roman" w:eastAsia="仿宋_GB2312" w:cs="Times New Roman"/>
          <w:spacing w:val="2"/>
          <w:sz w:val="32"/>
          <w:szCs w:val="32"/>
        </w:rPr>
        <w:t>质</w:t>
      </w:r>
      <w:r>
        <w:rPr>
          <w:rFonts w:hint="default" w:ascii="Times New Roman" w:hAnsi="Times New Roman" w:eastAsia="仿宋_GB2312" w:cs="Times New Roman"/>
          <w:sz w:val="32"/>
          <w:szCs w:val="32"/>
        </w:rPr>
        <w:t>信</w:t>
      </w:r>
      <w:r>
        <w:rPr>
          <w:rFonts w:hint="default" w:ascii="Times New Roman" w:hAnsi="Times New Roman" w:eastAsia="仿宋_GB2312" w:cs="Times New Roman"/>
          <w:spacing w:val="2"/>
          <w:sz w:val="32"/>
          <w:szCs w:val="32"/>
        </w:rPr>
        <w:t>息</w:t>
      </w:r>
      <w:r>
        <w:rPr>
          <w:rFonts w:hint="default" w:ascii="Times New Roman" w:hAnsi="Times New Roman" w:eastAsia="仿宋_GB2312" w:cs="Times New Roman"/>
          <w:sz w:val="32"/>
          <w:szCs w:val="32"/>
        </w:rPr>
        <w:t>。</w:t>
      </w:r>
      <w:r>
        <w:rPr>
          <w:rFonts w:hint="default" w:ascii="Times New Roman" w:hAnsi="Times New Roman" w:eastAsia="仿宋_GB2312" w:cs="Times New Roman"/>
          <w:spacing w:val="2"/>
          <w:sz w:val="32"/>
          <w:szCs w:val="32"/>
          <w:lang w:eastAsia="zh-CN"/>
        </w:rPr>
        <w:t>对采集到的地质信息进行分析和解释，以查明</w:t>
      </w:r>
      <w:r>
        <w:rPr>
          <w:rFonts w:hint="eastAsia" w:ascii="Times New Roman" w:hAnsi="Times New Roman" w:eastAsia="仿宋_GB2312" w:cs="Times New Roman"/>
          <w:spacing w:val="2"/>
          <w:sz w:val="32"/>
          <w:szCs w:val="32"/>
          <w:lang w:eastAsia="zh-CN"/>
        </w:rPr>
        <w:t>我市</w:t>
      </w:r>
      <w:r>
        <w:rPr>
          <w:rFonts w:hint="default" w:ascii="Times New Roman" w:hAnsi="Times New Roman" w:eastAsia="仿宋_GB2312" w:cs="Times New Roman"/>
          <w:spacing w:val="2"/>
          <w:sz w:val="32"/>
          <w:szCs w:val="32"/>
          <w:lang w:eastAsia="zh-CN"/>
        </w:rPr>
        <w:t>紧缺战略性资源分布特征、赋存规律，初步评价资源数量和质量，划定找矿重点区域。根据调查评价结果划定找矿重点区域，圈定找矿靶区，包装申报不少于 3 个中央、省财政资金支持找矿项目，并实现成功入库。</w:t>
      </w:r>
    </w:p>
    <w:p w14:paraId="38AB191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5A6439A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（一）评价结论。</w:t>
      </w:r>
      <w:r>
        <w:rPr>
          <w:rFonts w:hint="eastAsia" w:ascii="方正仿宋_GBK" w:hAnsi="方正仿宋_GBK" w:eastAsia="方正仿宋_GBK" w:cs="方正仿宋_GBK"/>
          <w:b w:val="0"/>
          <w:bCs/>
          <w:sz w:val="32"/>
          <w:szCs w:val="32"/>
          <w:lang w:val="zh-CN"/>
        </w:rPr>
        <w:t>项目</w:t>
      </w:r>
      <w:r>
        <w:rPr>
          <w:rFonts w:hint="eastAsia" w:ascii="Times New Roman" w:hAnsi="Times New Roman" w:eastAsia="仿宋_GB2312" w:cs="Times New Roman"/>
          <w:sz w:val="32"/>
          <w:szCs w:val="32"/>
          <w:lang w:val="zh-CN"/>
        </w:rPr>
        <w:t>提交调查评价报告，同时提交米易县麻陇钒钛磁铁矿普查、盐边县花家山铜镍矿普查、盐边县高家村铜镍矿普查三个项目入库省级地勘基金项目库。</w:t>
      </w:r>
      <w:r>
        <w:rPr>
          <w:rFonts w:hint="eastAsia" w:ascii="Times New Roman" w:hAnsi="Times New Roman" w:eastAsia="仿宋_GB2312" w:cs="Times New Roman"/>
          <w:sz w:val="32"/>
          <w:szCs w:val="32"/>
          <w:lang w:val="en-US" w:eastAsia="zh-CN"/>
        </w:rPr>
        <w:t>项目已完成全部预期目标。</w:t>
      </w:r>
    </w:p>
    <w:p w14:paraId="27AFB4F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722FC2DA">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尚欠项目承担方资金</w:t>
      </w:r>
      <w:r>
        <w:rPr>
          <w:rFonts w:hint="eastAsia" w:ascii="Times New Roman" w:hAnsi="Times New Roman" w:eastAsia="仿宋_GB2312" w:cs="Times New Roman"/>
          <w:sz w:val="32"/>
          <w:szCs w:val="32"/>
          <w:lang w:val="en-US" w:eastAsia="zh-CN"/>
        </w:rPr>
        <w:t>130万元</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7F4FAF8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2BD0815C">
      <w:pPr>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根据财政收支情况，尽快完成项目资金支付。</w:t>
      </w:r>
    </w:p>
    <w:p w14:paraId="1F93F276">
      <w:pPr>
        <w:ind w:firstLine="4480" w:firstLineChars="14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p>
    <w:p w14:paraId="4BEF8641">
      <w:pPr>
        <w:rPr>
          <w:rFonts w:hint="default" w:ascii="Times New Roman" w:hAnsi="Times New Roman" w:eastAsia="方正小标宋简体" w:cs="Times New Roman"/>
          <w:color w:val="auto"/>
          <w:kern w:val="2"/>
          <w:sz w:val="40"/>
          <w:szCs w:val="40"/>
          <w:lang w:val="en-US" w:eastAsia="zh-CN" w:bidi="ar-SA"/>
        </w:rPr>
      </w:pPr>
      <w:r>
        <w:rPr>
          <w:rFonts w:hint="default" w:ascii="Times New Roman" w:hAnsi="Times New Roman" w:eastAsia="方正小标宋简体" w:cs="Times New Roman"/>
          <w:color w:val="auto"/>
          <w:kern w:val="2"/>
          <w:sz w:val="40"/>
          <w:szCs w:val="40"/>
          <w:lang w:val="en-US" w:eastAsia="zh-CN" w:bidi="ar-SA"/>
        </w:rPr>
        <w:br w:type="page"/>
      </w:r>
    </w:p>
    <w:p w14:paraId="0BA2CB02">
      <w:pPr>
        <w:widowControl w:val="0"/>
        <w:spacing w:line="600" w:lineRule="exact"/>
        <w:jc w:val="both"/>
        <w:rPr>
          <w:rFonts w:hint="default" w:ascii="Times New Roman" w:hAnsi="Times New Roman" w:eastAsia="方正小标宋简体" w:cs="Times New Roman"/>
          <w:color w:val="auto"/>
          <w:kern w:val="2"/>
          <w:sz w:val="40"/>
          <w:szCs w:val="40"/>
          <w:lang w:val="en-US" w:eastAsia="zh-CN" w:bidi="ar-SA"/>
        </w:rPr>
      </w:pPr>
    </w:p>
    <w:p w14:paraId="0891B11D">
      <w:pPr>
        <w:widowControl w:val="0"/>
        <w:spacing w:line="600" w:lineRule="exact"/>
        <w:jc w:val="center"/>
        <w:rPr>
          <w:rFonts w:hint="default" w:ascii="Times New Roman" w:hAnsi="Times New Roman" w:eastAsia="方正小标宋简体" w:cs="Times New Roman"/>
          <w:color w:val="auto"/>
          <w:kern w:val="2"/>
          <w:sz w:val="40"/>
          <w:szCs w:val="40"/>
          <w:lang w:val="zh-CN" w:eastAsia="zh-CN" w:bidi="ar-SA"/>
        </w:rPr>
      </w:pPr>
      <w:r>
        <w:rPr>
          <w:rFonts w:hint="default" w:ascii="Times New Roman" w:hAnsi="Times New Roman" w:eastAsia="方正小标宋简体" w:cs="Times New Roman"/>
          <w:color w:val="auto"/>
          <w:kern w:val="2"/>
          <w:sz w:val="40"/>
          <w:szCs w:val="40"/>
          <w:lang w:val="zh-CN" w:eastAsia="zh-CN" w:bidi="ar-SA"/>
        </w:rPr>
        <w:t>专项预算项目支出绩效自评报告</w:t>
      </w:r>
    </w:p>
    <w:p w14:paraId="1CDAE8EA">
      <w:pPr>
        <w:keepNext w:val="0"/>
        <w:keepLines w:val="0"/>
        <w:widowControl/>
        <w:suppressLineNumbers w:val="0"/>
        <w:spacing w:before="0" w:beforeAutospacing="0" w:after="0" w:afterAutospacing="0"/>
        <w:ind w:left="0" w:right="0" w:firstLine="0"/>
        <w:jc w:val="center"/>
        <w:rPr>
          <w:rFonts w:hint="default" w:ascii="Times New Roman" w:hAnsi="Times New Roman" w:eastAsia="仿宋_GB2312" w:cs="Times New Roman"/>
          <w:color w:val="auto"/>
          <w:kern w:val="2"/>
          <w:sz w:val="32"/>
          <w:szCs w:val="32"/>
          <w:lang w:val="en-US" w:eastAsia="zh-CN" w:bidi="ar"/>
        </w:rPr>
      </w:pPr>
      <w:r>
        <w:rPr>
          <w:rFonts w:hint="default" w:ascii="Times New Roman" w:hAnsi="Times New Roman" w:eastAsia="仿宋_GB2312" w:cs="Times New Roman"/>
          <w:color w:val="auto"/>
          <w:kern w:val="2"/>
          <w:sz w:val="32"/>
          <w:szCs w:val="32"/>
          <w:lang w:val="en-US" w:eastAsia="zh-CN" w:bidi="ar"/>
        </w:rPr>
        <w:t>（</w:t>
      </w:r>
      <w:r>
        <w:rPr>
          <w:rFonts w:hint="default" w:ascii="Times New Roman" w:hAnsi="Times New Roman" w:eastAsia="仿宋_GB2312" w:cs="Times New Roman"/>
          <w:kern w:val="0"/>
          <w:sz w:val="24"/>
          <w:szCs w:val="32"/>
          <w:lang w:val="en-US" w:eastAsia="zh-CN" w:bidi="ar"/>
        </w:rPr>
        <w:t>攀枝花市市级矿产资源</w:t>
      </w:r>
      <w:r>
        <w:rPr>
          <w:rFonts w:hint="eastAsia" w:ascii="Times New Roman" w:hAnsi="Times New Roman" w:eastAsia="仿宋_GB2312" w:cs="Times New Roman"/>
          <w:kern w:val="0"/>
          <w:sz w:val="24"/>
          <w:szCs w:val="32"/>
          <w:lang w:val="en-US" w:eastAsia="zh-CN" w:bidi="ar"/>
        </w:rPr>
        <w:t>总体</w:t>
      </w:r>
      <w:r>
        <w:rPr>
          <w:rFonts w:hint="default" w:ascii="Times New Roman" w:hAnsi="Times New Roman" w:eastAsia="仿宋_GB2312" w:cs="Times New Roman"/>
          <w:kern w:val="0"/>
          <w:sz w:val="24"/>
          <w:szCs w:val="32"/>
          <w:lang w:val="en-US" w:eastAsia="zh-CN" w:bidi="ar"/>
        </w:rPr>
        <w:t>规划（2026</w:t>
      </w:r>
      <w:r>
        <w:rPr>
          <w:rFonts w:hint="eastAsia" w:eastAsia="仿宋_GB2312" w:cs="Times New Roman"/>
          <w:kern w:val="0"/>
          <w:sz w:val="24"/>
          <w:szCs w:val="32"/>
          <w:lang w:val="en-US" w:eastAsia="zh-CN" w:bidi="ar"/>
        </w:rPr>
        <w:t>—</w:t>
      </w:r>
      <w:r>
        <w:rPr>
          <w:rFonts w:hint="default" w:ascii="Times New Roman" w:hAnsi="Times New Roman" w:eastAsia="仿宋_GB2312" w:cs="Times New Roman"/>
          <w:kern w:val="0"/>
          <w:sz w:val="24"/>
          <w:szCs w:val="32"/>
          <w:lang w:val="en-US" w:eastAsia="zh-CN" w:bidi="ar"/>
        </w:rPr>
        <w:t>2030年）编制专项工作经费</w:t>
      </w:r>
      <w:r>
        <w:rPr>
          <w:rFonts w:hint="default" w:ascii="Times New Roman" w:hAnsi="Times New Roman" w:eastAsia="仿宋_GB2312" w:cs="Times New Roman"/>
          <w:color w:val="auto"/>
          <w:kern w:val="2"/>
          <w:sz w:val="32"/>
          <w:szCs w:val="32"/>
          <w:lang w:val="en-US" w:eastAsia="zh-CN" w:bidi="ar"/>
        </w:rPr>
        <w:t>）</w:t>
      </w:r>
    </w:p>
    <w:p w14:paraId="534A7656">
      <w:pPr>
        <w:widowControl w:val="0"/>
        <w:spacing w:line="600" w:lineRule="exact"/>
        <w:ind w:firstLine="640"/>
        <w:jc w:val="center"/>
        <w:rPr>
          <w:rFonts w:hint="default" w:ascii="Times New Roman" w:hAnsi="Times New Roman" w:eastAsia="宋体" w:cs="Times New Roman"/>
          <w:color w:val="auto"/>
          <w:kern w:val="2"/>
          <w:sz w:val="32"/>
          <w:szCs w:val="32"/>
          <w:lang w:val="zh-CN" w:eastAsia="zh-CN" w:bidi="ar-SA"/>
        </w:rPr>
      </w:pPr>
    </w:p>
    <w:p w14:paraId="4F70F477">
      <w:pPr>
        <w:adjustRightInd w:val="0"/>
        <w:snapToGrid w:val="0"/>
        <w:spacing w:line="600" w:lineRule="exact"/>
        <w:ind w:firstLine="720"/>
        <w:rPr>
          <w:rFonts w:hint="default" w:ascii="Times New Roman" w:hAnsi="Times New Roman" w:eastAsia="黑体" w:cs="Times New Roman"/>
          <w:sz w:val="32"/>
          <w:szCs w:val="32"/>
          <w:lang w:val="zh-CN"/>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val="zh-CN"/>
        </w:rPr>
        <w:t>项目概况</w:t>
      </w:r>
    </w:p>
    <w:p w14:paraId="28157CC5">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（一）项目基本情况。</w:t>
      </w:r>
    </w:p>
    <w:p w14:paraId="6FF65298">
      <w:pPr>
        <w:ind w:firstLine="640" w:firstLineChars="200"/>
        <w:rPr>
          <w:rFonts w:hint="default" w:ascii="Times New Roman" w:hAnsi="Times New Roman" w:eastAsia="仿宋_GB2312" w:cs="Times New Roman"/>
          <w:color w:val="FF0000"/>
          <w:sz w:val="28"/>
          <w:szCs w:val="28"/>
          <w:lang w:val="en-US" w:eastAsia="zh-CN"/>
        </w:rPr>
      </w:pPr>
      <w:r>
        <w:rPr>
          <w:rFonts w:hint="default" w:ascii="Times New Roman" w:hAnsi="Times New Roman" w:eastAsia="仿宋_GB2312" w:cs="Times New Roman"/>
          <w:sz w:val="32"/>
          <w:szCs w:val="32"/>
        </w:rPr>
        <w:t>该项目属20</w:t>
      </w:r>
      <w:r>
        <w:rPr>
          <w:rFonts w:hint="eastAsia" w:ascii="Times New Roman" w:hAnsi="Times New Roman" w:eastAsia="仿宋_GB2312" w:cs="Times New Roman"/>
          <w:sz w:val="32"/>
          <w:szCs w:val="32"/>
          <w:lang w:val="en-US" w:eastAsia="zh-CN"/>
        </w:rPr>
        <w:t>25</w:t>
      </w:r>
      <w:r>
        <w:rPr>
          <w:rFonts w:hint="default" w:ascii="Times New Roman" w:hAnsi="Times New Roman" w:eastAsia="仿宋_GB2312" w:cs="Times New Roman"/>
          <w:sz w:val="32"/>
          <w:szCs w:val="32"/>
        </w:rPr>
        <w:t>年自然资源部、自然资源厅要求，全国同步启动国家、省、市、县（区）四级矿产资源规划（202</w:t>
      </w:r>
      <w:r>
        <w:rPr>
          <w:rFonts w:hint="eastAsia" w:ascii="Times New Roman" w:hAnsi="Times New Roman" w:eastAsia="仿宋_GB2312" w:cs="Times New Roman"/>
          <w:sz w:val="32"/>
          <w:szCs w:val="32"/>
          <w:lang w:val="en-US" w:eastAsia="zh-CN"/>
        </w:rPr>
        <w:t>6</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rPr>
        <w:t>20</w:t>
      </w:r>
      <w:r>
        <w:rPr>
          <w:rFonts w:hint="eastAsia" w:ascii="Times New Roman" w:hAnsi="Times New Roman" w:eastAsia="仿宋_GB2312" w:cs="Times New Roman"/>
          <w:sz w:val="32"/>
          <w:szCs w:val="32"/>
          <w:lang w:val="en-US" w:eastAsia="zh-CN"/>
        </w:rPr>
        <w:t>30</w:t>
      </w:r>
      <w:r>
        <w:rPr>
          <w:rFonts w:hint="default" w:ascii="Times New Roman" w:hAnsi="Times New Roman" w:eastAsia="仿宋_GB2312" w:cs="Times New Roman"/>
          <w:sz w:val="32"/>
          <w:szCs w:val="32"/>
        </w:rPr>
        <w:t>年）编制工作。</w:t>
      </w:r>
      <w:r>
        <w:rPr>
          <w:rFonts w:hint="eastAsia" w:ascii="Times New Roman" w:hAnsi="Times New Roman" w:eastAsia="仿宋_GB2312" w:cs="Times New Roman"/>
          <w:sz w:val="32"/>
          <w:szCs w:val="32"/>
          <w:lang w:eastAsia="zh-CN"/>
        </w:rPr>
        <w:t>参照上两轮矿规编制经费分别是</w:t>
      </w:r>
      <w:r>
        <w:rPr>
          <w:rFonts w:hint="eastAsia" w:ascii="Times New Roman" w:hAnsi="Times New Roman" w:eastAsia="仿宋_GB2312" w:cs="Times New Roman"/>
          <w:sz w:val="32"/>
          <w:szCs w:val="32"/>
          <w:lang w:val="en-US" w:eastAsia="zh-CN"/>
        </w:rPr>
        <w:t>128、128.28万元</w:t>
      </w:r>
      <w:r>
        <w:rPr>
          <w:rFonts w:hint="eastAsia" w:ascii="Times New Roman" w:hAnsi="Times New Roman" w:eastAsia="仿宋_GB2312" w:cs="Times New Roman"/>
          <w:sz w:val="32"/>
          <w:szCs w:val="32"/>
          <w:lang w:eastAsia="zh-CN"/>
        </w:rPr>
        <w:t>，预计需求</w:t>
      </w:r>
      <w:r>
        <w:rPr>
          <w:rFonts w:hint="eastAsia" w:ascii="Times New Roman" w:hAnsi="Times New Roman" w:eastAsia="仿宋_GB2312" w:cs="Times New Roman"/>
          <w:sz w:val="32"/>
          <w:szCs w:val="32"/>
          <w:lang w:val="en-US" w:eastAsia="zh-CN"/>
        </w:rPr>
        <w:t>130万元，经招标中标价123.8万元，请求</w:t>
      </w:r>
      <w:r>
        <w:rPr>
          <w:rFonts w:hint="default" w:ascii="Times New Roman" w:hAnsi="Times New Roman" w:eastAsia="仿宋_GB2312" w:cs="Times New Roman"/>
          <w:sz w:val="32"/>
          <w:szCs w:val="32"/>
        </w:rPr>
        <w:t>市财政分年度支付</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年度</w:t>
      </w:r>
      <w:r>
        <w:rPr>
          <w:rFonts w:hint="eastAsia" w:ascii="Times New Roman" w:hAnsi="Times New Roman" w:eastAsia="仿宋_GB2312" w:cs="Times New Roman"/>
          <w:sz w:val="32"/>
          <w:szCs w:val="32"/>
          <w:lang w:eastAsia="zh-CN"/>
        </w:rPr>
        <w:t>已</w:t>
      </w:r>
      <w:r>
        <w:rPr>
          <w:rFonts w:hint="default" w:ascii="Times New Roman" w:hAnsi="Times New Roman" w:eastAsia="仿宋_GB2312" w:cs="Times New Roman"/>
          <w:sz w:val="32"/>
          <w:szCs w:val="32"/>
        </w:rPr>
        <w:t>安排</w:t>
      </w:r>
      <w:r>
        <w:rPr>
          <w:rFonts w:hint="eastAsia" w:ascii="Times New Roman" w:hAnsi="Times New Roman" w:eastAsia="仿宋_GB2312" w:cs="Times New Roman"/>
          <w:sz w:val="32"/>
          <w:szCs w:val="32"/>
          <w:lang w:val="en-US" w:eastAsia="zh-CN"/>
        </w:rPr>
        <w:t>40</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预计</w:t>
      </w:r>
      <w:r>
        <w:rPr>
          <w:rFonts w:hint="eastAsia" w:ascii="Times New Roman" w:hAnsi="Times New Roman" w:eastAsia="仿宋_GB2312" w:cs="Times New Roman"/>
          <w:sz w:val="32"/>
          <w:szCs w:val="32"/>
          <w:lang w:val="en-US" w:eastAsia="zh-CN"/>
        </w:rPr>
        <w:t>2026年完成。</w:t>
      </w:r>
    </w:p>
    <w:p w14:paraId="12AAE1D8">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（二）项目绩效目标。</w:t>
      </w:r>
    </w:p>
    <w:p w14:paraId="1F4AAD47">
      <w:pPr>
        <w:snapToGrid w:val="0"/>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b w:val="0"/>
          <w:bCs/>
          <w:sz w:val="32"/>
          <w:szCs w:val="32"/>
          <w:lang w:eastAsia="zh-CN"/>
        </w:rPr>
        <w:t>项目为我市矿产资源开发利用和保护的纲领性文件。</w:t>
      </w:r>
      <w:r>
        <w:rPr>
          <w:rFonts w:hint="default" w:ascii="Times New Roman" w:hAnsi="Times New Roman" w:eastAsia="仿宋_GB2312" w:cs="Times New Roman"/>
          <w:sz w:val="32"/>
          <w:szCs w:val="32"/>
          <w:lang w:eastAsia="zh-CN"/>
        </w:rPr>
        <w:t>项目实施，</w:t>
      </w:r>
      <w:r>
        <w:rPr>
          <w:rFonts w:hint="default" w:ascii="Times New Roman" w:hAnsi="Times New Roman" w:eastAsia="仿宋_GB2312" w:cs="Times New Roman"/>
          <w:sz w:val="32"/>
          <w:szCs w:val="32"/>
        </w:rPr>
        <w:t>为规划期（202</w:t>
      </w:r>
      <w:r>
        <w:rPr>
          <w:rFonts w:hint="eastAsia" w:ascii="Times New Roman" w:hAnsi="Times New Roman" w:eastAsia="仿宋_GB2312" w:cs="Times New Roman"/>
          <w:sz w:val="32"/>
          <w:szCs w:val="32"/>
          <w:lang w:val="en-US" w:eastAsia="zh-CN"/>
        </w:rPr>
        <w:t>6</w:t>
      </w:r>
      <w:r>
        <w:rPr>
          <w:rFonts w:hint="eastAsia"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2030</w:t>
      </w:r>
      <w:r>
        <w:rPr>
          <w:rFonts w:hint="default" w:ascii="Times New Roman" w:hAnsi="Times New Roman" w:eastAsia="仿宋_GB2312" w:cs="Times New Roman"/>
          <w:sz w:val="32"/>
          <w:szCs w:val="32"/>
        </w:rPr>
        <w:t>年）内我市矿产资源开发利用提供规划</w:t>
      </w:r>
      <w:r>
        <w:rPr>
          <w:rFonts w:hint="eastAsia" w:ascii="Times New Roman" w:hAnsi="Times New Roman" w:eastAsia="仿宋_GB2312" w:cs="Times New Roman"/>
          <w:sz w:val="32"/>
          <w:szCs w:val="32"/>
          <w:lang w:eastAsia="zh-CN"/>
        </w:rPr>
        <w:t>依据</w:t>
      </w:r>
      <w:r>
        <w:rPr>
          <w:rFonts w:hint="default" w:ascii="Times New Roman" w:hAnsi="Times New Roman" w:eastAsia="仿宋_GB2312" w:cs="Times New Roman"/>
          <w:sz w:val="32"/>
          <w:szCs w:val="32"/>
        </w:rPr>
        <w:t>和资源保障。</w:t>
      </w:r>
    </w:p>
    <w:p w14:paraId="2BDB624C">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（三）项目自评步骤及方法。</w:t>
      </w:r>
    </w:p>
    <w:p w14:paraId="41E326DE">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项目</w:t>
      </w:r>
      <w:r>
        <w:rPr>
          <w:rFonts w:hint="default" w:ascii="Times New Roman" w:hAnsi="Times New Roman" w:eastAsia="仿宋_GB2312" w:cs="Times New Roman"/>
          <w:sz w:val="32"/>
          <w:szCs w:val="32"/>
        </w:rPr>
        <w:t>结合攀枝花矿业经济发展实际，依据国民经济和社会发展规划、国土空间规划，以提高资源安全保障能力为目标，正确处理好开发与保护、当前与长远、整体与局部的关系，使市场在资源配置中起决定性作用</w:t>
      </w:r>
      <w:r>
        <w:rPr>
          <w:rFonts w:hint="eastAsia" w:eastAsia="仿宋_GB2312" w:cs="Times New Roman"/>
          <w:sz w:val="32"/>
          <w:szCs w:val="32"/>
          <w:lang w:eastAsia="zh-CN"/>
        </w:rPr>
        <w:t>，</w:t>
      </w:r>
      <w:r>
        <w:rPr>
          <w:rFonts w:hint="default" w:ascii="Times New Roman" w:hAnsi="Times New Roman" w:eastAsia="仿宋_GB2312" w:cs="Times New Roman"/>
          <w:sz w:val="32"/>
          <w:szCs w:val="32"/>
        </w:rPr>
        <w:t>更好发挥政府作用，统筹矿产资源勘查、开发利用和保护活动，推动矿业绿色发展，确保</w:t>
      </w:r>
      <w:r>
        <w:rPr>
          <w:rFonts w:hint="default" w:ascii="Times New Roman" w:hAnsi="Times New Roman" w:eastAsia="仿宋_GB2312" w:cs="Times New Roman"/>
          <w:sz w:val="32"/>
          <w:szCs w:val="32"/>
          <w:lang w:eastAsia="zh-CN"/>
        </w:rPr>
        <w:t>我市</w:t>
      </w:r>
      <w:r>
        <w:rPr>
          <w:rFonts w:hint="default" w:ascii="Times New Roman" w:hAnsi="Times New Roman" w:eastAsia="仿宋_GB2312" w:cs="Times New Roman"/>
          <w:sz w:val="32"/>
          <w:szCs w:val="32"/>
        </w:rPr>
        <w:t>资源供给与经济社会发展需求相适应。</w:t>
      </w:r>
    </w:p>
    <w:p w14:paraId="6C5DA9B3">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二、项目资金申报及使用情况</w:t>
      </w:r>
    </w:p>
    <w:p w14:paraId="5EF89279">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（一）项目资金申报及批复情况。</w:t>
      </w:r>
    </w:p>
    <w:p w14:paraId="2D070F1B">
      <w:pPr>
        <w:snapToGrid w:val="0"/>
        <w:spacing w:line="60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lang w:eastAsia="zh-CN"/>
        </w:rPr>
        <w:t>通过横向比对其他市州经费需求和上一轮矿产资源规划编制经费</w:t>
      </w:r>
      <w:r>
        <w:rPr>
          <w:rFonts w:hint="default" w:ascii="Times New Roman" w:hAnsi="Times New Roman" w:eastAsia="仿宋_GB2312" w:cs="Times New Roman"/>
          <w:sz w:val="32"/>
          <w:szCs w:val="32"/>
          <w:u w:val="none"/>
          <w:lang w:val="en-US" w:eastAsia="zh-CN"/>
        </w:rPr>
        <w:t>128</w:t>
      </w:r>
      <w:r>
        <w:rPr>
          <w:rFonts w:hint="eastAsia" w:ascii="Times New Roman" w:hAnsi="Times New Roman" w:eastAsia="仿宋_GB2312" w:cs="Times New Roman"/>
          <w:sz w:val="32"/>
          <w:szCs w:val="32"/>
          <w:u w:val="none"/>
          <w:lang w:val="en-US" w:eastAsia="zh-CN"/>
        </w:rPr>
        <w:t>.28</w:t>
      </w:r>
      <w:r>
        <w:rPr>
          <w:rFonts w:hint="default" w:ascii="Times New Roman" w:hAnsi="Times New Roman" w:eastAsia="仿宋_GB2312" w:cs="Times New Roman"/>
          <w:sz w:val="32"/>
          <w:szCs w:val="32"/>
          <w:u w:val="none"/>
          <w:lang w:val="en-US" w:eastAsia="zh-CN"/>
        </w:rPr>
        <w:t>万元，综合考虑物价上涨等因素确定</w:t>
      </w:r>
      <w:r>
        <w:rPr>
          <w:rFonts w:hint="eastAsia" w:ascii="Times New Roman" w:hAnsi="Times New Roman" w:eastAsia="仿宋_GB2312" w:cs="Times New Roman"/>
          <w:sz w:val="32"/>
          <w:szCs w:val="32"/>
          <w:u w:val="none"/>
          <w:lang w:val="en-US" w:eastAsia="zh-CN"/>
        </w:rPr>
        <w:t>为130</w:t>
      </w:r>
      <w:r>
        <w:rPr>
          <w:rFonts w:hint="eastAsia" w:eastAsia="仿宋_GB2312" w:cs="Times New Roman"/>
          <w:sz w:val="32"/>
          <w:szCs w:val="32"/>
          <w:u w:val="none"/>
          <w:lang w:val="en-US" w:eastAsia="zh-CN"/>
        </w:rPr>
        <w:t>万元</w:t>
      </w:r>
      <w:r>
        <w:rPr>
          <w:rFonts w:hint="default" w:ascii="Times New Roman" w:hAnsi="Times New Roman" w:eastAsia="仿宋_GB2312" w:cs="Times New Roman"/>
          <w:sz w:val="32"/>
          <w:szCs w:val="32"/>
          <w:u w:val="none"/>
          <w:lang w:val="en-US" w:eastAsia="zh-CN"/>
        </w:rPr>
        <w:t>，最终招标结果</w:t>
      </w:r>
      <w:r>
        <w:rPr>
          <w:rFonts w:hint="eastAsia" w:ascii="Times New Roman" w:hAnsi="Times New Roman" w:eastAsia="仿宋_GB2312" w:cs="Times New Roman"/>
          <w:sz w:val="32"/>
          <w:szCs w:val="32"/>
          <w:u w:val="none"/>
          <w:lang w:val="en-US" w:eastAsia="zh-CN"/>
        </w:rPr>
        <w:t>为123.8万元</w:t>
      </w:r>
      <w:r>
        <w:rPr>
          <w:rFonts w:hint="default" w:ascii="Times New Roman" w:hAnsi="Times New Roman" w:eastAsia="仿宋_GB2312" w:cs="Times New Roman"/>
          <w:sz w:val="32"/>
          <w:szCs w:val="32"/>
          <w:u w:val="none"/>
          <w:lang w:val="en-US" w:eastAsia="zh-CN"/>
        </w:rPr>
        <w:t>。</w:t>
      </w:r>
    </w:p>
    <w:p w14:paraId="63027DC7">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（二）资金计划、到位及使用情况（可用表格形式反映）。</w:t>
      </w:r>
    </w:p>
    <w:p w14:paraId="2C2071E8">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hint="default" w:ascii="Times New Roman" w:hAnsi="Times New Roman" w:eastAsia="楷体_GB2312" w:cs="Times New Roman"/>
          <w:sz w:val="32"/>
          <w:szCs w:val="32"/>
          <w:lang w:val="zh-CN"/>
        </w:rPr>
        <w:t>资金计划。</w:t>
      </w:r>
      <w:r>
        <w:rPr>
          <w:rFonts w:hint="default" w:ascii="Times New Roman" w:hAnsi="Times New Roman" w:eastAsia="仿宋_GB2312" w:cs="Times New Roman"/>
          <w:sz w:val="32"/>
          <w:szCs w:val="32"/>
          <w:lang w:val="en-US" w:eastAsia="zh-CN"/>
        </w:rPr>
        <w:t>本项目资金来源为市级财政资金。</w:t>
      </w:r>
    </w:p>
    <w:p w14:paraId="2C173DBF">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2.</w:t>
      </w:r>
      <w:r>
        <w:rPr>
          <w:rFonts w:hint="default" w:ascii="Times New Roman" w:hAnsi="Times New Roman" w:eastAsia="楷体_GB2312" w:cs="Times New Roman"/>
          <w:sz w:val="32"/>
          <w:szCs w:val="32"/>
          <w:lang w:val="zh-CN"/>
        </w:rPr>
        <w:t>资金到位。</w:t>
      </w:r>
      <w:r>
        <w:rPr>
          <w:rFonts w:hint="default" w:ascii="Times New Roman" w:hAnsi="Times New Roman" w:eastAsia="楷体_GB2312" w:cs="Times New Roman"/>
          <w:sz w:val="32"/>
          <w:szCs w:val="32"/>
          <w:lang w:val="en-US" w:eastAsia="zh-CN"/>
        </w:rPr>
        <w:t>2025年度</w:t>
      </w:r>
      <w:r>
        <w:rPr>
          <w:rFonts w:hint="default" w:ascii="Times New Roman" w:hAnsi="Times New Roman" w:eastAsia="仿宋_GB2312" w:cs="Times New Roman"/>
          <w:sz w:val="32"/>
          <w:szCs w:val="32"/>
          <w:lang w:val="en-US" w:eastAsia="zh-CN"/>
        </w:rPr>
        <w:t>项目拨付资金</w:t>
      </w:r>
      <w:r>
        <w:rPr>
          <w:rFonts w:hint="eastAsia" w:ascii="Times New Roman" w:hAnsi="Times New Roman" w:eastAsia="仿宋_GB2312" w:cs="Times New Roman"/>
          <w:sz w:val="32"/>
          <w:szCs w:val="32"/>
          <w:lang w:val="en-US" w:eastAsia="zh-CN"/>
        </w:rPr>
        <w:t>40</w:t>
      </w:r>
      <w:r>
        <w:rPr>
          <w:rFonts w:hint="default" w:ascii="Times New Roman" w:hAnsi="Times New Roman" w:eastAsia="仿宋_GB2312" w:cs="Times New Roman"/>
          <w:sz w:val="32"/>
          <w:szCs w:val="32"/>
          <w:lang w:val="en-US" w:eastAsia="zh-CN"/>
        </w:rPr>
        <w:t>万元，按时到位</w:t>
      </w:r>
      <w:r>
        <w:rPr>
          <w:rFonts w:hint="default" w:ascii="Times New Roman" w:hAnsi="Times New Roman" w:eastAsia="仿宋_GB2312" w:cs="Times New Roman"/>
          <w:sz w:val="32"/>
          <w:szCs w:val="32"/>
          <w:lang w:val="zh-CN" w:eastAsia="zh-CN"/>
        </w:rPr>
        <w:t>。</w:t>
      </w:r>
    </w:p>
    <w:p w14:paraId="1D10831C">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3.</w:t>
      </w:r>
      <w:r>
        <w:rPr>
          <w:rFonts w:hint="default" w:ascii="Times New Roman" w:hAnsi="Times New Roman" w:eastAsia="楷体_GB2312" w:cs="Times New Roman"/>
          <w:sz w:val="32"/>
          <w:szCs w:val="32"/>
          <w:lang w:val="zh-CN"/>
        </w:rPr>
        <w:t>资金使用。</w:t>
      </w:r>
      <w:r>
        <w:rPr>
          <w:rFonts w:hint="default" w:ascii="Times New Roman" w:hAnsi="Times New Roman" w:eastAsia="仿宋_GB2312" w:cs="Times New Roman"/>
          <w:sz w:val="32"/>
          <w:szCs w:val="32"/>
          <w:lang w:val="en-US" w:eastAsia="zh-CN"/>
        </w:rPr>
        <w:t>经供应商申请，按照合同约定进行费用支付。</w:t>
      </w:r>
    </w:p>
    <w:p w14:paraId="4695379D">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（三）项目财务管理情况。</w:t>
      </w:r>
    </w:p>
    <w:p w14:paraId="356F409D">
      <w:pPr>
        <w:adjustRightInd w:val="0"/>
        <w:snapToGrid w:val="0"/>
        <w:spacing w:line="56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按照攀枝花市自然资源和规划局资金管理制度进行项目资金管理，</w:t>
      </w:r>
      <w:r>
        <w:rPr>
          <w:rFonts w:hint="default" w:ascii="Times New Roman" w:hAnsi="Times New Roman" w:eastAsia="仿宋_GB2312" w:cs="Times New Roman"/>
          <w:sz w:val="32"/>
          <w:szCs w:val="32"/>
          <w:lang w:val="en-US" w:eastAsia="zh-CN"/>
        </w:rPr>
        <w:t>财务处理及时，会计核算规范</w:t>
      </w:r>
      <w:r>
        <w:rPr>
          <w:rFonts w:hint="default" w:ascii="Times New Roman" w:hAnsi="Times New Roman" w:eastAsia="仿宋_GB2312" w:cs="Times New Roman"/>
          <w:sz w:val="32"/>
          <w:szCs w:val="32"/>
          <w:lang w:val="zh-CN"/>
        </w:rPr>
        <w:t>。</w:t>
      </w:r>
    </w:p>
    <w:p w14:paraId="037DD4DA">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三、项目实施及管理情况</w:t>
      </w:r>
    </w:p>
    <w:p w14:paraId="11263D4D">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（一）项目组织架构及实施流程。</w:t>
      </w:r>
      <w:r>
        <w:rPr>
          <w:rFonts w:hint="default" w:ascii="Times New Roman" w:hAnsi="Times New Roman" w:eastAsia="仿宋_GB2312" w:cs="Times New Roman"/>
          <w:sz w:val="32"/>
          <w:szCs w:val="32"/>
          <w:lang w:val="en-US" w:eastAsia="zh-CN"/>
        </w:rPr>
        <w:t>局财务科负责资金来源，保障资金支付；局地质矿产保护监督科会同矿业权管理科、财务科、法规科通过专家评审、验收工作。</w:t>
      </w:r>
    </w:p>
    <w:p w14:paraId="5493B25B">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sz w:val="32"/>
          <w:szCs w:val="32"/>
          <w:lang w:val="zh-CN"/>
        </w:rPr>
        <w:t>（二）项目管理情况。</w:t>
      </w:r>
      <w:r>
        <w:rPr>
          <w:rFonts w:hint="default" w:ascii="Times New Roman" w:hAnsi="Times New Roman" w:eastAsia="仿宋_GB2312" w:cs="Times New Roman"/>
          <w:color w:val="auto"/>
          <w:sz w:val="32"/>
          <w:szCs w:val="32"/>
          <w:u w:val="none"/>
        </w:rPr>
        <w:t>该项目申报</w:t>
      </w:r>
      <w:r>
        <w:rPr>
          <w:rFonts w:hint="default" w:ascii="Times New Roman" w:hAnsi="Times New Roman" w:eastAsia="仿宋_GB2312" w:cs="Times New Roman"/>
          <w:color w:val="auto"/>
          <w:sz w:val="32"/>
          <w:szCs w:val="32"/>
          <w:u w:val="none"/>
          <w:lang w:eastAsia="zh-CN"/>
        </w:rPr>
        <w:t>总</w:t>
      </w:r>
      <w:r>
        <w:rPr>
          <w:rFonts w:hint="default" w:ascii="Times New Roman" w:hAnsi="Times New Roman" w:eastAsia="仿宋_GB2312" w:cs="Times New Roman"/>
          <w:color w:val="auto"/>
          <w:sz w:val="32"/>
          <w:szCs w:val="32"/>
          <w:u w:val="none"/>
        </w:rPr>
        <w:t>预算</w:t>
      </w:r>
      <w:r>
        <w:rPr>
          <w:rFonts w:hint="eastAsia" w:ascii="Times New Roman" w:hAnsi="Times New Roman" w:eastAsia="仿宋_GB2312" w:cs="Times New Roman"/>
          <w:color w:val="auto"/>
          <w:sz w:val="32"/>
          <w:szCs w:val="32"/>
          <w:u w:val="none"/>
          <w:lang w:val="en-US" w:eastAsia="zh-CN"/>
        </w:rPr>
        <w:t>123.8</w:t>
      </w:r>
      <w:r>
        <w:rPr>
          <w:rFonts w:hint="default" w:ascii="Times New Roman" w:hAnsi="Times New Roman" w:eastAsia="仿宋_GB2312" w:cs="Times New Roman"/>
          <w:color w:val="auto"/>
          <w:sz w:val="32"/>
          <w:szCs w:val="32"/>
          <w:u w:val="none"/>
        </w:rPr>
        <w:t>万元，</w:t>
      </w:r>
      <w:r>
        <w:rPr>
          <w:rFonts w:hint="default" w:ascii="Times New Roman" w:hAnsi="Times New Roman" w:eastAsia="仿宋_GB2312" w:cs="Times New Roman"/>
          <w:color w:val="auto"/>
          <w:sz w:val="32"/>
          <w:szCs w:val="32"/>
          <w:u w:val="none"/>
          <w:lang w:val="en-US" w:eastAsia="zh-CN"/>
        </w:rPr>
        <w:t>2025年</w:t>
      </w:r>
      <w:r>
        <w:rPr>
          <w:rFonts w:hint="default" w:ascii="Times New Roman" w:hAnsi="Times New Roman" w:eastAsia="仿宋_GB2312" w:cs="Times New Roman"/>
          <w:color w:val="auto"/>
          <w:sz w:val="32"/>
          <w:szCs w:val="32"/>
          <w:u w:val="none"/>
        </w:rPr>
        <w:t>申报金额为</w:t>
      </w:r>
      <w:r>
        <w:rPr>
          <w:rFonts w:hint="eastAsia" w:ascii="Times New Roman" w:hAnsi="Times New Roman" w:eastAsia="仿宋_GB2312" w:cs="Times New Roman"/>
          <w:color w:val="auto"/>
          <w:sz w:val="32"/>
          <w:szCs w:val="32"/>
          <w:u w:val="none"/>
          <w:lang w:val="en-US" w:eastAsia="zh-CN"/>
        </w:rPr>
        <w:t>40</w:t>
      </w:r>
      <w:r>
        <w:rPr>
          <w:rFonts w:hint="default" w:ascii="Times New Roman" w:hAnsi="Times New Roman" w:eastAsia="仿宋_GB2312" w:cs="Times New Roman"/>
          <w:color w:val="auto"/>
          <w:sz w:val="32"/>
          <w:szCs w:val="32"/>
          <w:u w:val="none"/>
        </w:rPr>
        <w:t>万元，资金来源</w:t>
      </w:r>
      <w:r>
        <w:rPr>
          <w:rFonts w:hint="default" w:ascii="Times New Roman" w:hAnsi="Times New Roman" w:eastAsia="仿宋_GB2312" w:cs="Times New Roman"/>
          <w:color w:val="auto"/>
          <w:sz w:val="32"/>
          <w:szCs w:val="32"/>
          <w:u w:val="none"/>
          <w:lang w:eastAsia="zh-CN"/>
        </w:rPr>
        <w:t>为</w:t>
      </w:r>
      <w:r>
        <w:rPr>
          <w:rFonts w:hint="default" w:ascii="Times New Roman" w:hAnsi="Times New Roman" w:eastAsia="仿宋_GB2312" w:cs="Times New Roman"/>
          <w:color w:val="auto"/>
          <w:sz w:val="32"/>
          <w:szCs w:val="32"/>
          <w:u w:val="none"/>
          <w:lang w:val="en-US" w:eastAsia="zh-CN"/>
        </w:rPr>
        <w:t>市财政预算统一保障。</w:t>
      </w:r>
      <w:r>
        <w:rPr>
          <w:rFonts w:hint="default" w:ascii="Times New Roman" w:hAnsi="Times New Roman" w:eastAsia="仿宋_GB2312" w:cs="Times New Roman"/>
          <w:color w:val="auto"/>
          <w:sz w:val="32"/>
          <w:szCs w:val="32"/>
          <w:u w:val="none"/>
          <w:lang w:eastAsia="zh-CN"/>
        </w:rPr>
        <w:t>本次对项目投入</w:t>
      </w:r>
      <w:r>
        <w:rPr>
          <w:rFonts w:hint="default" w:ascii="Times New Roman" w:hAnsi="Times New Roman" w:eastAsia="仿宋_GB2312" w:cs="Times New Roman"/>
          <w:color w:val="auto"/>
          <w:sz w:val="32"/>
          <w:szCs w:val="32"/>
          <w:u w:val="none"/>
        </w:rPr>
        <w:t>经济性的评估是在项目事前绩效评估、</w:t>
      </w:r>
      <w:r>
        <w:rPr>
          <w:rFonts w:hint="default" w:ascii="Times New Roman" w:hAnsi="Times New Roman" w:eastAsia="仿宋_GB2312" w:cs="Times New Roman"/>
          <w:color w:val="auto"/>
          <w:sz w:val="32"/>
          <w:szCs w:val="32"/>
        </w:rPr>
        <w:t>预算测算的基础上，按照厉行节约的要求，结合相关费用标准及市场价格水平，重点对数量是否合理、投入是否经济、预算测算是否准确、测算过程是否详细、测算依据是否充分等方面进行了评估。</w:t>
      </w:r>
      <w:r>
        <w:rPr>
          <w:rFonts w:hint="default" w:ascii="Times New Roman" w:hAnsi="Times New Roman" w:eastAsia="仿宋_GB2312" w:cs="Times New Roman"/>
          <w:sz w:val="32"/>
          <w:szCs w:val="32"/>
          <w:lang w:val="en-US" w:eastAsia="zh-CN"/>
        </w:rPr>
        <w:t>根据《中华人民共和国政府采购法》，采取公开招标方式对</w:t>
      </w:r>
      <w:r>
        <w:rPr>
          <w:rFonts w:hint="eastAsia" w:ascii="Times New Roman" w:hAnsi="Times New Roman" w:eastAsia="仿宋_GB2312" w:cs="Times New Roman"/>
          <w:sz w:val="32"/>
          <w:szCs w:val="32"/>
          <w:lang w:val="en-US" w:eastAsia="zh-CN"/>
        </w:rPr>
        <w:t>市级</w:t>
      </w:r>
      <w:r>
        <w:rPr>
          <w:rFonts w:hint="eastAsia" w:eastAsia="仿宋_GB2312" w:cs="Times New Roman"/>
          <w:sz w:val="32"/>
          <w:szCs w:val="32"/>
          <w:lang w:val="en-US" w:eastAsia="zh-CN"/>
        </w:rPr>
        <w:t>“十五五”矿产资源</w:t>
      </w:r>
      <w:r>
        <w:rPr>
          <w:rFonts w:hint="eastAsia" w:ascii="Times New Roman" w:hAnsi="Times New Roman" w:eastAsia="仿宋_GB2312" w:cs="Times New Roman"/>
          <w:sz w:val="32"/>
          <w:szCs w:val="32"/>
          <w:lang w:val="en-US" w:eastAsia="zh-CN"/>
        </w:rPr>
        <w:t>规划</w:t>
      </w:r>
      <w:r>
        <w:rPr>
          <w:rFonts w:hint="default" w:ascii="Times New Roman" w:hAnsi="Times New Roman" w:eastAsia="仿宋_GB2312" w:cs="Times New Roman"/>
          <w:sz w:val="32"/>
          <w:szCs w:val="32"/>
        </w:rPr>
        <w:t>项目</w:t>
      </w:r>
      <w:r>
        <w:rPr>
          <w:rFonts w:hint="default" w:ascii="Times New Roman" w:hAnsi="Times New Roman" w:eastAsia="仿宋_GB2312" w:cs="Times New Roman"/>
          <w:sz w:val="32"/>
          <w:szCs w:val="32"/>
          <w:lang w:eastAsia="zh-CN"/>
        </w:rPr>
        <w:t>进行招标工作</w:t>
      </w:r>
      <w:r>
        <w:rPr>
          <w:rFonts w:hint="default" w:ascii="Times New Roman" w:hAnsi="Times New Roman" w:eastAsia="仿宋_GB2312" w:cs="Times New Roman"/>
          <w:sz w:val="32"/>
          <w:szCs w:val="32"/>
          <w:lang w:val="en-US" w:eastAsia="zh-CN"/>
        </w:rPr>
        <w:t>。</w:t>
      </w:r>
    </w:p>
    <w:p w14:paraId="26B4C242">
      <w:pPr>
        <w:adjustRightInd w:val="0"/>
        <w:snapToGrid w:val="0"/>
        <w:spacing w:line="600" w:lineRule="exact"/>
        <w:ind w:firstLine="720"/>
        <w:rPr>
          <w:rFonts w:hint="eastAsia" w:ascii="方正仿宋_GBK" w:hAnsi="方正仿宋_GBK" w:eastAsia="方正仿宋_GBK" w:cs="方正仿宋_GBK"/>
          <w:b w:val="0"/>
          <w:bCs/>
          <w:sz w:val="32"/>
          <w:szCs w:val="32"/>
          <w:lang w:val="zh-CN"/>
        </w:rPr>
      </w:pPr>
      <w:r>
        <w:rPr>
          <w:rFonts w:hint="default" w:ascii="Times New Roman" w:hAnsi="Times New Roman" w:eastAsia="楷体_GB2312" w:cs="Times New Roman"/>
          <w:b/>
          <w:sz w:val="32"/>
          <w:szCs w:val="32"/>
          <w:lang w:val="zh-CN"/>
        </w:rPr>
        <w:t>（三）项目监管情况：</w:t>
      </w:r>
      <w:r>
        <w:rPr>
          <w:rFonts w:hint="eastAsia" w:ascii="方正仿宋_GBK" w:hAnsi="方正仿宋_GBK" w:eastAsia="方正仿宋_GBK" w:cs="方正仿宋_GBK"/>
          <w:b w:val="0"/>
          <w:bCs/>
          <w:sz w:val="32"/>
          <w:szCs w:val="32"/>
          <w:lang w:val="zh-CN"/>
        </w:rPr>
        <w:t>按照省厅对“十五五”矿产资源总体归还编制要求和时间节点，按时保质推进，市局组织阶段性审查，并按程序征求县区政府和市级部门意见。目前尚在推进中。</w:t>
      </w:r>
    </w:p>
    <w:p w14:paraId="78AD7600">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黑体" w:cs="Times New Roman"/>
          <w:sz w:val="32"/>
          <w:szCs w:val="32"/>
        </w:rPr>
        <w:t>四、项目绩效情况</w:t>
      </w:r>
      <w:r>
        <w:rPr>
          <w:rFonts w:hint="default" w:ascii="Times New Roman" w:hAnsi="Times New Roman" w:eastAsia="仿宋_GB2312" w:cs="Times New Roman"/>
          <w:sz w:val="32"/>
          <w:szCs w:val="32"/>
          <w:lang w:val="zh-CN"/>
        </w:rPr>
        <w:tab/>
      </w:r>
    </w:p>
    <w:p w14:paraId="2A7899F5">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（一）项目完成情况。</w:t>
      </w:r>
    </w:p>
    <w:p w14:paraId="7283DAD8">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r>
        <w:rPr>
          <w:rFonts w:hint="default" w:ascii="Times New Roman" w:hAnsi="Times New Roman" w:eastAsia="仿宋_GB2312" w:cs="Times New Roman"/>
          <w:sz w:val="32"/>
          <w:szCs w:val="32"/>
          <w:lang w:val="en-US" w:eastAsia="zh-CN"/>
        </w:rPr>
        <w:t>已完成</w:t>
      </w:r>
      <w:r>
        <w:rPr>
          <w:rFonts w:hint="eastAsia" w:ascii="Times New Roman" w:hAnsi="Times New Roman" w:eastAsia="仿宋_GB2312" w:cs="Times New Roman"/>
          <w:sz w:val="32"/>
          <w:szCs w:val="32"/>
          <w:lang w:val="en-US" w:eastAsia="zh-CN"/>
        </w:rPr>
        <w:t>征求意见稿，并征求县区政府和市级部门意见，正在按征求意见和省级征求意见稿进行衔接并修改完善</w:t>
      </w:r>
      <w:r>
        <w:rPr>
          <w:rFonts w:hint="default" w:ascii="Times New Roman" w:hAnsi="Times New Roman" w:eastAsia="仿宋_GB2312" w:cs="Times New Roman"/>
          <w:sz w:val="32"/>
          <w:szCs w:val="32"/>
          <w:lang w:val="zh-CN"/>
        </w:rPr>
        <w:t>。</w:t>
      </w:r>
    </w:p>
    <w:p w14:paraId="288A1202">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（二）项目效益情况。</w:t>
      </w:r>
    </w:p>
    <w:p w14:paraId="6474670D">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该项目</w:t>
      </w:r>
      <w:r>
        <w:rPr>
          <w:rFonts w:hint="eastAsia" w:ascii="Times New Roman" w:hAnsi="Times New Roman" w:eastAsia="仿宋_GB2312" w:cs="Times New Roman"/>
          <w:sz w:val="32"/>
          <w:szCs w:val="32"/>
          <w:lang w:val="zh-CN"/>
        </w:rPr>
        <w:t>为我市</w:t>
      </w:r>
      <w:r>
        <w:rPr>
          <w:rFonts w:hint="eastAsia" w:eastAsia="仿宋_GB2312" w:cs="Times New Roman"/>
          <w:sz w:val="32"/>
          <w:szCs w:val="32"/>
          <w:lang w:val="zh-CN"/>
        </w:rPr>
        <w:t>“十五五”期间</w:t>
      </w:r>
      <w:r>
        <w:rPr>
          <w:rFonts w:hint="eastAsia" w:ascii="Times New Roman" w:hAnsi="Times New Roman" w:eastAsia="仿宋_GB2312" w:cs="Times New Roman"/>
          <w:sz w:val="32"/>
          <w:szCs w:val="32"/>
          <w:lang w:val="zh-CN"/>
        </w:rPr>
        <w:t>矿产资源勘查开发利用的纲领性文件</w:t>
      </w:r>
      <w:r>
        <w:rPr>
          <w:rFonts w:hint="default" w:ascii="Times New Roman" w:hAnsi="Times New Roman" w:eastAsia="仿宋_GB2312" w:cs="Times New Roman"/>
          <w:sz w:val="32"/>
          <w:szCs w:val="32"/>
          <w:lang w:val="zh-CN"/>
        </w:rPr>
        <w:t>。</w:t>
      </w:r>
    </w:p>
    <w:p w14:paraId="696AE9F5">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五、评价结论及建议</w:t>
      </w:r>
    </w:p>
    <w:p w14:paraId="0AC86F18">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（一）评价结论。</w:t>
      </w:r>
    </w:p>
    <w:p w14:paraId="33A02520">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r>
        <w:rPr>
          <w:rFonts w:hint="eastAsia" w:ascii="Times New Roman" w:hAnsi="Times New Roman" w:eastAsia="仿宋_GB2312" w:cs="Times New Roman"/>
          <w:sz w:val="32"/>
          <w:szCs w:val="32"/>
          <w:lang w:val="zh-CN"/>
        </w:rPr>
        <w:t>，严格按照省厅要求进度按时完成各项工作任务</w:t>
      </w:r>
      <w:r>
        <w:rPr>
          <w:rFonts w:hint="default" w:ascii="Times New Roman" w:hAnsi="Times New Roman" w:eastAsia="仿宋_GB2312" w:cs="Times New Roman"/>
          <w:sz w:val="32"/>
          <w:szCs w:val="32"/>
          <w:lang w:val="zh-CN"/>
        </w:rPr>
        <w:t>。</w:t>
      </w:r>
    </w:p>
    <w:p w14:paraId="18904392">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（二）存在的问题。</w:t>
      </w:r>
    </w:p>
    <w:p w14:paraId="50A5CF40">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r>
        <w:rPr>
          <w:rFonts w:hint="default" w:ascii="Times New Roman" w:hAnsi="Times New Roman" w:eastAsia="仿宋_GB2312" w:cs="Times New Roman"/>
          <w:sz w:val="32"/>
          <w:szCs w:val="32"/>
          <w:lang w:val="zh-CN"/>
        </w:rPr>
        <w:tab/>
      </w:r>
    </w:p>
    <w:p w14:paraId="2D8B4091">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（三）相关建议。</w:t>
      </w:r>
    </w:p>
    <w:p w14:paraId="264A07C2">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p>
    <w:p w14:paraId="33A1D3A6">
      <w:pPr>
        <w:adjustRightInd w:val="0"/>
        <w:snapToGrid w:val="0"/>
        <w:spacing w:line="600" w:lineRule="exact"/>
        <w:ind w:firstLine="720"/>
        <w:rPr>
          <w:rFonts w:hint="default" w:ascii="Times New Roman" w:hAnsi="Times New Roman" w:eastAsia="仿宋_GB2312" w:cs="Times New Roman"/>
          <w:sz w:val="32"/>
          <w:szCs w:val="32"/>
          <w:lang w:val="zh-CN"/>
        </w:rPr>
      </w:pPr>
    </w:p>
    <w:p w14:paraId="37C918AC">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426F2EA7">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588031C9">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6A45315A">
      <w:pPr>
        <w:widowControl w:val="0"/>
        <w:spacing w:line="600" w:lineRule="exact"/>
        <w:ind w:firstLine="883"/>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攀枝花市田长制工作专项经费</w:t>
      </w:r>
      <w:r>
        <w:rPr>
          <w:rFonts w:ascii="Times New Roman" w:hAnsi="Times New Roman" w:eastAsia="仿宋_GB2312" w:cs="Times New Roman"/>
          <w:color w:val="auto"/>
          <w:kern w:val="2"/>
          <w:sz w:val="32"/>
          <w:szCs w:val="32"/>
          <w:lang w:val="zh-CN" w:eastAsia="zh-CN" w:bidi="ar-SA"/>
        </w:rPr>
        <w:t>）</w:t>
      </w:r>
    </w:p>
    <w:p w14:paraId="26919EFA">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19795A4">
      <w:pPr>
        <w:adjustRightInd w:val="0"/>
        <w:snapToGrid w:val="0"/>
        <w:spacing w:line="600" w:lineRule="exact"/>
        <w:ind w:firstLine="720"/>
        <w:rPr>
          <w:rFonts w:eastAsia="黑体"/>
          <w:sz w:val="32"/>
          <w:szCs w:val="32"/>
          <w:lang w:val="zh-CN"/>
        </w:rPr>
      </w:pPr>
      <w:r>
        <w:rPr>
          <w:rFonts w:eastAsia="黑体"/>
          <w:sz w:val="32"/>
          <w:szCs w:val="32"/>
        </w:rPr>
        <w:t>一、</w:t>
      </w:r>
      <w:r>
        <w:rPr>
          <w:rFonts w:eastAsia="黑体"/>
          <w:sz w:val="32"/>
          <w:szCs w:val="32"/>
          <w:lang w:val="zh-CN"/>
        </w:rPr>
        <w:t>项目概况</w:t>
      </w:r>
    </w:p>
    <w:p w14:paraId="535C621C">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（一）项目基本情况。</w:t>
      </w:r>
    </w:p>
    <w:p w14:paraId="06E712A1">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1.</w:t>
      </w:r>
      <w:r>
        <w:rPr>
          <w:rFonts w:eastAsia="仿宋_GB2312"/>
          <w:sz w:val="32"/>
          <w:szCs w:val="32"/>
          <w:lang w:val="zh-CN"/>
        </w:rPr>
        <w:t>说明项目主管部门（单位）在该项目管理中的职能。</w:t>
      </w:r>
    </w:p>
    <w:p w14:paraId="7C732490">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根据202</w:t>
      </w:r>
      <w:r>
        <w:rPr>
          <w:rFonts w:hint="eastAsia" w:eastAsia="仿宋_GB2312"/>
          <w:sz w:val="32"/>
          <w:szCs w:val="32"/>
          <w:lang w:val="en-US" w:eastAsia="zh-CN"/>
        </w:rPr>
        <w:t>5</w:t>
      </w:r>
      <w:r>
        <w:rPr>
          <w:rFonts w:hint="eastAsia" w:eastAsia="仿宋_GB2312"/>
          <w:sz w:val="32"/>
          <w:szCs w:val="32"/>
          <w:lang w:val="zh-CN"/>
        </w:rPr>
        <w:t>年四川省田长制工作要点，市田长制办公室（设在市自然资源和规划局）需组织开展建立健全田长制日常工作制度、完善田长责任制责任体系和工作机制、组织各级田长定期和不定期开展巡田、耕地监测监督、田长制工作培训和宣传教育等工作。</w:t>
      </w:r>
    </w:p>
    <w:p w14:paraId="61D5CA4D">
      <w:pPr>
        <w:adjustRightInd w:val="0"/>
        <w:snapToGrid w:val="0"/>
        <w:spacing w:line="600" w:lineRule="exact"/>
        <w:ind w:firstLine="720"/>
        <w:rPr>
          <w:rFonts w:eastAsia="仿宋_GB2312"/>
          <w:sz w:val="32"/>
          <w:szCs w:val="32"/>
          <w:lang w:val="zh-CN"/>
        </w:rPr>
      </w:pPr>
      <w:r>
        <w:rPr>
          <w:rFonts w:eastAsia="仿宋_GB2312"/>
          <w:sz w:val="32"/>
          <w:szCs w:val="32"/>
          <w:lang w:val="zh-CN"/>
        </w:rPr>
        <w:t>2. 项目立项、资金申报的依据。</w:t>
      </w:r>
    </w:p>
    <w:p w14:paraId="0F3D01F7">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按照省、市加强田长制组织保障要求，各级要建立健全田长制日常工作架构，加大资金支持力度，配备必要的人、财、物等资源。</w:t>
      </w:r>
    </w:p>
    <w:p w14:paraId="31EFB5D5">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3.</w:t>
      </w:r>
      <w:r>
        <w:rPr>
          <w:rFonts w:eastAsia="仿宋_GB2312"/>
          <w:sz w:val="32"/>
          <w:szCs w:val="32"/>
          <w:lang w:val="zh-CN"/>
        </w:rPr>
        <w:t>资金管理办法制定情况，资金支持具体项目的条件、范围与支持方式概况。</w:t>
      </w:r>
    </w:p>
    <w:p w14:paraId="38489360">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该项目申报预算</w:t>
      </w:r>
      <w:r>
        <w:rPr>
          <w:rFonts w:hint="eastAsia" w:eastAsia="仿宋_GB2312"/>
          <w:sz w:val="32"/>
          <w:szCs w:val="32"/>
          <w:lang w:val="en-US" w:eastAsia="zh-CN"/>
        </w:rPr>
        <w:t>30</w:t>
      </w:r>
      <w:r>
        <w:rPr>
          <w:rFonts w:hint="eastAsia" w:eastAsia="仿宋_GB2312"/>
          <w:sz w:val="32"/>
          <w:szCs w:val="32"/>
          <w:lang w:val="zh-CN"/>
        </w:rPr>
        <w:t>万元，资金来源为市级财政资金，目前已支付2</w:t>
      </w:r>
      <w:r>
        <w:rPr>
          <w:rFonts w:hint="eastAsia" w:eastAsia="仿宋_GB2312"/>
          <w:sz w:val="32"/>
          <w:szCs w:val="32"/>
          <w:lang w:val="en-US" w:eastAsia="zh-CN"/>
        </w:rPr>
        <w:t>1.58</w:t>
      </w:r>
      <w:r>
        <w:rPr>
          <w:rFonts w:hint="eastAsia" w:eastAsia="仿宋_GB2312"/>
          <w:sz w:val="32"/>
          <w:szCs w:val="32"/>
          <w:lang w:val="zh-CN"/>
        </w:rPr>
        <w:t>万元。绩效目标和绩效指标量化可考核，相匹配，全面完整，契合政策或项目实质，与部门的长期规划目标、年度工作目标相一致，与产出和效果相关联，满意度指标预测合理。</w:t>
      </w:r>
    </w:p>
    <w:p w14:paraId="023C73D4">
      <w:pPr>
        <w:adjustRightInd w:val="0"/>
        <w:snapToGrid w:val="0"/>
        <w:spacing w:line="600" w:lineRule="exact"/>
        <w:ind w:firstLine="720"/>
        <w:rPr>
          <w:rFonts w:eastAsia="仿宋_GB2312"/>
          <w:sz w:val="32"/>
          <w:szCs w:val="32"/>
          <w:lang w:val="zh-CN"/>
        </w:rPr>
      </w:pPr>
      <w:r>
        <w:rPr>
          <w:rFonts w:eastAsia="仿宋_GB2312"/>
          <w:sz w:val="32"/>
          <w:szCs w:val="32"/>
          <w:lang w:val="zh-CN"/>
        </w:rPr>
        <w:t>4. 资金分配的原则及考虑因素。</w:t>
      </w:r>
    </w:p>
    <w:p w14:paraId="1CA90A37">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分配原则强调公平公开、绩效导向、风险可控，优先保障重点领域和紧急需求，确保资金流向高效合规</w:t>
      </w:r>
    </w:p>
    <w:p w14:paraId="0C779B01">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（二）项目绩效目标。</w:t>
      </w:r>
    </w:p>
    <w:p w14:paraId="6E4C703F">
      <w:pPr>
        <w:adjustRightInd w:val="0"/>
        <w:snapToGrid w:val="0"/>
        <w:spacing w:line="600" w:lineRule="exact"/>
        <w:ind w:firstLine="720"/>
        <w:rPr>
          <w:rFonts w:eastAsia="仿宋_GB2312"/>
          <w:sz w:val="32"/>
          <w:szCs w:val="32"/>
          <w:lang w:val="zh-CN"/>
        </w:rPr>
      </w:pPr>
      <w:r>
        <w:rPr>
          <w:rFonts w:eastAsia="仿宋_GB2312"/>
          <w:sz w:val="32"/>
          <w:szCs w:val="32"/>
          <w:lang w:val="zh-CN"/>
        </w:rPr>
        <w:t>1. 项目主要内容。</w:t>
      </w:r>
    </w:p>
    <w:p w14:paraId="5E4047BF">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建立健全田长制日常工作制度，完善田长责任制责任体系和工作机制，组织各级田长定期和不定期开展巡田、耕地监测监督，组织开展田长制工作培训和宣传教育等各项工作。</w:t>
      </w:r>
    </w:p>
    <w:p w14:paraId="2C754B42">
      <w:pPr>
        <w:adjustRightInd w:val="0"/>
        <w:snapToGrid w:val="0"/>
        <w:spacing w:line="600" w:lineRule="exact"/>
        <w:ind w:firstLine="720"/>
        <w:rPr>
          <w:rFonts w:eastAsia="仿宋_GB2312"/>
          <w:sz w:val="32"/>
          <w:szCs w:val="32"/>
          <w:lang w:val="zh-CN"/>
        </w:rPr>
      </w:pPr>
      <w:r>
        <w:rPr>
          <w:rFonts w:eastAsia="仿宋_GB2312"/>
          <w:sz w:val="32"/>
          <w:szCs w:val="32"/>
          <w:lang w:val="zh-CN"/>
        </w:rPr>
        <w:t>2. 项目应实现的具体绩效目标，包括目标的量化、细化情况以及项目实施进度计划等。</w:t>
      </w:r>
    </w:p>
    <w:p w14:paraId="3A28E3AB">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推动设立市、县、乡、村四级田长791人，落实网络员1612人，完善市、县级田长制运行规则等7项制度。全面推广使用省级巡田软件，目前全市已开展巡田35万余次，巡田里程达35万余公里。</w:t>
      </w:r>
    </w:p>
    <w:p w14:paraId="43A2868D">
      <w:pPr>
        <w:adjustRightInd w:val="0"/>
        <w:snapToGrid w:val="0"/>
        <w:spacing w:line="600" w:lineRule="exact"/>
        <w:ind w:firstLine="720"/>
        <w:rPr>
          <w:rFonts w:eastAsia="仿宋_GB2312"/>
          <w:sz w:val="32"/>
          <w:szCs w:val="32"/>
          <w:lang w:val="zh-CN"/>
        </w:rPr>
      </w:pPr>
      <w:r>
        <w:rPr>
          <w:rFonts w:eastAsia="仿宋_GB2312"/>
          <w:sz w:val="32"/>
          <w:szCs w:val="32"/>
          <w:lang w:val="zh-CN"/>
        </w:rPr>
        <w:t>3. 分析评价申报内容是否与实际相符，申报目标是否合理可行。</w:t>
      </w:r>
    </w:p>
    <w:p w14:paraId="08B9FD6F">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绩效目标和绩效指标量化可考核，相匹配，全面完整，契合政策或项目实质，与部门的长期规划目标、年度工作目标相一致，与产出和效果相关联，满意度指标预测合理。</w:t>
      </w:r>
    </w:p>
    <w:p w14:paraId="6D395129">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（三）项目自评步骤及方法。</w:t>
      </w:r>
    </w:p>
    <w:p w14:paraId="6FB159B8">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本项目通过与项目相关人员座谈或讨论等方法了解项目情况，收集相关资料，综合分析相关情况后，对项目的立项必要性、投入经济性、目标合理性、方案可行性以及筹资合规性实施评估。</w:t>
      </w:r>
    </w:p>
    <w:p w14:paraId="0321DE1A">
      <w:pPr>
        <w:adjustRightInd w:val="0"/>
        <w:snapToGrid w:val="0"/>
        <w:spacing w:line="600" w:lineRule="exact"/>
        <w:ind w:firstLine="720"/>
        <w:rPr>
          <w:rFonts w:eastAsia="黑体"/>
          <w:sz w:val="32"/>
          <w:szCs w:val="32"/>
        </w:rPr>
      </w:pPr>
      <w:r>
        <w:rPr>
          <w:rFonts w:eastAsia="黑体"/>
          <w:sz w:val="32"/>
          <w:szCs w:val="32"/>
        </w:rPr>
        <w:t>二、项目资金申报及使用情况</w:t>
      </w:r>
    </w:p>
    <w:p w14:paraId="38771B7D">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（一）项目资金申报及批复情况。</w:t>
      </w:r>
    </w:p>
    <w:p w14:paraId="6013D221">
      <w:pPr>
        <w:adjustRightInd w:val="0"/>
        <w:snapToGrid w:val="0"/>
        <w:spacing w:line="600" w:lineRule="exact"/>
        <w:ind w:firstLine="720"/>
        <w:rPr>
          <w:rFonts w:hint="default" w:eastAsia="仿宋_GB2312"/>
          <w:sz w:val="32"/>
          <w:szCs w:val="32"/>
          <w:lang w:val="en-US" w:eastAsia="zh-CN"/>
        </w:rPr>
      </w:pPr>
      <w:r>
        <w:rPr>
          <w:rFonts w:hint="eastAsia" w:eastAsia="仿宋_GB2312"/>
          <w:sz w:val="32"/>
          <w:szCs w:val="32"/>
          <w:lang w:val="en-US" w:eastAsia="zh-CN"/>
        </w:rPr>
        <w:t>2025年，市财政局下达市田长制办公室（设在市自然资源和规划局）田长制专项经费21.58万元。</w:t>
      </w:r>
    </w:p>
    <w:p w14:paraId="1688B40A">
      <w:pPr>
        <w:adjustRightInd w:val="0"/>
        <w:snapToGrid w:val="0"/>
        <w:spacing w:line="600" w:lineRule="exact"/>
        <w:ind w:firstLine="720"/>
        <w:rPr>
          <w:rFonts w:eastAsia="仿宋_GB2312"/>
          <w:sz w:val="32"/>
          <w:szCs w:val="32"/>
          <w:lang w:val="zh-CN"/>
        </w:rPr>
      </w:pPr>
      <w:r>
        <w:rPr>
          <w:rFonts w:eastAsia="楷体_GB2312"/>
          <w:b/>
          <w:sz w:val="32"/>
          <w:szCs w:val="32"/>
          <w:lang w:val="zh-CN"/>
        </w:rPr>
        <w:t>（二）资金计划、到位及使用情况（可用表格形式反映）。</w:t>
      </w:r>
    </w:p>
    <w:p w14:paraId="1401E54F">
      <w:pPr>
        <w:adjustRightInd w:val="0"/>
        <w:snapToGrid w:val="0"/>
        <w:spacing w:line="600" w:lineRule="exact"/>
        <w:ind w:firstLine="720"/>
        <w:rPr>
          <w:rFonts w:eastAsia="仿宋_GB2312"/>
          <w:sz w:val="32"/>
          <w:szCs w:val="32"/>
          <w:lang w:val="zh-CN"/>
        </w:rPr>
      </w:pPr>
      <w:r>
        <w:rPr>
          <w:rFonts w:hint="eastAsia" w:eastAsia="楷体_GB2312"/>
          <w:sz w:val="32"/>
          <w:szCs w:val="32"/>
          <w:lang w:val="zh-CN"/>
        </w:rPr>
        <w:t>1.</w:t>
      </w:r>
      <w:r>
        <w:rPr>
          <w:rFonts w:eastAsia="楷体_GB2312"/>
          <w:sz w:val="32"/>
          <w:szCs w:val="32"/>
          <w:lang w:val="zh-CN"/>
        </w:rPr>
        <w:t>资金计划。</w:t>
      </w:r>
    </w:p>
    <w:p w14:paraId="7916EE5F">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该项目申报预算</w:t>
      </w:r>
      <w:r>
        <w:rPr>
          <w:rFonts w:hint="eastAsia" w:eastAsia="仿宋_GB2312"/>
          <w:sz w:val="32"/>
          <w:szCs w:val="32"/>
          <w:lang w:val="en-US" w:eastAsia="zh-CN"/>
        </w:rPr>
        <w:t>30</w:t>
      </w:r>
      <w:r>
        <w:rPr>
          <w:rFonts w:hint="eastAsia" w:eastAsia="仿宋_GB2312"/>
          <w:sz w:val="32"/>
          <w:szCs w:val="32"/>
          <w:lang w:val="zh-CN"/>
        </w:rPr>
        <w:t>万元，资金来源为市级财政资金。</w:t>
      </w:r>
    </w:p>
    <w:p w14:paraId="2705838B">
      <w:pPr>
        <w:adjustRightInd w:val="0"/>
        <w:snapToGrid w:val="0"/>
        <w:spacing w:line="600" w:lineRule="exact"/>
        <w:ind w:firstLine="720"/>
        <w:rPr>
          <w:rFonts w:eastAsia="仿宋_GB2312"/>
          <w:sz w:val="32"/>
          <w:szCs w:val="32"/>
          <w:lang w:val="zh-CN"/>
        </w:rPr>
      </w:pPr>
      <w:r>
        <w:rPr>
          <w:rFonts w:hint="eastAsia" w:eastAsia="楷体_GB2312"/>
          <w:sz w:val="32"/>
          <w:szCs w:val="32"/>
          <w:lang w:val="zh-CN"/>
        </w:rPr>
        <w:t>2.</w:t>
      </w:r>
      <w:r>
        <w:rPr>
          <w:rFonts w:eastAsia="楷体_GB2312"/>
          <w:sz w:val="32"/>
          <w:szCs w:val="32"/>
          <w:lang w:val="zh-CN"/>
        </w:rPr>
        <w:t>资金到位。</w:t>
      </w:r>
      <w:r>
        <w:rPr>
          <w:rFonts w:hint="eastAsia" w:eastAsia="仿宋_GB2312"/>
          <w:sz w:val="32"/>
          <w:szCs w:val="32"/>
          <w:lang w:val="zh-CN"/>
        </w:rPr>
        <w:t>截至目前，该笔费用已支付</w:t>
      </w:r>
      <w:r>
        <w:rPr>
          <w:rFonts w:hint="eastAsia" w:eastAsia="仿宋_GB2312"/>
          <w:sz w:val="32"/>
          <w:szCs w:val="32"/>
          <w:lang w:val="en-US" w:eastAsia="zh-CN"/>
        </w:rPr>
        <w:t>21.58万元</w:t>
      </w:r>
      <w:r>
        <w:rPr>
          <w:rFonts w:hint="eastAsia" w:eastAsia="仿宋_GB2312"/>
          <w:sz w:val="32"/>
          <w:szCs w:val="32"/>
          <w:lang w:val="zh-CN"/>
        </w:rPr>
        <w:t>，资金来源为市级财政资金。</w:t>
      </w:r>
    </w:p>
    <w:p w14:paraId="1CE254E9">
      <w:pPr>
        <w:adjustRightInd w:val="0"/>
        <w:snapToGrid w:val="0"/>
        <w:spacing w:line="600" w:lineRule="exact"/>
        <w:ind w:firstLine="720"/>
        <w:rPr>
          <w:rFonts w:eastAsia="仿宋_GB2312"/>
          <w:sz w:val="32"/>
          <w:szCs w:val="32"/>
          <w:lang w:val="zh-CN"/>
        </w:rPr>
      </w:pPr>
      <w:r>
        <w:rPr>
          <w:rFonts w:hint="eastAsia" w:eastAsia="楷体_GB2312"/>
          <w:sz w:val="32"/>
          <w:szCs w:val="32"/>
          <w:lang w:val="zh-CN"/>
        </w:rPr>
        <w:t>3.</w:t>
      </w:r>
      <w:r>
        <w:rPr>
          <w:rFonts w:eastAsia="楷体_GB2312"/>
          <w:sz w:val="32"/>
          <w:szCs w:val="32"/>
          <w:lang w:val="zh-CN"/>
        </w:rPr>
        <w:t>资金使用。</w:t>
      </w:r>
      <w:r>
        <w:rPr>
          <w:rFonts w:hint="eastAsia" w:eastAsia="仿宋_GB2312"/>
          <w:sz w:val="32"/>
          <w:szCs w:val="32"/>
          <w:lang w:val="zh-CN"/>
        </w:rPr>
        <w:t>截至目前，该笔费用支付</w:t>
      </w:r>
      <w:r>
        <w:rPr>
          <w:rFonts w:hint="eastAsia" w:eastAsia="仿宋_GB2312"/>
          <w:sz w:val="32"/>
          <w:szCs w:val="32"/>
          <w:lang w:val="en-US" w:eastAsia="zh-CN"/>
        </w:rPr>
        <w:t>21.58万元</w:t>
      </w:r>
      <w:r>
        <w:rPr>
          <w:rFonts w:hint="eastAsia" w:eastAsia="仿宋_GB2312"/>
          <w:sz w:val="32"/>
          <w:szCs w:val="32"/>
          <w:lang w:val="zh-CN"/>
        </w:rPr>
        <w:t>，资金来源为市级财政资金，资金支付范围、支付标准、支付进度、支付依据等合规合法、与预算相符。</w:t>
      </w:r>
    </w:p>
    <w:p w14:paraId="1B60F0A9">
      <w:pPr>
        <w:adjustRightInd w:val="0"/>
        <w:snapToGrid w:val="0"/>
        <w:spacing w:line="600" w:lineRule="exact"/>
        <w:ind w:firstLine="720"/>
        <w:rPr>
          <w:rFonts w:eastAsia="楷体_GB2312"/>
          <w:b/>
          <w:sz w:val="32"/>
          <w:szCs w:val="32"/>
          <w:lang w:val="zh-CN"/>
        </w:rPr>
      </w:pPr>
      <w:r>
        <w:rPr>
          <w:rFonts w:eastAsia="楷体_GB2312"/>
          <w:b/>
          <w:sz w:val="32"/>
          <w:szCs w:val="32"/>
          <w:lang w:val="zh-CN"/>
        </w:rPr>
        <w:t>（三）项目财务管理情况。</w:t>
      </w:r>
    </w:p>
    <w:p w14:paraId="51502F4E">
      <w:pPr>
        <w:adjustRightInd w:val="0"/>
        <w:snapToGrid w:val="0"/>
        <w:spacing w:line="560" w:lineRule="exact"/>
        <w:ind w:firstLine="720"/>
        <w:rPr>
          <w:rFonts w:eastAsia="仿宋_GB2312"/>
          <w:sz w:val="32"/>
          <w:szCs w:val="32"/>
          <w:lang w:val="zh-CN"/>
        </w:rPr>
      </w:pPr>
      <w:r>
        <w:rPr>
          <w:rFonts w:hint="eastAsia" w:eastAsia="仿宋_GB2312"/>
          <w:sz w:val="32"/>
          <w:szCs w:val="32"/>
          <w:lang w:val="zh-CN"/>
        </w:rPr>
        <w:t>攀枝花市自然资源和规划局财务管理制度健全，严格执行财务管理制度，账务处理及时，会计核算规范。</w:t>
      </w:r>
    </w:p>
    <w:p w14:paraId="0F09612D">
      <w:pPr>
        <w:adjustRightInd w:val="0"/>
        <w:snapToGrid w:val="0"/>
        <w:spacing w:line="600" w:lineRule="exact"/>
        <w:ind w:firstLine="720"/>
        <w:rPr>
          <w:rFonts w:eastAsia="黑体"/>
          <w:sz w:val="32"/>
          <w:szCs w:val="32"/>
        </w:rPr>
      </w:pPr>
      <w:r>
        <w:rPr>
          <w:rFonts w:eastAsia="黑体"/>
          <w:sz w:val="32"/>
          <w:szCs w:val="32"/>
        </w:rPr>
        <w:t>三、项目实施及管理情况</w:t>
      </w:r>
    </w:p>
    <w:p w14:paraId="1DC41E26">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（一）项目组织架构及实施流程。</w:t>
      </w:r>
    </w:p>
    <w:p w14:paraId="2D055331">
      <w:pPr>
        <w:adjustRightInd w:val="0"/>
        <w:snapToGrid w:val="0"/>
        <w:spacing w:line="600" w:lineRule="exact"/>
        <w:ind w:firstLine="720"/>
        <w:rPr>
          <w:rFonts w:eastAsia="楷体_GB2312"/>
          <w:b/>
          <w:sz w:val="32"/>
          <w:szCs w:val="32"/>
          <w:lang w:val="zh-CN"/>
        </w:rPr>
      </w:pPr>
      <w:r>
        <w:rPr>
          <w:rFonts w:hint="eastAsia" w:eastAsia="仿宋_GB2312"/>
          <w:sz w:val="32"/>
          <w:szCs w:val="32"/>
          <w:lang w:val="en-US" w:eastAsia="zh-CN"/>
        </w:rPr>
        <w:t>项目由耕保科负责。</w:t>
      </w:r>
    </w:p>
    <w:p w14:paraId="301DD136">
      <w:pPr>
        <w:adjustRightInd w:val="0"/>
        <w:snapToGrid w:val="0"/>
        <w:spacing w:line="600" w:lineRule="exact"/>
        <w:ind w:firstLine="720"/>
        <w:rPr>
          <w:rFonts w:eastAsia="仿宋_GB2312"/>
          <w:sz w:val="32"/>
          <w:szCs w:val="32"/>
          <w:lang w:val="zh-CN"/>
        </w:rPr>
      </w:pPr>
      <w:r>
        <w:rPr>
          <w:rFonts w:eastAsia="楷体_GB2312"/>
          <w:b/>
          <w:sz w:val="32"/>
          <w:szCs w:val="32"/>
          <w:lang w:val="zh-CN"/>
        </w:rPr>
        <w:t>（二）项目管理情况。</w:t>
      </w:r>
    </w:p>
    <w:p w14:paraId="17B14772">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推动设立市、县、乡、村四级田长791人，落实网络员1612人，完善市、县级田长制运行规则等7项制度。全面推广使用省级巡田软件，目前全市已开展巡田35万余次，巡田里程达35万余公里。</w:t>
      </w:r>
    </w:p>
    <w:p w14:paraId="691FD75A">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eastAsia="仿宋_GB2312"/>
          <w:sz w:val="32"/>
          <w:szCs w:val="32"/>
          <w:lang w:val="zh-CN"/>
        </w:rPr>
      </w:pPr>
      <w:r>
        <w:rPr>
          <w:rFonts w:eastAsia="楷体_GB2312"/>
          <w:b/>
          <w:sz w:val="32"/>
          <w:szCs w:val="32"/>
          <w:lang w:val="zh-CN"/>
        </w:rPr>
        <w:t>（三）项目监管情况。</w:t>
      </w:r>
    </w:p>
    <w:p w14:paraId="3A309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eastAsia="仿宋_GB2312"/>
          <w:sz w:val="32"/>
          <w:szCs w:val="32"/>
          <w:lang w:val="zh-CN"/>
        </w:rPr>
      </w:pPr>
      <w:r>
        <w:rPr>
          <w:rFonts w:hint="eastAsia" w:ascii="仿宋_GB2312" w:hAnsi="仿宋_GB2312" w:eastAsia="仿宋_GB2312" w:cs="仿宋_GB2312"/>
          <w:b w:val="0"/>
          <w:bCs/>
          <w:sz w:val="32"/>
          <w:szCs w:val="32"/>
          <w:lang w:val="zh-CN"/>
        </w:rPr>
        <w:t>该项目资金足额保证，具有相应的质量检查、验收等必要的控制措施或手段，具有针对突发事件或未知风险的应急措施等。</w:t>
      </w:r>
    </w:p>
    <w:p w14:paraId="457F28AF">
      <w:pPr>
        <w:adjustRightInd w:val="0"/>
        <w:snapToGrid w:val="0"/>
        <w:spacing w:line="600" w:lineRule="exact"/>
        <w:ind w:firstLine="720"/>
        <w:rPr>
          <w:rFonts w:eastAsia="仿宋_GB2312"/>
          <w:sz w:val="32"/>
          <w:szCs w:val="32"/>
          <w:lang w:val="zh-CN"/>
        </w:rPr>
      </w:pPr>
      <w:r>
        <w:rPr>
          <w:rFonts w:eastAsia="黑体"/>
          <w:sz w:val="32"/>
          <w:szCs w:val="32"/>
        </w:rPr>
        <w:t>四、项目绩效情况</w:t>
      </w:r>
      <w:r>
        <w:rPr>
          <w:rFonts w:eastAsia="仿宋_GB2312"/>
          <w:sz w:val="32"/>
          <w:szCs w:val="32"/>
          <w:lang w:val="zh-CN"/>
        </w:rPr>
        <w:tab/>
      </w:r>
    </w:p>
    <w:p w14:paraId="1C253C02">
      <w:pPr>
        <w:adjustRightInd w:val="0"/>
        <w:snapToGrid w:val="0"/>
        <w:spacing w:line="600" w:lineRule="exact"/>
        <w:ind w:firstLine="720"/>
        <w:rPr>
          <w:rFonts w:eastAsia="楷体_GB2312"/>
          <w:b/>
          <w:sz w:val="32"/>
          <w:szCs w:val="32"/>
          <w:lang w:val="zh-CN"/>
        </w:rPr>
      </w:pPr>
      <w:r>
        <w:rPr>
          <w:rFonts w:eastAsia="楷体_GB2312"/>
          <w:b/>
          <w:sz w:val="32"/>
          <w:szCs w:val="32"/>
          <w:lang w:val="zh-CN"/>
        </w:rPr>
        <w:t>（一）项目完成情况。</w:t>
      </w:r>
    </w:p>
    <w:p w14:paraId="6CF1B783">
      <w:pPr>
        <w:adjustRightInd w:val="0"/>
        <w:snapToGrid w:val="0"/>
        <w:spacing w:line="600" w:lineRule="exact"/>
        <w:ind w:firstLine="720"/>
        <w:rPr>
          <w:rFonts w:eastAsia="楷体_GB2312"/>
          <w:b/>
          <w:sz w:val="32"/>
          <w:szCs w:val="32"/>
          <w:lang w:val="zh-CN"/>
        </w:rPr>
      </w:pPr>
      <w:r>
        <w:rPr>
          <w:rFonts w:hint="eastAsia" w:eastAsia="仿宋_GB2312"/>
          <w:sz w:val="32"/>
          <w:szCs w:val="32"/>
          <w:lang w:val="zh-CN"/>
        </w:rPr>
        <w:t>推动设立市、县、乡、村四级田长791人，落实网络员1612人，完善市、县级田长制运行规则等7项制度。全面推广使用省级巡田软件，目前全市已开展巡田35万余次，巡田里程达35万余公里。</w:t>
      </w:r>
    </w:p>
    <w:p w14:paraId="1689848A">
      <w:pPr>
        <w:adjustRightInd w:val="0"/>
        <w:snapToGrid w:val="0"/>
        <w:spacing w:line="600" w:lineRule="exact"/>
        <w:ind w:firstLine="720"/>
        <w:rPr>
          <w:rFonts w:eastAsia="楷体_GB2312"/>
          <w:b/>
          <w:sz w:val="32"/>
          <w:szCs w:val="32"/>
          <w:lang w:val="zh-CN"/>
        </w:rPr>
      </w:pPr>
      <w:r>
        <w:rPr>
          <w:rFonts w:eastAsia="楷体_GB2312"/>
          <w:b/>
          <w:sz w:val="32"/>
          <w:szCs w:val="32"/>
          <w:lang w:val="zh-CN"/>
        </w:rPr>
        <w:t>（二）项目效益情况。</w:t>
      </w:r>
    </w:p>
    <w:p w14:paraId="04F2C4FE">
      <w:pPr>
        <w:adjustRightInd w:val="0"/>
        <w:snapToGrid w:val="0"/>
        <w:spacing w:line="600" w:lineRule="exact"/>
        <w:ind w:firstLine="720"/>
        <w:rPr>
          <w:rFonts w:eastAsia="仿宋_GB2312"/>
          <w:sz w:val="32"/>
          <w:szCs w:val="32"/>
          <w:lang w:val="zh-CN"/>
        </w:rPr>
      </w:pPr>
      <w:r>
        <w:rPr>
          <w:rFonts w:hint="eastAsia" w:eastAsia="仿宋_GB2312"/>
          <w:sz w:val="32"/>
          <w:szCs w:val="32"/>
          <w:lang w:val="zh-CN"/>
        </w:rPr>
        <w:t>该项目推动设立市、县、乡、村四级田长791人，落实网络员1612人，完善市、县级田长制运行规则等7项制度。全面推广使用省级巡田软件，目前全市已开展巡田35万余次，巡田里程达35万余公里。召开全市田长制会议，推动现代农业经济发展，提高农民生产积极性，提高耕地利用率，保障国家粮食安全，促进耕地和永久基本农田保护，促进耕地资源高效开发利用，确保耕地质量不减，布局更加合理，利用水平明显提升，群众满意。</w:t>
      </w:r>
    </w:p>
    <w:p w14:paraId="617BB76C">
      <w:pPr>
        <w:adjustRightInd w:val="0"/>
        <w:snapToGrid w:val="0"/>
        <w:spacing w:line="600" w:lineRule="exact"/>
        <w:ind w:firstLine="720"/>
        <w:rPr>
          <w:rFonts w:eastAsia="黑体"/>
          <w:sz w:val="32"/>
          <w:szCs w:val="32"/>
        </w:rPr>
      </w:pPr>
      <w:r>
        <w:rPr>
          <w:rFonts w:eastAsia="黑体"/>
          <w:sz w:val="32"/>
          <w:szCs w:val="32"/>
        </w:rPr>
        <w:t>五、评价结论及建议</w:t>
      </w:r>
    </w:p>
    <w:p w14:paraId="215FBB3A">
      <w:pPr>
        <w:adjustRightInd w:val="0"/>
        <w:snapToGrid w:val="0"/>
        <w:spacing w:line="600" w:lineRule="exact"/>
        <w:ind w:firstLine="720"/>
        <w:rPr>
          <w:rFonts w:eastAsia="楷体_GB2312"/>
          <w:b/>
          <w:sz w:val="32"/>
          <w:szCs w:val="32"/>
          <w:lang w:val="zh-CN"/>
        </w:rPr>
      </w:pPr>
      <w:r>
        <w:rPr>
          <w:rFonts w:eastAsia="楷体_GB2312"/>
          <w:b/>
          <w:sz w:val="32"/>
          <w:szCs w:val="32"/>
          <w:lang w:val="zh-CN"/>
        </w:rPr>
        <w:t>（一）评价结论。</w:t>
      </w:r>
    </w:p>
    <w:p w14:paraId="1DA9D040">
      <w:pPr>
        <w:adjustRightInd w:val="0"/>
        <w:snapToGrid w:val="0"/>
        <w:spacing w:line="600" w:lineRule="exact"/>
        <w:ind w:firstLine="640" w:firstLineChars="200"/>
        <w:rPr>
          <w:rFonts w:eastAsia="仿宋_GB2312"/>
          <w:sz w:val="32"/>
          <w:szCs w:val="32"/>
          <w:bdr w:val="single" w:color="auto" w:sz="4" w:space="0"/>
          <w:lang w:val="zh-CN"/>
        </w:rPr>
      </w:pPr>
      <w:r>
        <w:rPr>
          <w:rFonts w:hint="eastAsia" w:eastAsia="仿宋_GB2312"/>
          <w:sz w:val="32"/>
          <w:szCs w:val="32"/>
          <w:lang w:val="zh-CN"/>
        </w:rPr>
        <w:t>综合前述评估内容来看，该项目立项必要性和依据充分，绩效目标明确，具备实施条件，具有公共性，符合财政资金支持方向等。</w:t>
      </w:r>
    </w:p>
    <w:p w14:paraId="2CB92DD8">
      <w:pPr>
        <w:adjustRightInd w:val="0"/>
        <w:snapToGrid w:val="0"/>
        <w:spacing w:line="600" w:lineRule="exact"/>
        <w:ind w:firstLine="720"/>
        <w:rPr>
          <w:rFonts w:eastAsia="楷体_GB2312"/>
          <w:b/>
          <w:sz w:val="32"/>
          <w:szCs w:val="32"/>
          <w:lang w:val="zh-CN"/>
        </w:rPr>
      </w:pPr>
      <w:r>
        <w:rPr>
          <w:rFonts w:eastAsia="楷体_GB2312"/>
          <w:b/>
          <w:sz w:val="32"/>
          <w:szCs w:val="32"/>
          <w:lang w:val="zh-CN"/>
        </w:rPr>
        <w:t>（二）存在的问题。</w:t>
      </w:r>
    </w:p>
    <w:p w14:paraId="11804EA3">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zh-CN"/>
        </w:rPr>
        <w:t>该项目不存在问题。</w:t>
      </w:r>
      <w:r>
        <w:rPr>
          <w:rFonts w:eastAsia="仿宋_GB2312"/>
          <w:sz w:val="32"/>
          <w:szCs w:val="32"/>
          <w:lang w:val="zh-CN"/>
        </w:rPr>
        <w:tab/>
      </w:r>
    </w:p>
    <w:p w14:paraId="7A5A819C">
      <w:pPr>
        <w:adjustRightInd w:val="0"/>
        <w:snapToGrid w:val="0"/>
        <w:spacing w:line="600" w:lineRule="exact"/>
        <w:ind w:firstLine="720"/>
        <w:rPr>
          <w:rFonts w:eastAsia="楷体_GB2312"/>
          <w:b/>
          <w:sz w:val="32"/>
          <w:szCs w:val="32"/>
          <w:lang w:val="zh-CN"/>
        </w:rPr>
      </w:pPr>
      <w:r>
        <w:rPr>
          <w:rFonts w:eastAsia="楷体_GB2312"/>
          <w:b/>
          <w:sz w:val="32"/>
          <w:szCs w:val="32"/>
          <w:lang w:val="zh-CN"/>
        </w:rPr>
        <w:t>（三）相关建议。</w:t>
      </w:r>
    </w:p>
    <w:p w14:paraId="7DE4FAE0">
      <w:pPr>
        <w:adjustRightInd w:val="0"/>
        <w:snapToGrid w:val="0"/>
        <w:spacing w:line="600" w:lineRule="exact"/>
        <w:ind w:firstLine="640" w:firstLineChars="200"/>
        <w:rPr>
          <w:rFonts w:eastAsia="仿宋_GB2312"/>
          <w:sz w:val="32"/>
          <w:szCs w:val="32"/>
          <w:lang w:val="zh-CN"/>
        </w:rPr>
      </w:pPr>
      <w:r>
        <w:rPr>
          <w:rFonts w:hint="eastAsia" w:eastAsia="仿宋_GB2312"/>
          <w:sz w:val="32"/>
          <w:szCs w:val="32"/>
          <w:lang w:val="zh-CN"/>
        </w:rPr>
        <w:t>该项目不涉及下一步改进完善意见及有关政策性建议。</w:t>
      </w:r>
    </w:p>
    <w:p w14:paraId="4D3E9DF8">
      <w:pPr>
        <w:rPr>
          <w:rFonts w:eastAsia="仿宋_GB2312"/>
          <w:sz w:val="32"/>
          <w:szCs w:val="32"/>
        </w:rPr>
      </w:pPr>
    </w:p>
    <w:p w14:paraId="05FEA61A">
      <w:pPr>
        <w:rPr>
          <w:rFonts w:hint="default" w:ascii="Times New Roman" w:hAnsi="Times New Roman" w:eastAsia="方正小标宋_GBK" w:cs="Times New Roman"/>
          <w:b w:val="0"/>
          <w:bCs w:val="0"/>
          <w:kern w:val="2"/>
          <w:sz w:val="44"/>
          <w:szCs w:val="44"/>
          <w:highlight w:val="none"/>
          <w:lang w:val="en-US" w:eastAsia="zh-CN" w:bidi="ar-SA"/>
        </w:rPr>
      </w:pPr>
      <w:r>
        <w:rPr>
          <w:rFonts w:hint="default" w:ascii="Times New Roman" w:hAnsi="Times New Roman" w:eastAsia="方正小标宋_GBK" w:cs="Times New Roman"/>
          <w:b w:val="0"/>
          <w:bCs w:val="0"/>
          <w:kern w:val="2"/>
          <w:sz w:val="44"/>
          <w:szCs w:val="44"/>
          <w:highlight w:val="none"/>
          <w:lang w:val="en-US" w:eastAsia="zh-CN" w:bidi="ar-SA"/>
        </w:rPr>
        <w:br w:type="page"/>
      </w:r>
    </w:p>
    <w:p w14:paraId="40C8B25A">
      <w:pPr>
        <w:keepNext w:val="0"/>
        <w:keepLines w:val="0"/>
        <w:pageBreakBefore w:val="0"/>
        <w:widowControl w:val="0"/>
        <w:kinsoku/>
        <w:wordWrap/>
        <w:overflowPunct/>
        <w:topLinePunct w:val="0"/>
        <w:autoSpaceDE/>
        <w:autoSpaceDN/>
        <w:bidi w:val="0"/>
        <w:spacing w:after="120" w:line="600" w:lineRule="exact"/>
        <w:jc w:val="center"/>
        <w:textAlignment w:val="auto"/>
        <w:rPr>
          <w:rFonts w:hint="default" w:ascii="Times New Roman" w:hAnsi="Times New Roman" w:eastAsia="方正小标宋_GBK" w:cs="Times New Roman"/>
          <w:b w:val="0"/>
          <w:bCs w:val="0"/>
          <w:kern w:val="2"/>
          <w:sz w:val="44"/>
          <w:szCs w:val="44"/>
          <w:highlight w:val="none"/>
          <w:lang w:val="en-US" w:eastAsia="zh-CN" w:bidi="ar-SA"/>
        </w:rPr>
      </w:pPr>
    </w:p>
    <w:p w14:paraId="1BC2C836">
      <w:pPr>
        <w:keepNext w:val="0"/>
        <w:keepLines w:val="0"/>
        <w:widowControl w:val="0"/>
        <w:suppressLineNumbers w:val="0"/>
        <w:spacing w:before="0" w:beforeAutospacing="0" w:after="0" w:afterAutospacing="0" w:line="600" w:lineRule="exact"/>
        <w:ind w:left="0" w:right="0" w:firstLine="883"/>
        <w:jc w:val="center"/>
        <w:rPr>
          <w:rFonts w:hint="default" w:ascii="Times New Roman" w:hAnsi="Times New Roman" w:eastAsia="方正小标宋_GBK" w:cs="Times New Roman"/>
          <w:b w:val="0"/>
          <w:bCs w:val="0"/>
          <w:color w:val="auto"/>
          <w:kern w:val="2"/>
          <w:sz w:val="44"/>
          <w:szCs w:val="44"/>
          <w:highlight w:val="none"/>
          <w:lang w:val="en-US" w:eastAsia="zh-CN" w:bidi="ar-SA"/>
        </w:rPr>
      </w:pPr>
      <w:r>
        <w:rPr>
          <w:rFonts w:hint="default" w:ascii="Times New Roman" w:hAnsi="Times New Roman" w:eastAsia="方正小标宋_GBK" w:cs="Times New Roman"/>
          <w:b w:val="0"/>
          <w:bCs w:val="0"/>
          <w:color w:val="auto"/>
          <w:kern w:val="2"/>
          <w:sz w:val="44"/>
          <w:szCs w:val="44"/>
          <w:highlight w:val="none"/>
          <w:lang w:val="en-US" w:eastAsia="zh-CN" w:bidi="ar-SA"/>
        </w:rPr>
        <w:t>专项预算项目支出绩效自评报告</w:t>
      </w:r>
    </w:p>
    <w:p w14:paraId="53C06740">
      <w:pPr>
        <w:keepNext w:val="0"/>
        <w:keepLines w:val="0"/>
        <w:widowControl w:val="0"/>
        <w:suppressLineNumbers w:val="0"/>
        <w:spacing w:before="0" w:beforeAutospacing="0" w:after="0" w:afterAutospacing="0" w:line="600" w:lineRule="exact"/>
        <w:ind w:left="0" w:right="0" w:firstLine="883"/>
        <w:jc w:val="center"/>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仿宋_GB2312"/>
          <w:color w:val="auto"/>
          <w:kern w:val="2"/>
          <w:sz w:val="32"/>
          <w:szCs w:val="32"/>
          <w:lang w:val="en-US" w:eastAsia="zh-CN" w:bidi="ar"/>
        </w:rPr>
        <w:t>（2020</w:t>
      </w:r>
      <w:r>
        <w:rPr>
          <w:rFonts w:hint="eastAsia" w:eastAsia="仿宋_GB2312" w:cs="仿宋_GB2312"/>
          <w:color w:val="auto"/>
          <w:kern w:val="2"/>
          <w:sz w:val="32"/>
          <w:szCs w:val="32"/>
          <w:lang w:val="en-US" w:eastAsia="zh-CN" w:bidi="ar"/>
        </w:rPr>
        <w:t>—</w:t>
      </w:r>
      <w:r>
        <w:rPr>
          <w:rFonts w:hint="eastAsia" w:ascii="Times New Roman" w:hAnsi="Times New Roman" w:eastAsia="仿宋_GB2312" w:cs="仿宋_GB2312"/>
          <w:color w:val="auto"/>
          <w:kern w:val="2"/>
          <w:sz w:val="32"/>
          <w:szCs w:val="32"/>
          <w:lang w:val="en-US" w:eastAsia="zh-CN" w:bidi="ar"/>
        </w:rPr>
        <w:t>2023年自然资源统一确权登记项目）</w:t>
      </w:r>
    </w:p>
    <w:p w14:paraId="21D201D0">
      <w:pPr>
        <w:keepNext w:val="0"/>
        <w:keepLines w:val="0"/>
        <w:pageBreakBefore w:val="0"/>
        <w:widowControl w:val="0"/>
        <w:kinsoku/>
        <w:wordWrap/>
        <w:overflowPunct/>
        <w:topLinePunct w:val="0"/>
        <w:autoSpaceDE/>
        <w:autoSpaceDN/>
        <w:bidi w:val="0"/>
        <w:spacing w:after="120" w:line="600" w:lineRule="exact"/>
        <w:jc w:val="center"/>
        <w:textAlignment w:val="auto"/>
        <w:rPr>
          <w:rFonts w:hint="default" w:ascii="Times New Roman" w:hAnsi="Times New Roman" w:eastAsia="方正小标宋_GBK" w:cs="Times New Roman"/>
          <w:b w:val="0"/>
          <w:bCs w:val="0"/>
          <w:color w:val="auto"/>
          <w:kern w:val="2"/>
          <w:sz w:val="44"/>
          <w:szCs w:val="44"/>
          <w:highlight w:val="none"/>
          <w:lang w:val="en-US" w:eastAsia="zh-CN" w:bidi="ar-SA"/>
        </w:rPr>
      </w:pPr>
    </w:p>
    <w:p w14:paraId="5DF4B9E8">
      <w:pPr>
        <w:keepNext w:val="0"/>
        <w:keepLines w:val="0"/>
        <w:pageBreakBefore w:val="0"/>
        <w:widowControl w:val="0"/>
        <w:kinsoku/>
        <w:wordWrap/>
        <w:overflowPunct/>
        <w:topLinePunct w:val="0"/>
        <w:autoSpaceDE/>
        <w:autoSpaceDN/>
        <w:bidi w:val="0"/>
        <w:spacing w:line="600" w:lineRule="exact"/>
        <w:ind w:firstLine="640"/>
        <w:jc w:val="both"/>
        <w:textAlignment w:val="auto"/>
        <w:rPr>
          <w:rFonts w:hint="default" w:ascii="Times New Roman" w:hAnsi="Times New Roman" w:eastAsia="方正公文小标宋" w:cs="Times New Roman"/>
          <w:b w:val="0"/>
          <w:bCs w:val="0"/>
          <w:color w:val="auto"/>
          <w:kern w:val="2"/>
          <w:sz w:val="44"/>
          <w:szCs w:val="44"/>
          <w:highlight w:val="none"/>
          <w:lang w:val="zh-CN" w:eastAsia="zh-CN" w:bidi="ar-SA"/>
        </w:rPr>
      </w:pPr>
    </w:p>
    <w:p w14:paraId="0BC4B240">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方正黑体_GBK" w:cs="Times New Roman"/>
          <w:b w:val="0"/>
          <w:bCs w:val="0"/>
          <w:sz w:val="32"/>
          <w:szCs w:val="32"/>
          <w:highlight w:val="none"/>
          <w:lang w:val="zh-CN"/>
        </w:rPr>
      </w:pPr>
      <w:r>
        <w:rPr>
          <w:rFonts w:hint="default" w:ascii="Times New Roman" w:hAnsi="Times New Roman" w:eastAsia="方正黑体_GBK" w:cs="Times New Roman"/>
          <w:b w:val="0"/>
          <w:bCs w:val="0"/>
          <w:sz w:val="32"/>
          <w:szCs w:val="32"/>
          <w:highlight w:val="none"/>
        </w:rPr>
        <w:t>一、</w:t>
      </w:r>
      <w:r>
        <w:rPr>
          <w:rFonts w:hint="default" w:ascii="Times New Roman" w:hAnsi="Times New Roman" w:eastAsia="方正黑体_GBK" w:cs="Times New Roman"/>
          <w:b w:val="0"/>
          <w:bCs w:val="0"/>
          <w:sz w:val="32"/>
          <w:szCs w:val="32"/>
          <w:highlight w:val="none"/>
          <w:lang w:val="zh-CN"/>
        </w:rPr>
        <w:t>项目概况</w:t>
      </w:r>
    </w:p>
    <w:p w14:paraId="41E2E7EA">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方正楷体_GBK" w:cs="Times New Roman"/>
          <w:b/>
          <w:bCs/>
          <w:sz w:val="32"/>
          <w:szCs w:val="32"/>
          <w:highlight w:val="none"/>
          <w:lang w:val="zh-CN"/>
        </w:rPr>
      </w:pPr>
      <w:r>
        <w:rPr>
          <w:rFonts w:hint="default" w:ascii="Times New Roman" w:hAnsi="Times New Roman" w:eastAsia="方正楷体_GBK" w:cs="Times New Roman"/>
          <w:b/>
          <w:bCs/>
          <w:sz w:val="32"/>
          <w:szCs w:val="32"/>
          <w:highlight w:val="none"/>
          <w:lang w:val="zh-CN"/>
        </w:rPr>
        <w:t>（一）项目基本情况。</w:t>
      </w:r>
    </w:p>
    <w:p w14:paraId="551EB930">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方正仿宋_GBK" w:cs="Times New Roman"/>
          <w:b w:val="0"/>
          <w:bCs w:val="0"/>
          <w:sz w:val="32"/>
          <w:szCs w:val="32"/>
          <w:highlight w:val="none"/>
          <w:lang w:val="zh-CN"/>
        </w:rPr>
      </w:pPr>
      <w:r>
        <w:rPr>
          <w:rFonts w:hint="eastAsia" w:eastAsia="方正仿宋_GBK" w:cs="Times New Roman"/>
          <w:b w:val="0"/>
          <w:bCs w:val="0"/>
          <w:sz w:val="32"/>
          <w:szCs w:val="32"/>
          <w:highlight w:val="none"/>
          <w:lang w:val="zh-CN"/>
        </w:rPr>
        <w:t>1.</w:t>
      </w:r>
      <w:r>
        <w:rPr>
          <w:rFonts w:hint="default" w:ascii="Times New Roman" w:hAnsi="Times New Roman" w:eastAsia="方正仿宋_GBK" w:cs="Times New Roman"/>
          <w:b w:val="0"/>
          <w:bCs w:val="0"/>
          <w:sz w:val="32"/>
          <w:szCs w:val="32"/>
          <w:highlight w:val="none"/>
          <w:lang w:val="zh-CN"/>
        </w:rPr>
        <w:t>说明项目主管部门（单位）在该项目管理中的职能。</w:t>
      </w:r>
    </w:p>
    <w:p w14:paraId="57411CCB">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default" w:ascii="Times New Roman" w:hAnsi="Times New Roman" w:eastAsia="方正仿宋_GBK" w:cs="Times New Roman"/>
          <w:b w:val="0"/>
          <w:bCs w:val="0"/>
          <w:sz w:val="32"/>
          <w:szCs w:val="32"/>
          <w:highlight w:val="none"/>
          <w:lang w:val="zh-CN"/>
        </w:rPr>
      </w:pPr>
      <w:r>
        <w:rPr>
          <w:rFonts w:hint="default" w:ascii="Times New Roman" w:hAnsi="Times New Roman" w:eastAsia="方正仿宋_GBK" w:cs="Times New Roman"/>
          <w:b w:val="0"/>
          <w:bCs w:val="0"/>
          <w:sz w:val="32"/>
          <w:szCs w:val="32"/>
          <w:highlight w:val="none"/>
          <w:shd w:val="clear" w:color="auto" w:fill="FFFFFF"/>
        </w:rPr>
        <w:t>按照</w:t>
      </w:r>
      <w:r>
        <w:rPr>
          <w:rFonts w:hint="default" w:ascii="Times New Roman" w:hAnsi="Times New Roman" w:eastAsia="方正仿宋_GBK" w:cs="Times New Roman"/>
          <w:b w:val="0"/>
          <w:bCs w:val="0"/>
          <w:sz w:val="32"/>
          <w:szCs w:val="32"/>
          <w:highlight w:val="none"/>
        </w:rPr>
        <w:t>《攀枝花市人民政府关于印发〈攀枝花市自然资源统一确权登记总体工作方案〉》（攀府发〔2020〕12号）文件，市自然资源和规划局负责全市自然资源统一确权登记工作的组织实施、业务指导和督导检查，制定重点区域自然资源统一确权登记市级年度实施计划，了解掌握全市工作推进情况，及时叫停违法违规、损害所有者权益的登记行为</w:t>
      </w:r>
      <w:r>
        <w:rPr>
          <w:rFonts w:hint="default" w:ascii="Times New Roman" w:hAnsi="Times New Roman" w:eastAsia="方正仿宋_GBK" w:cs="Times New Roman"/>
          <w:b w:val="0"/>
          <w:bCs w:val="0"/>
          <w:sz w:val="32"/>
          <w:szCs w:val="32"/>
          <w:highlight w:val="none"/>
          <w:lang w:eastAsia="zh-CN"/>
        </w:rPr>
        <w:t>。</w:t>
      </w:r>
      <w:r>
        <w:rPr>
          <w:rFonts w:hint="default" w:ascii="Times New Roman" w:hAnsi="Times New Roman" w:eastAsia="方正仿宋_GBK" w:cs="Times New Roman"/>
          <w:b w:val="0"/>
          <w:bCs w:val="0"/>
          <w:sz w:val="32"/>
          <w:szCs w:val="32"/>
          <w:highlight w:val="none"/>
          <w:lang w:val="en-US" w:eastAsia="zh-CN"/>
        </w:rPr>
        <w:t>我局</w:t>
      </w:r>
      <w:r>
        <w:rPr>
          <w:rFonts w:hint="default" w:ascii="Times New Roman" w:hAnsi="Times New Roman" w:eastAsia="方正仿宋_GBK" w:cs="Times New Roman"/>
          <w:b w:val="0"/>
          <w:bCs w:val="0"/>
          <w:sz w:val="32"/>
          <w:szCs w:val="32"/>
          <w:highlight w:val="none"/>
          <w:lang w:val="zh-CN"/>
        </w:rPr>
        <w:t>牵头开展我市2020—2023年年度实施计划表中市级登记项目的自然资源统一确权登记工作。</w:t>
      </w:r>
      <w:r>
        <w:rPr>
          <w:rFonts w:hint="default" w:ascii="Times New Roman" w:hAnsi="Times New Roman" w:eastAsia="方正仿宋_GBK" w:cs="Times New Roman"/>
          <w:b w:val="0"/>
          <w:bCs w:val="0"/>
          <w:sz w:val="32"/>
          <w:szCs w:val="32"/>
          <w:highlight w:val="none"/>
        </w:rPr>
        <w:t>2020年1个</w:t>
      </w:r>
      <w:r>
        <w:rPr>
          <w:rFonts w:hint="default" w:ascii="Times New Roman" w:hAnsi="Times New Roman" w:eastAsia="方正仿宋_GBK" w:cs="Times New Roman"/>
          <w:b w:val="0"/>
          <w:bCs w:val="0"/>
          <w:sz w:val="32"/>
          <w:szCs w:val="32"/>
          <w:highlight w:val="none"/>
          <w:lang w:val="en-US" w:eastAsia="zh-CN"/>
        </w:rPr>
        <w:t>项目、</w:t>
      </w:r>
      <w:r>
        <w:rPr>
          <w:rFonts w:hint="default" w:ascii="Times New Roman" w:hAnsi="Times New Roman" w:eastAsia="方正仿宋_GBK" w:cs="Times New Roman"/>
          <w:b w:val="0"/>
          <w:bCs w:val="0"/>
          <w:color w:val="auto"/>
          <w:sz w:val="32"/>
          <w:szCs w:val="32"/>
          <w:highlight w:val="none"/>
        </w:rPr>
        <w:t>202</w:t>
      </w:r>
      <w:r>
        <w:rPr>
          <w:rFonts w:hint="default" w:ascii="Times New Roman" w:hAnsi="Times New Roman" w:eastAsia="方正仿宋_GBK" w:cs="Times New Roman"/>
          <w:b w:val="0"/>
          <w:bCs w:val="0"/>
          <w:color w:val="auto"/>
          <w:sz w:val="32"/>
          <w:szCs w:val="32"/>
          <w:highlight w:val="none"/>
          <w:lang w:val="en-US" w:eastAsia="zh-CN"/>
        </w:rPr>
        <w:t>1</w:t>
      </w:r>
      <w:r>
        <w:rPr>
          <w:rFonts w:hint="default" w:ascii="Times New Roman" w:hAnsi="Times New Roman" w:eastAsia="方正仿宋_GBK" w:cs="Times New Roman"/>
          <w:b w:val="0"/>
          <w:bCs w:val="0"/>
          <w:color w:val="auto"/>
          <w:sz w:val="32"/>
          <w:szCs w:val="32"/>
          <w:highlight w:val="none"/>
        </w:rPr>
        <w:t>年</w:t>
      </w:r>
      <w:r>
        <w:rPr>
          <w:rFonts w:hint="default" w:ascii="Times New Roman" w:hAnsi="Times New Roman" w:eastAsia="方正仿宋_GBK" w:cs="Times New Roman"/>
          <w:b w:val="0"/>
          <w:bCs w:val="0"/>
          <w:color w:val="auto"/>
          <w:sz w:val="32"/>
          <w:szCs w:val="32"/>
          <w:highlight w:val="none"/>
          <w:lang w:val="en-US" w:eastAsia="zh-CN"/>
        </w:rPr>
        <w:t>4</w:t>
      </w:r>
      <w:r>
        <w:rPr>
          <w:rFonts w:hint="default" w:ascii="Times New Roman" w:hAnsi="Times New Roman" w:eastAsia="方正仿宋_GBK" w:cs="Times New Roman"/>
          <w:b w:val="0"/>
          <w:bCs w:val="0"/>
          <w:color w:val="auto"/>
          <w:sz w:val="32"/>
          <w:szCs w:val="32"/>
          <w:highlight w:val="none"/>
        </w:rPr>
        <w:t>个</w:t>
      </w:r>
      <w:r>
        <w:rPr>
          <w:rFonts w:hint="default" w:ascii="Times New Roman" w:hAnsi="Times New Roman" w:eastAsia="方正仿宋_GBK" w:cs="Times New Roman"/>
          <w:b w:val="0"/>
          <w:bCs w:val="0"/>
          <w:color w:val="auto"/>
          <w:sz w:val="32"/>
          <w:szCs w:val="32"/>
          <w:highlight w:val="none"/>
          <w:lang w:val="en-US" w:eastAsia="zh-CN"/>
        </w:rPr>
        <w:t>项目、</w:t>
      </w:r>
      <w:r>
        <w:rPr>
          <w:rFonts w:hint="default" w:ascii="Times New Roman" w:hAnsi="Times New Roman" w:eastAsia="方正仿宋_GBK" w:cs="Times New Roman"/>
          <w:b w:val="0"/>
          <w:bCs w:val="0"/>
          <w:color w:val="auto"/>
          <w:sz w:val="32"/>
          <w:szCs w:val="32"/>
          <w:highlight w:val="none"/>
        </w:rPr>
        <w:t>202</w:t>
      </w:r>
      <w:r>
        <w:rPr>
          <w:rFonts w:hint="default" w:ascii="Times New Roman" w:hAnsi="Times New Roman" w:eastAsia="方正仿宋_GBK" w:cs="Times New Roman"/>
          <w:b w:val="0"/>
          <w:bCs w:val="0"/>
          <w:color w:val="auto"/>
          <w:sz w:val="32"/>
          <w:szCs w:val="32"/>
          <w:highlight w:val="none"/>
          <w:lang w:val="en-US" w:eastAsia="zh-CN"/>
        </w:rPr>
        <w:t>2—2023</w:t>
      </w:r>
      <w:r>
        <w:rPr>
          <w:rFonts w:hint="default" w:ascii="Times New Roman" w:hAnsi="Times New Roman" w:eastAsia="方正仿宋_GBK" w:cs="Times New Roman"/>
          <w:b w:val="0"/>
          <w:bCs w:val="0"/>
          <w:color w:val="auto"/>
          <w:sz w:val="32"/>
          <w:szCs w:val="32"/>
          <w:highlight w:val="none"/>
        </w:rPr>
        <w:t>年</w:t>
      </w:r>
      <w:r>
        <w:rPr>
          <w:rFonts w:hint="default" w:ascii="Times New Roman" w:hAnsi="Times New Roman" w:eastAsia="方正仿宋_GBK" w:cs="Times New Roman"/>
          <w:b w:val="0"/>
          <w:bCs w:val="0"/>
          <w:color w:val="auto"/>
          <w:sz w:val="32"/>
          <w:szCs w:val="32"/>
          <w:highlight w:val="none"/>
          <w:lang w:val="en-US" w:eastAsia="zh-CN"/>
        </w:rPr>
        <w:t>6</w:t>
      </w:r>
      <w:r>
        <w:rPr>
          <w:rFonts w:hint="default" w:ascii="Times New Roman" w:hAnsi="Times New Roman" w:eastAsia="方正仿宋_GBK" w:cs="Times New Roman"/>
          <w:b w:val="0"/>
          <w:bCs w:val="0"/>
          <w:color w:val="auto"/>
          <w:sz w:val="32"/>
          <w:szCs w:val="32"/>
          <w:highlight w:val="none"/>
        </w:rPr>
        <w:t>个</w:t>
      </w:r>
      <w:r>
        <w:rPr>
          <w:rFonts w:hint="default" w:ascii="Times New Roman" w:hAnsi="Times New Roman" w:eastAsia="方正仿宋_GBK" w:cs="Times New Roman"/>
          <w:b w:val="0"/>
          <w:bCs w:val="0"/>
          <w:color w:val="auto"/>
          <w:sz w:val="32"/>
          <w:szCs w:val="32"/>
          <w:highlight w:val="none"/>
          <w:lang w:val="en-US" w:eastAsia="zh-CN"/>
        </w:rPr>
        <w:t>项目</w:t>
      </w:r>
      <w:r>
        <w:rPr>
          <w:rFonts w:hint="default" w:ascii="Times New Roman" w:hAnsi="Times New Roman" w:eastAsia="方正仿宋_GBK" w:cs="Times New Roman"/>
          <w:b w:val="0"/>
          <w:bCs w:val="0"/>
          <w:color w:val="auto"/>
          <w:sz w:val="32"/>
          <w:szCs w:val="32"/>
          <w:highlight w:val="none"/>
          <w:lang w:eastAsia="zh-CN"/>
        </w:rPr>
        <w:t>。</w:t>
      </w:r>
    </w:p>
    <w:p w14:paraId="130D4FBC">
      <w:pPr>
        <w:keepNext w:val="0"/>
        <w:keepLines w:val="0"/>
        <w:pageBreakBefore w:val="0"/>
        <w:widowControl w:val="0"/>
        <w:numPr>
          <w:ilvl w:val="0"/>
          <w:numId w:val="26"/>
        </w:numPr>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方正仿宋_GBK" w:cs="Times New Roman"/>
          <w:b w:val="0"/>
          <w:bCs w:val="0"/>
          <w:sz w:val="32"/>
          <w:szCs w:val="32"/>
          <w:highlight w:val="none"/>
          <w:lang w:val="zh-CN"/>
        </w:rPr>
      </w:pPr>
      <w:r>
        <w:rPr>
          <w:rFonts w:hint="default" w:ascii="Times New Roman" w:hAnsi="Times New Roman" w:eastAsia="方正仿宋_GBK" w:cs="Times New Roman"/>
          <w:b w:val="0"/>
          <w:bCs w:val="0"/>
          <w:sz w:val="32"/>
          <w:szCs w:val="32"/>
          <w:highlight w:val="none"/>
          <w:lang w:val="zh-CN"/>
        </w:rPr>
        <w:t>项目立项、资金申报的依据。</w:t>
      </w:r>
      <w:r>
        <w:rPr>
          <w:rFonts w:hint="default" w:ascii="Times New Roman" w:hAnsi="Times New Roman" w:eastAsia="方正仿宋_GBK" w:cs="Times New Roman"/>
          <w:b w:val="0"/>
          <w:bCs w:val="0"/>
          <w:sz w:val="32"/>
          <w:szCs w:val="32"/>
          <w:highlight w:val="none"/>
        </w:rPr>
        <w:t>《攀枝花市人民政府关于印发〈攀枝花市自然资源统一确权登记总体工作方案〉》（攀府发〔2020〕12号）文件</w:t>
      </w:r>
      <w:r>
        <w:rPr>
          <w:rFonts w:hint="default" w:ascii="Times New Roman" w:hAnsi="Times New Roman" w:eastAsia="方正仿宋_GBK" w:cs="Times New Roman"/>
          <w:b w:val="0"/>
          <w:bCs w:val="0"/>
          <w:sz w:val="32"/>
          <w:szCs w:val="32"/>
          <w:highlight w:val="none"/>
          <w:lang w:eastAsia="zh-CN"/>
        </w:rPr>
        <w:t>、《</w:t>
      </w:r>
      <w:r>
        <w:rPr>
          <w:rFonts w:hint="default" w:ascii="Times New Roman" w:hAnsi="Times New Roman" w:eastAsia="方正仿宋_GBK" w:cs="Times New Roman"/>
          <w:b w:val="0"/>
          <w:bCs w:val="0"/>
          <w:sz w:val="32"/>
          <w:szCs w:val="32"/>
          <w:highlight w:val="none"/>
          <w:lang w:val="zh-CN"/>
        </w:rPr>
        <w:t>市政府领导批示—攀枝花市自然资源和规划局关于申请解决自然资源确权登记工作经费的请示（</w:t>
      </w:r>
      <w:r>
        <w:rPr>
          <w:rFonts w:hint="default" w:ascii="Times New Roman" w:hAnsi="Times New Roman" w:eastAsia="方正仿宋_GBK" w:cs="Times New Roman"/>
          <w:b w:val="0"/>
          <w:bCs w:val="0"/>
          <w:sz w:val="32"/>
          <w:szCs w:val="32"/>
          <w:highlight w:val="none"/>
          <w:lang w:val="en-US" w:eastAsia="zh-CN"/>
        </w:rPr>
        <w:t>攀资源规划</w:t>
      </w:r>
      <w:r>
        <w:rPr>
          <w:rFonts w:hint="default" w:ascii="Times New Roman" w:hAnsi="Times New Roman" w:eastAsia="方正仿宋_GBK" w:cs="Times New Roman"/>
          <w:b w:val="0"/>
          <w:bCs w:val="0"/>
          <w:sz w:val="32"/>
          <w:szCs w:val="32"/>
          <w:highlight w:val="none"/>
        </w:rPr>
        <w:t>〔2020〕</w:t>
      </w:r>
      <w:r>
        <w:rPr>
          <w:rFonts w:hint="default" w:ascii="Times New Roman" w:hAnsi="Times New Roman" w:eastAsia="方正仿宋_GBK" w:cs="Times New Roman"/>
          <w:b w:val="0"/>
          <w:bCs w:val="0"/>
          <w:sz w:val="32"/>
          <w:szCs w:val="32"/>
          <w:highlight w:val="none"/>
          <w:lang w:val="en-US" w:eastAsia="zh-CN"/>
        </w:rPr>
        <w:t>236号</w:t>
      </w:r>
      <w:r>
        <w:rPr>
          <w:rFonts w:hint="default" w:ascii="Times New Roman" w:hAnsi="Times New Roman" w:eastAsia="方正仿宋_GBK" w:cs="Times New Roman"/>
          <w:b w:val="0"/>
          <w:bCs w:val="0"/>
          <w:sz w:val="32"/>
          <w:szCs w:val="32"/>
          <w:highlight w:val="none"/>
          <w:lang w:val="zh-CN"/>
        </w:rPr>
        <w:t>）</w:t>
      </w:r>
      <w:r>
        <w:rPr>
          <w:rFonts w:hint="eastAsia" w:eastAsia="方正仿宋_GBK" w:cs="Times New Roman"/>
          <w:b w:val="0"/>
          <w:bCs w:val="0"/>
          <w:sz w:val="32"/>
          <w:szCs w:val="32"/>
          <w:highlight w:val="none"/>
          <w:lang w:val="zh-CN"/>
        </w:rPr>
        <w:t>》《</w:t>
      </w:r>
      <w:r>
        <w:rPr>
          <w:rFonts w:hint="default" w:ascii="Times New Roman" w:hAnsi="Times New Roman" w:eastAsia="方正仿宋_GBK" w:cs="Times New Roman"/>
          <w:b w:val="0"/>
          <w:bCs w:val="0"/>
          <w:sz w:val="32"/>
          <w:szCs w:val="32"/>
          <w:highlight w:val="none"/>
          <w:lang w:val="en-US" w:eastAsia="zh-CN"/>
        </w:rPr>
        <w:t>市政府领导批示—</w:t>
      </w:r>
      <w:r>
        <w:rPr>
          <w:rFonts w:hint="default" w:ascii="Times New Roman" w:hAnsi="Times New Roman" w:eastAsia="方正仿宋_GBK" w:cs="Times New Roman"/>
          <w:b w:val="0"/>
          <w:bCs w:val="0"/>
          <w:sz w:val="32"/>
          <w:szCs w:val="32"/>
          <w:highlight w:val="none"/>
          <w:lang w:val="zh-CN"/>
        </w:rPr>
        <w:t>攀枝花市财政局关于解决自然资源确权登记工作经费的请示（</w:t>
      </w:r>
      <w:r>
        <w:rPr>
          <w:rFonts w:hint="default" w:ascii="Times New Roman" w:hAnsi="Times New Roman" w:eastAsia="方正仿宋_GBK" w:cs="Times New Roman"/>
          <w:b w:val="0"/>
          <w:bCs w:val="0"/>
          <w:sz w:val="32"/>
          <w:szCs w:val="32"/>
          <w:highlight w:val="none"/>
          <w:lang w:val="en-US" w:eastAsia="zh-CN"/>
        </w:rPr>
        <w:t>攀财政</w:t>
      </w:r>
      <w:r>
        <w:rPr>
          <w:rFonts w:hint="default" w:ascii="Times New Roman" w:hAnsi="Times New Roman" w:eastAsia="方正仿宋_GBK" w:cs="Times New Roman"/>
          <w:b w:val="0"/>
          <w:bCs w:val="0"/>
          <w:sz w:val="32"/>
          <w:szCs w:val="32"/>
          <w:highlight w:val="none"/>
        </w:rPr>
        <w:t>〔2020〕</w:t>
      </w:r>
      <w:r>
        <w:rPr>
          <w:rFonts w:hint="default" w:ascii="Times New Roman" w:hAnsi="Times New Roman" w:eastAsia="方正仿宋_GBK" w:cs="Times New Roman"/>
          <w:b w:val="0"/>
          <w:bCs w:val="0"/>
          <w:sz w:val="32"/>
          <w:szCs w:val="32"/>
          <w:highlight w:val="none"/>
          <w:lang w:val="en-US" w:eastAsia="zh-CN"/>
        </w:rPr>
        <w:t>160号）</w:t>
      </w:r>
      <w:r>
        <w:rPr>
          <w:rFonts w:hint="default" w:ascii="Times New Roman" w:hAnsi="Times New Roman" w:eastAsia="方正仿宋_GBK" w:cs="Times New Roman"/>
          <w:b w:val="0"/>
          <w:bCs w:val="0"/>
          <w:sz w:val="32"/>
          <w:szCs w:val="32"/>
          <w:highlight w:val="none"/>
          <w:lang w:val="zh-CN"/>
        </w:rPr>
        <w:t>》。</w:t>
      </w:r>
    </w:p>
    <w:p w14:paraId="085062AB">
      <w:pPr>
        <w:keepNext w:val="0"/>
        <w:keepLines w:val="0"/>
        <w:pageBreakBefore w:val="0"/>
        <w:widowControl w:val="0"/>
        <w:numPr>
          <w:ilvl w:val="0"/>
          <w:numId w:val="26"/>
        </w:numPr>
        <w:kinsoku/>
        <w:wordWrap/>
        <w:overflowPunct/>
        <w:topLinePunct w:val="0"/>
        <w:autoSpaceDE/>
        <w:autoSpaceDN/>
        <w:bidi w:val="0"/>
        <w:adjustRightInd w:val="0"/>
        <w:snapToGrid w:val="0"/>
        <w:spacing w:line="600" w:lineRule="exact"/>
        <w:ind w:left="0" w:leftChars="0" w:firstLine="720" w:firstLineChars="0"/>
        <w:jc w:val="both"/>
        <w:textAlignment w:val="auto"/>
        <w:rPr>
          <w:rFonts w:hint="default" w:ascii="Times New Roman" w:hAnsi="Times New Roman" w:eastAsia="方正仿宋_GBK" w:cs="Times New Roman"/>
          <w:b w:val="0"/>
          <w:bCs w:val="0"/>
          <w:sz w:val="32"/>
          <w:szCs w:val="32"/>
          <w:highlight w:val="none"/>
          <w:lang w:val="en-US" w:eastAsia="zh-CN"/>
        </w:rPr>
      </w:pPr>
      <w:r>
        <w:rPr>
          <w:rFonts w:hint="default" w:ascii="Times New Roman" w:hAnsi="Times New Roman" w:eastAsia="方正仿宋_GBK" w:cs="Times New Roman"/>
          <w:b w:val="0"/>
          <w:bCs w:val="0"/>
          <w:sz w:val="32"/>
          <w:szCs w:val="32"/>
          <w:highlight w:val="none"/>
          <w:lang w:val="zh-CN"/>
        </w:rPr>
        <w:t>资金管理办法制定情况，资金支持具体项目的条件、范围与支持方式概况。</w:t>
      </w:r>
      <w:r>
        <w:rPr>
          <w:rFonts w:hint="default" w:ascii="Times New Roman" w:hAnsi="Times New Roman" w:eastAsia="方正仿宋_GBK" w:cs="Times New Roman"/>
          <w:b w:val="0"/>
          <w:bCs w:val="0"/>
          <w:sz w:val="32"/>
          <w:szCs w:val="32"/>
          <w:highlight w:val="none"/>
          <w:lang w:val="en-US" w:eastAsia="zh-CN"/>
        </w:rPr>
        <w:t>按照《攀枝花市自然资源和规划局财务管理办法》规定，规范使用资金。</w:t>
      </w:r>
      <w:r>
        <w:rPr>
          <w:rFonts w:hint="default" w:ascii="Times New Roman" w:hAnsi="Times New Roman" w:eastAsia="方正仿宋_GBK" w:cs="Times New Roman"/>
          <w:b w:val="0"/>
          <w:bCs w:val="0"/>
          <w:sz w:val="32"/>
          <w:szCs w:val="32"/>
          <w:highlight w:val="none"/>
          <w:lang w:val="zh-CN"/>
        </w:rPr>
        <w:t>攀枝花市人民政府关于印发《攀枝花市自然资源统一确权登记总体工作方案》的通知（攀府发〔2020〕12号），市领导对《攀枝花市财政局关于解决自然资源确权登记工作经费的请示》（攀财政〔2020〕160号）的批复，批复内容（市财政局按照合同约定核拨项目经费。2020年市级登记项目所需经费纳入2021年市级预算解决；2021年至2023年市级登记项目所需经费分别纳入当年市级预算解决。其中2020年1个项目预计63.08万元，2021年4个项目预计147.28</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，2022年4个项目73.77</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w:t>
      </w:r>
    </w:p>
    <w:p w14:paraId="24612404">
      <w:pPr>
        <w:keepNext w:val="0"/>
        <w:keepLines w:val="0"/>
        <w:pageBreakBefore w:val="0"/>
        <w:widowControl w:val="0"/>
        <w:numPr>
          <w:ilvl w:val="0"/>
          <w:numId w:val="26"/>
        </w:numPr>
        <w:kinsoku/>
        <w:wordWrap/>
        <w:overflowPunct/>
        <w:topLinePunct w:val="0"/>
        <w:autoSpaceDE/>
        <w:autoSpaceDN/>
        <w:bidi w:val="0"/>
        <w:adjustRightInd w:val="0"/>
        <w:snapToGrid w:val="0"/>
        <w:spacing w:line="600" w:lineRule="exact"/>
        <w:ind w:left="0" w:leftChars="0" w:firstLine="720" w:firstLineChars="0"/>
        <w:jc w:val="both"/>
        <w:textAlignment w:val="auto"/>
        <w:rPr>
          <w:rFonts w:hint="default" w:ascii="Times New Roman" w:hAnsi="Times New Roman" w:eastAsia="方正仿宋_GBK" w:cs="Times New Roman"/>
          <w:b w:val="0"/>
          <w:bCs w:val="0"/>
          <w:sz w:val="32"/>
          <w:szCs w:val="32"/>
          <w:highlight w:val="none"/>
          <w:lang w:val="zh-CN"/>
        </w:rPr>
      </w:pPr>
      <w:r>
        <w:rPr>
          <w:rFonts w:hint="default" w:ascii="Times New Roman" w:hAnsi="Times New Roman" w:eastAsia="方正仿宋_GBK" w:cs="Times New Roman"/>
          <w:b w:val="0"/>
          <w:bCs w:val="0"/>
          <w:sz w:val="32"/>
          <w:szCs w:val="32"/>
          <w:highlight w:val="none"/>
          <w:lang w:val="zh-CN"/>
        </w:rPr>
        <w:t>资金分配的原则及考虑因素。《2020年市级自然资源统一确权登记项目采购合同》，中标金额62.5</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，已支付12.5万元，剩余50万元未支付；《2021年市级自然资源统一确权登记项目合同》项目资金61</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，已支付21万元（2025年12月8日支付8.8万元），未支付40万元；《</w:t>
      </w:r>
      <w:r>
        <w:rPr>
          <w:rFonts w:hint="eastAsia" w:eastAsia="方正仿宋_GBK" w:cs="Times New Roman"/>
          <w:b w:val="0"/>
          <w:bCs w:val="0"/>
          <w:sz w:val="32"/>
          <w:szCs w:val="32"/>
          <w:highlight w:val="none"/>
          <w:lang w:val="zh-CN"/>
        </w:rPr>
        <w:t>2022—2023</w:t>
      </w:r>
      <w:r>
        <w:rPr>
          <w:rFonts w:hint="default" w:ascii="Times New Roman" w:hAnsi="Times New Roman" w:eastAsia="方正仿宋_GBK" w:cs="Times New Roman"/>
          <w:b w:val="0"/>
          <w:bCs w:val="0"/>
          <w:sz w:val="32"/>
          <w:szCs w:val="32"/>
          <w:highlight w:val="none"/>
          <w:lang w:val="zh-CN"/>
        </w:rPr>
        <w:t>年市级自然资源统一确权登记项目合同》，项目总资金55</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，已支付11万元，未支付44万元。</w:t>
      </w:r>
    </w:p>
    <w:p w14:paraId="253B83FA">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方正楷体_GB2312" w:cs="Times New Roman"/>
          <w:b/>
          <w:bCs/>
          <w:sz w:val="32"/>
          <w:szCs w:val="32"/>
          <w:highlight w:val="none"/>
          <w:lang w:val="zh-CN"/>
        </w:rPr>
      </w:pPr>
      <w:r>
        <w:rPr>
          <w:rFonts w:hint="default" w:ascii="Times New Roman" w:hAnsi="Times New Roman" w:eastAsia="方正楷体_GB2312" w:cs="Times New Roman"/>
          <w:b/>
          <w:bCs/>
          <w:sz w:val="32"/>
          <w:szCs w:val="32"/>
          <w:highlight w:val="none"/>
          <w:lang w:val="zh-CN"/>
        </w:rPr>
        <w:t>（二）项目绩效目标。</w:t>
      </w:r>
    </w:p>
    <w:p w14:paraId="6BA4F116">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方正仿宋_GBK" w:cs="Times New Roman"/>
          <w:b w:val="0"/>
          <w:bCs w:val="0"/>
          <w:sz w:val="32"/>
          <w:szCs w:val="32"/>
          <w:highlight w:val="none"/>
          <w:lang w:val="zh-CN"/>
        </w:rPr>
      </w:pPr>
      <w:r>
        <w:rPr>
          <w:rFonts w:hint="default" w:ascii="Times New Roman" w:hAnsi="Times New Roman" w:eastAsia="方正仿宋_GBK" w:cs="Times New Roman"/>
          <w:b w:val="0"/>
          <w:bCs w:val="0"/>
          <w:sz w:val="32"/>
          <w:szCs w:val="32"/>
          <w:highlight w:val="none"/>
          <w:lang w:val="zh-CN"/>
        </w:rPr>
        <w:t>1. 项目主要内容。</w:t>
      </w:r>
      <w:r>
        <w:rPr>
          <w:rFonts w:hint="default" w:ascii="Times New Roman" w:hAnsi="Times New Roman" w:eastAsia="方正仿宋_GBK" w:cs="Times New Roman"/>
          <w:b w:val="0"/>
          <w:bCs w:val="0"/>
          <w:sz w:val="32"/>
          <w:szCs w:val="32"/>
          <w:highlight w:val="none"/>
          <w:lang w:val="en-US" w:eastAsia="zh-CN"/>
        </w:rPr>
        <w:t>一是</w:t>
      </w:r>
      <w:r>
        <w:rPr>
          <w:rFonts w:hint="default" w:ascii="Times New Roman" w:hAnsi="Times New Roman" w:eastAsia="方正仿宋_GBK" w:cs="Times New Roman"/>
          <w:b w:val="0"/>
          <w:bCs w:val="0"/>
          <w:sz w:val="32"/>
          <w:szCs w:val="32"/>
          <w:highlight w:val="none"/>
        </w:rPr>
        <w:t>以不动产登记为基础，充分利用国土调查成果和自然资源专项调查成果，对攀枝花市普威林业局国有森林资源开展自然资源调查并进行统一确权登记，形成自然资源确权登记电子数据库并使用国家组织开发的自然资源登记信息系统进行登</w:t>
      </w:r>
      <w:r>
        <w:rPr>
          <w:rFonts w:hint="eastAsia" w:eastAsia="方正仿宋_GBK" w:cs="Times New Roman"/>
          <w:b w:val="0"/>
          <w:bCs w:val="0"/>
          <w:sz w:val="32"/>
          <w:szCs w:val="32"/>
          <w:highlight w:val="none"/>
          <w:lang w:eastAsia="zh-CN"/>
        </w:rPr>
        <w:t>簿</w:t>
      </w:r>
      <w:r>
        <w:rPr>
          <w:rFonts w:hint="default" w:ascii="Times New Roman" w:hAnsi="Times New Roman" w:eastAsia="方正仿宋_GBK" w:cs="Times New Roman"/>
          <w:b w:val="0"/>
          <w:bCs w:val="0"/>
          <w:sz w:val="32"/>
          <w:szCs w:val="32"/>
          <w:highlight w:val="none"/>
        </w:rPr>
        <w:t>发证</w:t>
      </w:r>
      <w:r>
        <w:rPr>
          <w:rFonts w:hint="default" w:ascii="Times New Roman" w:hAnsi="Times New Roman" w:eastAsia="方正仿宋_GBK" w:cs="Times New Roman"/>
          <w:b w:val="0"/>
          <w:bCs w:val="0"/>
          <w:sz w:val="32"/>
          <w:szCs w:val="32"/>
          <w:highlight w:val="none"/>
          <w:lang w:eastAsia="zh-CN"/>
        </w:rPr>
        <w:t>，</w:t>
      </w:r>
      <w:r>
        <w:rPr>
          <w:rFonts w:hint="default" w:ascii="Times New Roman" w:hAnsi="Times New Roman" w:eastAsia="方正仿宋_GBK" w:cs="Times New Roman"/>
          <w:b w:val="0"/>
          <w:bCs w:val="0"/>
          <w:sz w:val="32"/>
          <w:szCs w:val="32"/>
          <w:highlight w:val="none"/>
        </w:rPr>
        <w:t>对攀枝花市市属国有林权数据进行数据整合并完成汇交。</w:t>
      </w:r>
      <w:r>
        <w:rPr>
          <w:rFonts w:hint="default" w:ascii="Times New Roman" w:hAnsi="Times New Roman" w:eastAsia="方正仿宋_GBK" w:cs="Times New Roman"/>
          <w:b w:val="0"/>
          <w:bCs w:val="0"/>
          <w:sz w:val="32"/>
          <w:szCs w:val="32"/>
          <w:highlight w:val="none"/>
          <w:lang w:val="en-US" w:eastAsia="zh-CN"/>
        </w:rPr>
        <w:t>二是</w:t>
      </w:r>
      <w:r>
        <w:rPr>
          <w:rFonts w:hint="default" w:ascii="Times New Roman" w:hAnsi="Times New Roman" w:eastAsia="方正仿宋_GBK" w:cs="Times New Roman"/>
          <w:b w:val="0"/>
          <w:bCs w:val="0"/>
          <w:color w:val="auto"/>
          <w:sz w:val="32"/>
          <w:szCs w:val="32"/>
          <w:highlight w:val="none"/>
          <w:lang w:eastAsia="zh-CN"/>
        </w:rPr>
        <w:t>对四川攀枝花苏铁国家级自然保护区、攀枝花市盐边林业局国有森林资源、把关河、盐边县中干沟钒钛磁铁矿区开展自然资源调查统一确权登记及对攀枝花市市属国有林权数据进行数据整合并完成汇交。</w:t>
      </w:r>
      <w:r>
        <w:rPr>
          <w:rFonts w:hint="default" w:ascii="Times New Roman" w:hAnsi="Times New Roman" w:eastAsia="方正仿宋_GBK" w:cs="Times New Roman"/>
          <w:b w:val="0"/>
          <w:bCs w:val="0"/>
          <w:color w:val="auto"/>
          <w:sz w:val="32"/>
          <w:szCs w:val="32"/>
          <w:highlight w:val="none"/>
          <w:lang w:val="en-US" w:eastAsia="zh-CN"/>
        </w:rPr>
        <w:t>三</w:t>
      </w:r>
      <w:r>
        <w:rPr>
          <w:rFonts w:hint="default" w:ascii="Times New Roman" w:hAnsi="Times New Roman" w:eastAsia="方正仿宋_GBK" w:cs="Times New Roman"/>
          <w:b w:val="0"/>
          <w:bCs w:val="0"/>
          <w:color w:val="auto"/>
          <w:sz w:val="32"/>
          <w:szCs w:val="32"/>
          <w:highlight w:val="none"/>
          <w:lang w:eastAsia="zh-CN"/>
        </w:rPr>
        <w:t>是对二滩国家森林公园、沙坝田水库、胜利水库、攀枝花市仁和大龙潭石灰岩矿区、大河、攀枝花市西区宝鼎矿区深部，开展自然资源调查统一确权登记。</w:t>
      </w:r>
    </w:p>
    <w:p w14:paraId="30F00F74">
      <w:pPr>
        <w:keepNext w:val="0"/>
        <w:keepLines w:val="0"/>
        <w:pageBreakBefore w:val="0"/>
        <w:widowControl w:val="0"/>
        <w:numPr>
          <w:ilvl w:val="0"/>
          <w:numId w:val="27"/>
        </w:numPr>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方正仿宋_GBK" w:cs="Times New Roman"/>
          <w:sz w:val="32"/>
          <w:szCs w:val="32"/>
          <w:highlight w:val="none"/>
          <w:lang w:val="zh-CN"/>
        </w:rPr>
      </w:pPr>
      <w:r>
        <w:rPr>
          <w:rFonts w:hint="default" w:ascii="Times New Roman" w:hAnsi="Times New Roman" w:eastAsia="方正仿宋_GBK" w:cs="Times New Roman"/>
          <w:b w:val="0"/>
          <w:bCs w:val="0"/>
          <w:sz w:val="32"/>
          <w:szCs w:val="32"/>
          <w:highlight w:val="none"/>
          <w:lang w:val="zh-CN"/>
        </w:rPr>
        <w:t>项目应实现的具体绩效目标，包括目标的量化、细化情况以及项目实施进度计划等。</w:t>
      </w:r>
      <w:r>
        <w:rPr>
          <w:rFonts w:hint="default" w:ascii="Times New Roman" w:hAnsi="Times New Roman" w:eastAsia="方正仿宋_GBK" w:cs="Times New Roman"/>
          <w:sz w:val="32"/>
          <w:szCs w:val="32"/>
          <w:highlight w:val="none"/>
          <w:lang w:val="zh-CN"/>
        </w:rPr>
        <w:t>一是数量指标：1.完成登记项目个数</w:t>
      </w:r>
      <w:r>
        <w:rPr>
          <w:rFonts w:hint="default"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lang w:val="zh-CN"/>
        </w:rPr>
        <w:t>1个，2.完成一定数量的培训、会议、培训、研讨。二是质量指标：1.达到登记成果验收合格；2.数据入库验收合格。三是时效指标按期完成各项合同约定事项。四是成本指标完成项目资金支付。五是经济效益指标推进改革工作。六是社会效益指标：1.清晰界定各类资产界线；2.健全自然资源产权体系。七是生态效益指标：1.夯实生态文明建设基础。八是可持续影响指标完善自然资源管理体系。九是服务对象满意度指标：1.市局各科室、各事业单位；2.其他部门满意度3.上级管理部门均满意度≥90%。</w:t>
      </w:r>
    </w:p>
    <w:p w14:paraId="26AE74E5">
      <w:pPr>
        <w:keepNext w:val="0"/>
        <w:keepLines w:val="0"/>
        <w:pageBreakBefore w:val="0"/>
        <w:widowControl w:val="0"/>
        <w:numPr>
          <w:ilvl w:val="0"/>
          <w:numId w:val="27"/>
        </w:numPr>
        <w:kinsoku/>
        <w:wordWrap/>
        <w:overflowPunct/>
        <w:topLinePunct w:val="0"/>
        <w:autoSpaceDE/>
        <w:autoSpaceDN/>
        <w:bidi w:val="0"/>
        <w:adjustRightInd w:val="0"/>
        <w:snapToGrid w:val="0"/>
        <w:spacing w:line="600" w:lineRule="exact"/>
        <w:ind w:left="0" w:leftChars="0" w:firstLine="720" w:firstLineChars="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b w:val="0"/>
          <w:bCs w:val="0"/>
          <w:sz w:val="32"/>
          <w:szCs w:val="32"/>
          <w:highlight w:val="none"/>
          <w:lang w:val="zh-CN"/>
        </w:rPr>
        <w:t>分析评价申报内容是否与实际相符，申报目标是否合理可行。</w:t>
      </w:r>
      <w:r>
        <w:rPr>
          <w:rFonts w:hint="default" w:ascii="Times New Roman" w:hAnsi="Times New Roman" w:eastAsia="方正仿宋_GBK" w:cs="Times New Roman"/>
          <w:sz w:val="32"/>
          <w:szCs w:val="32"/>
          <w:highlight w:val="none"/>
          <w:lang w:val="en-US" w:eastAsia="zh-CN"/>
        </w:rPr>
        <w:t>申报内容与实际相符，目标可行。</w:t>
      </w:r>
    </w:p>
    <w:p w14:paraId="3AD4055C">
      <w:pPr>
        <w:keepNext w:val="0"/>
        <w:keepLines w:val="0"/>
        <w:pageBreakBefore w:val="0"/>
        <w:widowControl w:val="0"/>
        <w:numPr>
          <w:ilvl w:val="0"/>
          <w:numId w:val="28"/>
        </w:numPr>
        <w:kinsoku/>
        <w:wordWrap/>
        <w:overflowPunct/>
        <w:topLinePunct w:val="0"/>
        <w:autoSpaceDE/>
        <w:autoSpaceDN/>
        <w:bidi w:val="0"/>
        <w:spacing w:after="120" w:line="600" w:lineRule="exact"/>
        <w:ind w:left="720" w:leftChars="0"/>
        <w:jc w:val="both"/>
        <w:textAlignment w:val="auto"/>
        <w:rPr>
          <w:rFonts w:hint="default" w:ascii="Times New Roman" w:hAnsi="Times New Roman" w:eastAsia="方正楷体_GBK" w:cs="Times New Roman"/>
          <w:b/>
          <w:bCs/>
          <w:kern w:val="2"/>
          <w:sz w:val="32"/>
          <w:szCs w:val="32"/>
          <w:highlight w:val="none"/>
          <w:lang w:val="zh-CN" w:eastAsia="zh-CN" w:bidi="ar-SA"/>
        </w:rPr>
      </w:pPr>
      <w:r>
        <w:rPr>
          <w:rFonts w:hint="default" w:ascii="Times New Roman" w:hAnsi="Times New Roman" w:eastAsia="方正楷体_GBK" w:cs="Times New Roman"/>
          <w:b/>
          <w:bCs/>
          <w:kern w:val="2"/>
          <w:sz w:val="32"/>
          <w:szCs w:val="32"/>
          <w:highlight w:val="none"/>
          <w:lang w:val="zh-CN" w:eastAsia="zh-CN" w:bidi="ar-SA"/>
        </w:rPr>
        <w:t>项目自评步骤及方法。</w:t>
      </w:r>
    </w:p>
    <w:p w14:paraId="495E1611">
      <w:pPr>
        <w:keepNext w:val="0"/>
        <w:keepLines w:val="0"/>
        <w:pageBreakBefore w:val="0"/>
        <w:widowControl w:val="0"/>
        <w:numPr>
          <w:ilvl w:val="0"/>
          <w:numId w:val="0"/>
        </w:numPr>
        <w:kinsoku/>
        <w:wordWrap/>
        <w:overflowPunct/>
        <w:topLinePunct w:val="0"/>
        <w:autoSpaceDE/>
        <w:autoSpaceDN/>
        <w:bidi w:val="0"/>
        <w:spacing w:after="120" w:line="600" w:lineRule="exact"/>
        <w:ind w:firstLine="640" w:firstLineChars="200"/>
        <w:jc w:val="both"/>
        <w:textAlignment w:val="auto"/>
        <w:rPr>
          <w:rFonts w:hint="default" w:ascii="Times New Roman" w:hAnsi="Times New Roman" w:eastAsia="仿宋_GB2312" w:cs="Times New Roman"/>
          <w:kern w:val="2"/>
          <w:sz w:val="32"/>
          <w:szCs w:val="32"/>
          <w:highlight w:val="none"/>
          <w:lang w:val="zh-CN" w:eastAsia="zh-CN" w:bidi="ar-SA"/>
        </w:rPr>
      </w:pPr>
      <w:r>
        <w:rPr>
          <w:rFonts w:hint="default" w:ascii="Times New Roman" w:hAnsi="Times New Roman" w:eastAsia="仿宋_GB2312" w:cs="Times New Roman"/>
          <w:kern w:val="2"/>
          <w:sz w:val="32"/>
          <w:szCs w:val="32"/>
          <w:highlight w:val="none"/>
          <w:lang w:val="zh-CN" w:eastAsia="zh-CN" w:bidi="ar-SA"/>
        </w:rPr>
        <w:t>按照《攀枝花市财政局关于开展市本级预算绩效自评工作的通知》（攀财绩〔2025〕3号）要求，积极组织开展项目自评工作，通过与项目相关人员座谈或讨论等方法了解项目经费情况，收集相关资料，综合分析相关情况后，对项目决策、项目实施、完成效果、项目效果、社会效益及经济效益等进行评估。</w:t>
      </w:r>
    </w:p>
    <w:p w14:paraId="6E361BE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方正黑体_GBK" w:cs="Times New Roman"/>
          <w:b w:val="0"/>
          <w:bCs w:val="0"/>
          <w:sz w:val="32"/>
          <w:szCs w:val="32"/>
          <w:highlight w:val="none"/>
        </w:rPr>
      </w:pPr>
      <w:r>
        <w:rPr>
          <w:rFonts w:hint="default" w:ascii="Times New Roman" w:hAnsi="Times New Roman" w:eastAsia="方正黑体_GBK" w:cs="Times New Roman"/>
          <w:b w:val="0"/>
          <w:bCs w:val="0"/>
          <w:sz w:val="32"/>
          <w:szCs w:val="32"/>
          <w:highlight w:val="none"/>
        </w:rPr>
        <w:t>二、项目资金申报及使用情况</w:t>
      </w:r>
    </w:p>
    <w:p w14:paraId="3AD7405A">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方正仿宋_GBK" w:cs="Times New Roman"/>
          <w:b w:val="0"/>
          <w:bCs w:val="0"/>
          <w:sz w:val="32"/>
          <w:szCs w:val="32"/>
          <w:highlight w:val="none"/>
          <w:lang w:val="zh-CN"/>
        </w:rPr>
      </w:pPr>
      <w:r>
        <w:rPr>
          <w:rFonts w:hint="default" w:ascii="Times New Roman" w:hAnsi="Times New Roman" w:eastAsia="仿宋_GB2312" w:cs="Times New Roman"/>
          <w:sz w:val="32"/>
          <w:szCs w:val="32"/>
          <w:highlight w:val="none"/>
        </w:rPr>
        <w:t>项目</w:t>
      </w:r>
      <w:r>
        <w:rPr>
          <w:rFonts w:hint="default" w:ascii="Times New Roman" w:hAnsi="Times New Roman" w:eastAsia="仿宋_GB2312" w:cs="Times New Roman"/>
          <w:sz w:val="32"/>
          <w:szCs w:val="32"/>
          <w:highlight w:val="none"/>
          <w:lang w:val="zh-CN"/>
        </w:rPr>
        <w:t>经费纳入财政预算，我单位按照申请事项和具体工作开展</w:t>
      </w:r>
      <w:r>
        <w:rPr>
          <w:rFonts w:hint="default" w:ascii="Times New Roman" w:hAnsi="Times New Roman" w:eastAsia="仿宋_GB2312" w:cs="Times New Roman"/>
          <w:sz w:val="32"/>
          <w:szCs w:val="32"/>
          <w:highlight w:val="none"/>
        </w:rPr>
        <w:t>情况</w:t>
      </w:r>
      <w:r>
        <w:rPr>
          <w:rFonts w:hint="default" w:ascii="Times New Roman" w:hAnsi="Times New Roman" w:eastAsia="仿宋_GB2312" w:cs="Times New Roman"/>
          <w:sz w:val="32"/>
          <w:szCs w:val="32"/>
          <w:highlight w:val="none"/>
          <w:lang w:val="zh-CN"/>
        </w:rPr>
        <w:t>确定，根据使用进度向财政申请相应资金及时支付。</w:t>
      </w:r>
      <w:r>
        <w:rPr>
          <w:rFonts w:hint="default" w:ascii="Times New Roman" w:hAnsi="Times New Roman" w:eastAsia="方正仿宋_GBK" w:cs="Times New Roman"/>
          <w:b w:val="0"/>
          <w:bCs w:val="0"/>
          <w:sz w:val="32"/>
          <w:szCs w:val="32"/>
          <w:highlight w:val="none"/>
          <w:lang w:val="zh-CN"/>
        </w:rPr>
        <w:t>攀枝花市人民政府关于印发《攀枝花市自然资源统一确权登记总体工作方案》的通知（攀府发〔2020〕12号），市领导对《攀枝花市财政局关于解决自然资源确权登记工作经费的请示》（攀财政〔2020〕160号）的批复，批复内容（市财政局按照合同约定核拨项目经费。2020年市级登记项目所需经费纳入2021年市级预算解决；2021年至2023年市级登记项目所需经费分别纳入当年市级预算解决。其中2020年1个项目预计63.08万元，2021年4个项目预计147.28</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，2022年4个项目73.77</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w:t>
      </w:r>
    </w:p>
    <w:p w14:paraId="014F0C31">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方正仿宋_GBK" w:cs="Times New Roman"/>
          <w:b w:val="0"/>
          <w:bCs w:val="0"/>
          <w:sz w:val="32"/>
          <w:szCs w:val="32"/>
          <w:highlight w:val="none"/>
          <w:lang w:val="zh-CN"/>
        </w:rPr>
      </w:pPr>
      <w:r>
        <w:rPr>
          <w:rFonts w:hint="default" w:ascii="Times New Roman" w:hAnsi="Times New Roman" w:eastAsia="方正仿宋_GBK" w:cs="Times New Roman"/>
          <w:b w:val="0"/>
          <w:bCs w:val="0"/>
          <w:sz w:val="32"/>
          <w:szCs w:val="32"/>
          <w:highlight w:val="none"/>
          <w:lang w:val="zh-CN"/>
        </w:rPr>
        <w:t>《2020年市级自然资源统一确权登记项目采购合同》，中标金额62.5</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，已支付12.5万元，剩余50万元未支付；</w:t>
      </w:r>
    </w:p>
    <w:p w14:paraId="5D77730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jc w:val="both"/>
        <w:textAlignment w:val="auto"/>
        <w:rPr>
          <w:rFonts w:hint="default" w:ascii="Times New Roman" w:hAnsi="Times New Roman" w:eastAsia="方正仿宋_GBK" w:cs="Times New Roman"/>
          <w:b w:val="0"/>
          <w:bCs w:val="0"/>
          <w:sz w:val="32"/>
          <w:szCs w:val="32"/>
          <w:highlight w:val="none"/>
          <w:lang w:val="zh-CN"/>
        </w:rPr>
      </w:pPr>
      <w:r>
        <w:rPr>
          <w:rFonts w:hint="default" w:ascii="Times New Roman" w:hAnsi="Times New Roman" w:eastAsia="方正仿宋_GBK" w:cs="Times New Roman"/>
          <w:b w:val="0"/>
          <w:bCs w:val="0"/>
          <w:sz w:val="32"/>
          <w:szCs w:val="32"/>
          <w:highlight w:val="none"/>
          <w:lang w:val="zh-CN"/>
        </w:rPr>
        <w:t>《2021年市级自然资源统一确权登记项目合同》项目资金61</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，已支付21万元（2025年12月8日支付8.8万元），未支付40万元；《</w:t>
      </w:r>
      <w:r>
        <w:rPr>
          <w:rFonts w:hint="eastAsia" w:eastAsia="方正仿宋_GBK" w:cs="Times New Roman"/>
          <w:b w:val="0"/>
          <w:bCs w:val="0"/>
          <w:sz w:val="32"/>
          <w:szCs w:val="32"/>
          <w:highlight w:val="none"/>
          <w:lang w:val="zh-CN"/>
        </w:rPr>
        <w:t>2022—2023</w:t>
      </w:r>
      <w:r>
        <w:rPr>
          <w:rFonts w:hint="default" w:ascii="Times New Roman" w:hAnsi="Times New Roman" w:eastAsia="方正仿宋_GBK" w:cs="Times New Roman"/>
          <w:b w:val="0"/>
          <w:bCs w:val="0"/>
          <w:sz w:val="32"/>
          <w:szCs w:val="32"/>
          <w:highlight w:val="none"/>
          <w:lang w:val="zh-CN"/>
        </w:rPr>
        <w:t>年市级自然资源统一确权登记项目合同》，项目总资金55</w:t>
      </w:r>
      <w:r>
        <w:rPr>
          <w:rFonts w:hint="eastAsia" w:eastAsia="方正仿宋_GBK" w:cs="Times New Roman"/>
          <w:b w:val="0"/>
          <w:bCs w:val="0"/>
          <w:sz w:val="32"/>
          <w:szCs w:val="32"/>
          <w:highlight w:val="none"/>
          <w:lang w:val="zh-CN"/>
        </w:rPr>
        <w:t>万元</w:t>
      </w:r>
      <w:r>
        <w:rPr>
          <w:rFonts w:hint="default" w:ascii="Times New Roman" w:hAnsi="Times New Roman" w:eastAsia="方正仿宋_GBK" w:cs="Times New Roman"/>
          <w:b w:val="0"/>
          <w:bCs w:val="0"/>
          <w:sz w:val="32"/>
          <w:szCs w:val="32"/>
          <w:highlight w:val="none"/>
          <w:lang w:val="zh-CN"/>
        </w:rPr>
        <w:t>，已支付11万元，未支付44万元。</w:t>
      </w:r>
    </w:p>
    <w:p w14:paraId="09115628">
      <w:pPr>
        <w:keepNext w:val="0"/>
        <w:keepLines w:val="0"/>
        <w:pageBreakBefore w:val="0"/>
        <w:widowControl w:val="0"/>
        <w:kinsoku/>
        <w:wordWrap/>
        <w:overflowPunct/>
        <w:topLinePunct w:val="0"/>
        <w:autoSpaceDE/>
        <w:autoSpaceDN/>
        <w:bidi w:val="0"/>
        <w:spacing w:after="120" w:line="600" w:lineRule="exact"/>
        <w:ind w:firstLine="640" w:firstLineChars="200"/>
        <w:jc w:val="both"/>
        <w:textAlignment w:val="auto"/>
        <w:rPr>
          <w:rFonts w:hint="default" w:ascii="Times New Roman" w:hAnsi="Times New Roman" w:eastAsia="仿宋_GB2312" w:cs="Times New Roman"/>
          <w:kern w:val="2"/>
          <w:sz w:val="32"/>
          <w:szCs w:val="32"/>
          <w:highlight w:val="none"/>
          <w:lang w:val="zh-CN" w:eastAsia="zh-CN" w:bidi="ar-SA"/>
        </w:rPr>
      </w:pPr>
      <w:r>
        <w:rPr>
          <w:rFonts w:hint="default" w:ascii="Times New Roman" w:hAnsi="Times New Roman" w:eastAsia="仿宋_GB2312" w:cs="Times New Roman"/>
          <w:kern w:val="2"/>
          <w:sz w:val="32"/>
          <w:szCs w:val="32"/>
          <w:highlight w:val="none"/>
          <w:lang w:val="zh-CN" w:eastAsia="zh-CN" w:bidi="ar-SA"/>
        </w:rPr>
        <w:t>按照《攀枝花市自然资源和规划局财务管理办法》规定，严格执行财务管理制度，及时财务处理，规范会计核算。</w:t>
      </w:r>
    </w:p>
    <w:p w14:paraId="241E6CE2">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三、项目实施及管理情况</w:t>
      </w:r>
    </w:p>
    <w:p w14:paraId="1D599920">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zh-CN"/>
        </w:rPr>
        <w:t>由</w:t>
      </w:r>
      <w:r>
        <w:rPr>
          <w:rFonts w:hint="default" w:ascii="Times New Roman" w:hAnsi="Times New Roman" w:eastAsia="仿宋_GB2312" w:cs="Times New Roman"/>
          <w:sz w:val="32"/>
          <w:szCs w:val="32"/>
          <w:highlight w:val="none"/>
        </w:rPr>
        <w:t>调查登记科</w:t>
      </w:r>
      <w:r>
        <w:rPr>
          <w:rFonts w:hint="default" w:ascii="Times New Roman" w:hAnsi="Times New Roman" w:eastAsia="仿宋_GB2312" w:cs="Times New Roman"/>
          <w:sz w:val="32"/>
          <w:szCs w:val="32"/>
          <w:highlight w:val="none"/>
          <w:lang w:val="zh-CN"/>
        </w:rPr>
        <w:t>负责项目实施，资金支出严格执行相关规章制度，票据真实有效，会计核算规范。</w:t>
      </w:r>
    </w:p>
    <w:p w14:paraId="54B96B89">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黑体" w:cs="Times New Roman"/>
          <w:sz w:val="32"/>
          <w:szCs w:val="32"/>
          <w:highlight w:val="none"/>
        </w:rPr>
        <w:t>四、项目绩效情况</w:t>
      </w:r>
      <w:r>
        <w:rPr>
          <w:rFonts w:hint="default" w:ascii="Times New Roman" w:hAnsi="Times New Roman" w:eastAsia="仿宋_GB2312" w:cs="Times New Roman"/>
          <w:sz w:val="32"/>
          <w:szCs w:val="32"/>
          <w:highlight w:val="none"/>
          <w:lang w:val="zh-CN"/>
        </w:rPr>
        <w:tab/>
      </w:r>
    </w:p>
    <w:p w14:paraId="7F716466">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楷体_GB2312" w:cs="Times New Roman"/>
          <w:b/>
          <w:sz w:val="32"/>
          <w:szCs w:val="32"/>
          <w:highlight w:val="none"/>
          <w:lang w:val="zh-CN"/>
        </w:rPr>
      </w:pPr>
      <w:r>
        <w:rPr>
          <w:rFonts w:hint="default" w:ascii="Times New Roman" w:hAnsi="Times New Roman" w:eastAsia="楷体_GB2312" w:cs="Times New Roman"/>
          <w:b/>
          <w:sz w:val="32"/>
          <w:szCs w:val="32"/>
          <w:highlight w:val="none"/>
          <w:lang w:val="zh-CN"/>
        </w:rPr>
        <w:t>（一）项目完成情况。</w:t>
      </w:r>
    </w:p>
    <w:p w14:paraId="65C34DD0">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zh-CN"/>
        </w:rPr>
        <w:t>包括项目完成数量、质量、时效、成本等情况，资金结余情况，违规记录等，对照项目计划完成目标，对截至评价时点的任务量完成、质量标准、进度计划、成本控制目标的实现程度进行评价，并进行分析说明。</w:t>
      </w:r>
    </w:p>
    <w:p w14:paraId="58F4127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zh-CN"/>
        </w:rPr>
        <w:t>1.《2020年市级自然资源统一确权登记项目采购合同》，中标金额62.5</w:t>
      </w:r>
      <w:r>
        <w:rPr>
          <w:rFonts w:hint="eastAsia" w:eastAsia="仿宋_GB2312" w:cs="Times New Roman"/>
          <w:sz w:val="32"/>
          <w:szCs w:val="32"/>
          <w:highlight w:val="none"/>
          <w:lang w:val="zh-CN"/>
        </w:rPr>
        <w:t>万元</w:t>
      </w:r>
      <w:r>
        <w:rPr>
          <w:rFonts w:hint="default" w:ascii="Times New Roman" w:hAnsi="Times New Roman" w:eastAsia="仿宋_GB2312" w:cs="Times New Roman"/>
          <w:sz w:val="32"/>
          <w:szCs w:val="32"/>
          <w:highlight w:val="none"/>
          <w:lang w:val="zh-CN"/>
        </w:rPr>
        <w:t>，已支付12.5万元，剩余50万元未支付；</w:t>
      </w:r>
    </w:p>
    <w:p w14:paraId="752901E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zh-CN"/>
        </w:rPr>
        <w:t>2《2021年市级自然资源统一确权登记项目合同》项目资金61</w:t>
      </w:r>
      <w:r>
        <w:rPr>
          <w:rFonts w:hint="eastAsia" w:eastAsia="仿宋_GB2312" w:cs="Times New Roman"/>
          <w:sz w:val="32"/>
          <w:szCs w:val="32"/>
          <w:highlight w:val="none"/>
          <w:lang w:val="zh-CN"/>
        </w:rPr>
        <w:t>万元</w:t>
      </w:r>
      <w:r>
        <w:rPr>
          <w:rFonts w:hint="default" w:ascii="Times New Roman" w:hAnsi="Times New Roman" w:eastAsia="仿宋_GB2312" w:cs="Times New Roman"/>
          <w:sz w:val="32"/>
          <w:szCs w:val="32"/>
          <w:highlight w:val="none"/>
          <w:lang w:val="zh-CN"/>
        </w:rPr>
        <w:t>，已支付21万元（2025年12月8日支付8.8万元），未支付40万元；</w:t>
      </w:r>
    </w:p>
    <w:p w14:paraId="4078A80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zh-CN"/>
        </w:rPr>
        <w:t>3.《</w:t>
      </w:r>
      <w:r>
        <w:rPr>
          <w:rFonts w:hint="eastAsia" w:eastAsia="仿宋_GB2312" w:cs="Times New Roman"/>
          <w:sz w:val="32"/>
          <w:szCs w:val="32"/>
          <w:highlight w:val="none"/>
          <w:lang w:val="zh-CN"/>
        </w:rPr>
        <w:t>2022—2023</w:t>
      </w:r>
      <w:r>
        <w:rPr>
          <w:rFonts w:hint="default" w:ascii="Times New Roman" w:hAnsi="Times New Roman" w:eastAsia="仿宋_GB2312" w:cs="Times New Roman"/>
          <w:sz w:val="32"/>
          <w:szCs w:val="32"/>
          <w:highlight w:val="none"/>
          <w:lang w:val="zh-CN"/>
        </w:rPr>
        <w:t>年市级自然资源统一确权登记项目合同》 项目总资金55</w:t>
      </w:r>
      <w:r>
        <w:rPr>
          <w:rFonts w:hint="eastAsia" w:eastAsia="仿宋_GB2312" w:cs="Times New Roman"/>
          <w:sz w:val="32"/>
          <w:szCs w:val="32"/>
          <w:highlight w:val="none"/>
          <w:lang w:val="zh-CN"/>
        </w:rPr>
        <w:t>万元</w:t>
      </w:r>
      <w:r>
        <w:rPr>
          <w:rFonts w:hint="default" w:ascii="Times New Roman" w:hAnsi="Times New Roman" w:eastAsia="仿宋_GB2312" w:cs="Times New Roman"/>
          <w:sz w:val="32"/>
          <w:szCs w:val="32"/>
          <w:highlight w:val="none"/>
          <w:lang w:val="zh-CN"/>
        </w:rPr>
        <w:t>，已支付11万元，未支付44万元。</w:t>
      </w:r>
    </w:p>
    <w:p w14:paraId="323A7C30">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zh-CN"/>
        </w:rPr>
        <w:t>一是数量指标：1.完成登记项目个数1</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val="zh-CN"/>
        </w:rPr>
        <w:t>个，2.完成一定数量的培训、会议、培训、研讨。二是质量指标1.达到登记成果验收合格；2.数据入库验收合格。三是时效指标按期完成各项合同约定事项。四是成本指标完成项目资金支付。五是经济效益指标推进改革工作。六是社会效益指标1.清晰界定各类资产界线；2.健全自然资源产权体系。七是生态效益指标1.夯实生态文明建设基础。八是可持续影响指标完善自然资源管理体系。九是服务对象满意度指标1.市局各科室、各事业单位；2.其他部门满意度3.上级管理部门均满意度≥90%。</w:t>
      </w:r>
    </w:p>
    <w:p w14:paraId="28824726">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楷体_GB2312" w:cs="Times New Roman"/>
          <w:b/>
          <w:sz w:val="32"/>
          <w:szCs w:val="32"/>
          <w:highlight w:val="none"/>
          <w:lang w:val="zh-CN"/>
        </w:rPr>
      </w:pPr>
      <w:r>
        <w:rPr>
          <w:rFonts w:hint="default" w:ascii="Times New Roman" w:hAnsi="Times New Roman" w:eastAsia="楷体_GB2312" w:cs="Times New Roman"/>
          <w:b/>
          <w:sz w:val="32"/>
          <w:szCs w:val="32"/>
          <w:highlight w:val="none"/>
          <w:lang w:val="zh-CN"/>
        </w:rPr>
        <w:t>（二）项目效益情况。</w:t>
      </w:r>
    </w:p>
    <w:p w14:paraId="35977621">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en-US" w:eastAsia="zh-CN"/>
        </w:rPr>
        <w:t>经济效益：</w:t>
      </w:r>
      <w:r>
        <w:rPr>
          <w:rFonts w:hint="default" w:ascii="Times New Roman" w:hAnsi="Times New Roman" w:eastAsia="仿宋_GB2312" w:cs="Times New Roman"/>
          <w:sz w:val="32"/>
          <w:szCs w:val="32"/>
          <w:highlight w:val="none"/>
          <w:lang w:val="zh-CN"/>
        </w:rPr>
        <w:t>推进全民所有自然资源资产有偿使用制度改革。</w:t>
      </w:r>
      <w:r>
        <w:rPr>
          <w:rFonts w:hint="default" w:ascii="Times New Roman" w:hAnsi="Times New Roman" w:eastAsia="仿宋_GB2312" w:cs="Times New Roman"/>
          <w:sz w:val="32"/>
          <w:szCs w:val="32"/>
          <w:highlight w:val="none"/>
          <w:lang w:val="en-US" w:eastAsia="zh-CN"/>
        </w:rPr>
        <w:t>生态效益：</w:t>
      </w:r>
      <w:r>
        <w:rPr>
          <w:rFonts w:hint="default" w:ascii="Times New Roman" w:hAnsi="Times New Roman" w:eastAsia="仿宋_GB2312" w:cs="Times New Roman"/>
          <w:sz w:val="32"/>
          <w:szCs w:val="32"/>
          <w:highlight w:val="none"/>
          <w:lang w:val="zh-CN"/>
        </w:rPr>
        <w:t>清晰界定各类自然资源资产的产权主体；逐步划清全民所有和集体所有之间的边界；划清全民所有、不同层级政府行使所有权的边界；划清不同集体所有者的边界；划清不同类型自然资源的边界。有利于健全自然资源资产产权体系、明确自然资源资产产权主体、促进自然资源资产集约开发利用、推动自然生态空间系统修复和合理补偿、健全自然资源资产监管体系、完善自然资源资产产权法律体系。可持续效益：落实中共中央政治局审议通过</w:t>
      </w:r>
      <w:r>
        <w:rPr>
          <w:rFonts w:hint="eastAsia" w:eastAsia="仿宋_GB2312" w:cs="Times New Roman"/>
          <w:sz w:val="32"/>
          <w:szCs w:val="32"/>
          <w:highlight w:val="none"/>
          <w:lang w:val="zh-CN"/>
        </w:rPr>
        <w:t>的</w:t>
      </w:r>
      <w:r>
        <w:rPr>
          <w:rFonts w:hint="default" w:ascii="Times New Roman" w:hAnsi="Times New Roman" w:eastAsia="仿宋_GB2312" w:cs="Times New Roman"/>
          <w:sz w:val="32"/>
          <w:szCs w:val="32"/>
          <w:highlight w:val="none"/>
          <w:lang w:val="zh-CN"/>
        </w:rPr>
        <w:t>《生态文明体制改革总体方案》，推动建立归属清晰、权责明确、保护严格、流转顺畅、监管有效的自然资源资产产权制度</w:t>
      </w:r>
      <w:r>
        <w:rPr>
          <w:rFonts w:hint="eastAsia" w:eastAsia="仿宋_GB2312" w:cs="Times New Roman"/>
          <w:sz w:val="32"/>
          <w:szCs w:val="32"/>
          <w:highlight w:val="none"/>
          <w:lang w:val="zh-CN"/>
        </w:rPr>
        <w:t>，</w:t>
      </w:r>
      <w:r>
        <w:rPr>
          <w:rFonts w:hint="default" w:ascii="Times New Roman" w:hAnsi="Times New Roman" w:eastAsia="仿宋_GB2312" w:cs="Times New Roman"/>
          <w:sz w:val="32"/>
          <w:szCs w:val="32"/>
          <w:highlight w:val="none"/>
          <w:lang w:val="zh-CN"/>
        </w:rPr>
        <w:t>支撑自然资源合理开发、有效保护和严格监管，实现山水林田湖草的整体保护、系统修复、综合治理，夯实生态文明建设基础。服务对象满意度指标：市局各科室、各事业单位、其他部门、上级管理部门满意度≥90%。</w:t>
      </w:r>
    </w:p>
    <w:p w14:paraId="69DA8712">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五、评价结论及建议</w:t>
      </w:r>
    </w:p>
    <w:p w14:paraId="3B2FC819">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楷体_GB2312" w:cs="Times New Roman"/>
          <w:b/>
          <w:sz w:val="32"/>
          <w:szCs w:val="32"/>
          <w:highlight w:val="none"/>
          <w:lang w:val="zh-CN"/>
        </w:rPr>
        <w:t>（一）评价结论。</w:t>
      </w:r>
    </w:p>
    <w:p w14:paraId="7C7AD86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zh-CN"/>
        </w:rPr>
        <w:t>2020—202</w:t>
      </w:r>
      <w:r>
        <w:rPr>
          <w:rFonts w:hint="default"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lang w:val="zh-CN"/>
        </w:rPr>
        <w:t>年自然资源统一确权登记</w:t>
      </w:r>
      <w:r>
        <w:rPr>
          <w:rFonts w:hint="default" w:ascii="Times New Roman" w:hAnsi="Times New Roman" w:eastAsia="仿宋_GB2312" w:cs="Times New Roman"/>
          <w:sz w:val="32"/>
          <w:szCs w:val="32"/>
          <w:highlight w:val="none"/>
          <w:lang w:val="en-US" w:eastAsia="zh-CN"/>
        </w:rPr>
        <w:t>11个</w:t>
      </w:r>
      <w:r>
        <w:rPr>
          <w:rFonts w:hint="default" w:ascii="Times New Roman" w:hAnsi="Times New Roman" w:eastAsia="仿宋_GB2312" w:cs="Times New Roman"/>
          <w:sz w:val="32"/>
          <w:szCs w:val="32"/>
          <w:highlight w:val="none"/>
          <w:lang w:val="zh-CN"/>
        </w:rPr>
        <w:t>项目全部按照合同期限完成了各项合同约定事项，完成率100%。</w:t>
      </w:r>
    </w:p>
    <w:p w14:paraId="40B39FA6">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楷体_GB2312" w:cs="Times New Roman"/>
          <w:b/>
          <w:sz w:val="32"/>
          <w:szCs w:val="32"/>
          <w:highlight w:val="none"/>
          <w:lang w:val="zh-CN"/>
        </w:rPr>
      </w:pPr>
      <w:r>
        <w:rPr>
          <w:rFonts w:hint="default" w:ascii="Times New Roman" w:hAnsi="Times New Roman" w:eastAsia="楷体_GB2312" w:cs="Times New Roman"/>
          <w:b/>
          <w:sz w:val="32"/>
          <w:szCs w:val="32"/>
          <w:highlight w:val="none"/>
          <w:lang w:val="zh-CN"/>
        </w:rPr>
        <w:t>（二）存在的问题。</w:t>
      </w:r>
    </w:p>
    <w:p w14:paraId="7DEDF96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z w:val="32"/>
          <w:szCs w:val="32"/>
          <w:highlight w:val="none"/>
          <w:lang w:val="zh-CN"/>
        </w:rPr>
      </w:pPr>
      <w:r>
        <w:rPr>
          <w:rFonts w:hint="default" w:ascii="Times New Roman" w:hAnsi="Times New Roman" w:eastAsia="仿宋_GB2312" w:cs="Times New Roman"/>
          <w:sz w:val="32"/>
          <w:szCs w:val="32"/>
          <w:highlight w:val="none"/>
          <w:lang w:val="en-US" w:eastAsia="zh-CN"/>
        </w:rPr>
        <w:t>无</w:t>
      </w:r>
      <w:r>
        <w:rPr>
          <w:rFonts w:hint="default" w:ascii="Times New Roman" w:hAnsi="Times New Roman" w:eastAsia="仿宋_GB2312" w:cs="Times New Roman"/>
          <w:sz w:val="32"/>
          <w:szCs w:val="32"/>
          <w:highlight w:val="none"/>
          <w:lang w:val="zh-CN"/>
        </w:rPr>
        <w:t>。</w:t>
      </w:r>
      <w:r>
        <w:rPr>
          <w:rFonts w:hint="default" w:ascii="Times New Roman" w:hAnsi="Times New Roman" w:eastAsia="仿宋_GB2312" w:cs="Times New Roman"/>
          <w:sz w:val="32"/>
          <w:szCs w:val="32"/>
          <w:highlight w:val="none"/>
          <w:lang w:val="zh-CN"/>
        </w:rPr>
        <w:tab/>
      </w:r>
    </w:p>
    <w:p w14:paraId="480355C3">
      <w:pPr>
        <w:keepNext w:val="0"/>
        <w:keepLines w:val="0"/>
        <w:pageBreakBefore w:val="0"/>
        <w:widowControl w:val="0"/>
        <w:kinsoku/>
        <w:wordWrap/>
        <w:overflowPunct/>
        <w:topLinePunct w:val="0"/>
        <w:autoSpaceDE/>
        <w:autoSpaceDN/>
        <w:bidi w:val="0"/>
        <w:adjustRightInd w:val="0"/>
        <w:snapToGrid w:val="0"/>
        <w:spacing w:line="600" w:lineRule="exact"/>
        <w:ind w:firstLine="720"/>
        <w:jc w:val="both"/>
        <w:textAlignment w:val="auto"/>
        <w:rPr>
          <w:rFonts w:hint="default" w:ascii="Times New Roman" w:hAnsi="Times New Roman" w:eastAsia="楷体_GB2312" w:cs="Times New Roman"/>
          <w:b/>
          <w:sz w:val="32"/>
          <w:szCs w:val="32"/>
          <w:highlight w:val="none"/>
          <w:lang w:val="zh-CN"/>
        </w:rPr>
      </w:pPr>
      <w:r>
        <w:rPr>
          <w:rFonts w:hint="default" w:ascii="Times New Roman" w:hAnsi="Times New Roman" w:eastAsia="楷体_GB2312" w:cs="Times New Roman"/>
          <w:b/>
          <w:sz w:val="32"/>
          <w:szCs w:val="32"/>
          <w:highlight w:val="none"/>
          <w:lang w:val="zh-CN"/>
        </w:rPr>
        <w:t>（三）相关建议。</w:t>
      </w:r>
    </w:p>
    <w:p w14:paraId="166F198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z w:val="32"/>
          <w:szCs w:val="32"/>
          <w:highlight w:val="none"/>
          <w:lang w:val="zh-CN" w:eastAsia="zh-CN"/>
        </w:rPr>
      </w:pPr>
      <w:r>
        <w:rPr>
          <w:rFonts w:hint="default" w:ascii="Times New Roman" w:hAnsi="Times New Roman" w:eastAsia="仿宋_GB2312" w:cs="Times New Roman"/>
          <w:sz w:val="32"/>
          <w:szCs w:val="32"/>
          <w:highlight w:val="none"/>
          <w:lang w:val="en-US" w:eastAsia="zh-CN"/>
        </w:rPr>
        <w:t>无。</w:t>
      </w:r>
    </w:p>
    <w:p w14:paraId="6F5AFE9B">
      <w:pPr>
        <w:keepNext w:val="0"/>
        <w:keepLines w:val="0"/>
        <w:pageBreakBefore w:val="0"/>
        <w:widowControl w:val="0"/>
        <w:kinsoku/>
        <w:wordWrap/>
        <w:overflowPunct/>
        <w:topLinePunct w:val="0"/>
        <w:autoSpaceDE/>
        <w:autoSpaceDN/>
        <w:bidi w:val="0"/>
        <w:spacing w:line="600" w:lineRule="exact"/>
        <w:jc w:val="both"/>
        <w:textAlignment w:val="auto"/>
        <w:rPr>
          <w:rFonts w:hint="default" w:ascii="Times New Roman" w:hAnsi="Times New Roman" w:eastAsia="仿宋_GB2312" w:cs="Times New Roman"/>
          <w:sz w:val="32"/>
          <w:szCs w:val="32"/>
          <w:highlight w:val="none"/>
        </w:rPr>
      </w:pPr>
    </w:p>
    <w:p w14:paraId="29019DD4">
      <w:pPr>
        <w:keepNext w:val="0"/>
        <w:keepLines w:val="0"/>
        <w:pageBreakBefore w:val="0"/>
        <w:widowControl w:val="0"/>
        <w:kinsoku/>
        <w:wordWrap/>
        <w:overflowPunct/>
        <w:topLinePunct w:val="0"/>
        <w:autoSpaceDE/>
        <w:autoSpaceDN/>
        <w:bidi w:val="0"/>
        <w:spacing w:line="600" w:lineRule="exact"/>
        <w:jc w:val="both"/>
        <w:textAlignment w:val="auto"/>
        <w:rPr>
          <w:rFonts w:hint="default" w:ascii="Times New Roman" w:hAnsi="Times New Roman" w:eastAsia="方正仿宋_GBK" w:cs="Times New Roman"/>
          <w:b w:val="0"/>
          <w:bCs w:val="0"/>
          <w:sz w:val="32"/>
          <w:szCs w:val="32"/>
          <w:highlight w:val="none"/>
        </w:rPr>
      </w:pPr>
    </w:p>
    <w:p w14:paraId="760C1A8D">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3BA5FE09">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4ABFBE63">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专项预算项目支出绩效自评报告范本</w:t>
      </w:r>
    </w:p>
    <w:p w14:paraId="0CF647F2">
      <w:pPr>
        <w:widowControl w:val="0"/>
        <w:spacing w:line="600" w:lineRule="exact"/>
        <w:ind w:left="0" w:leftChars="0" w:firstLine="0" w:firstLineChars="0"/>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仁和区花棚子地区地热（温泉）钻探项目</w:t>
      </w:r>
      <w:r>
        <w:rPr>
          <w:rFonts w:ascii="Times New Roman" w:hAnsi="Times New Roman" w:eastAsia="仿宋_GB2312" w:cs="Times New Roman"/>
          <w:color w:val="auto"/>
          <w:kern w:val="2"/>
          <w:sz w:val="32"/>
          <w:szCs w:val="32"/>
          <w:lang w:val="zh-CN" w:eastAsia="zh-CN" w:bidi="ar-SA"/>
        </w:rPr>
        <w:t>）</w:t>
      </w:r>
    </w:p>
    <w:p w14:paraId="4ED35110">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11E7B163">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5D435E5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755D8CE">
      <w:pPr>
        <w:spacing w:line="600" w:lineRule="exact"/>
        <w:ind w:firstLine="64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eastAsia="zh-CN"/>
        </w:rPr>
        <w:t>项目在前期仁和区花棚子地区地热（温泉）资源风险勘探项目基础上，选择拉鲊北靶点开展钻探工作，预计孔深</w:t>
      </w:r>
      <w:r>
        <w:rPr>
          <w:rFonts w:hint="eastAsia" w:ascii="仿宋_GB2312" w:hAnsi="仿宋_GB2312" w:eastAsia="仿宋_GB2312" w:cs="仿宋_GB2312"/>
          <w:b w:val="0"/>
          <w:bCs/>
          <w:sz w:val="32"/>
          <w:szCs w:val="32"/>
          <w:lang w:val="en-US" w:eastAsia="zh-CN"/>
        </w:rPr>
        <w:t>800米，预估温度39度，预测流量365方/天，</w:t>
      </w:r>
      <w:r>
        <w:rPr>
          <w:rFonts w:hint="eastAsia" w:ascii="仿宋_GB2312" w:hAnsi="仿宋_GB2312" w:eastAsia="仿宋_GB2312" w:cs="仿宋_GB2312"/>
          <w:b w:val="0"/>
          <w:bCs/>
          <w:sz w:val="32"/>
          <w:szCs w:val="32"/>
          <w:lang w:eastAsia="zh-CN"/>
        </w:rPr>
        <w:t>预算需要</w:t>
      </w:r>
      <w:r>
        <w:rPr>
          <w:rFonts w:hint="eastAsia" w:ascii="仿宋_GB2312" w:hAnsi="仿宋_GB2312" w:eastAsia="仿宋_GB2312" w:cs="仿宋_GB2312"/>
          <w:b w:val="0"/>
          <w:bCs/>
          <w:sz w:val="32"/>
          <w:szCs w:val="32"/>
          <w:lang w:val="en-US" w:eastAsia="zh-CN"/>
        </w:rPr>
        <w:t>2022年度安排财政</w:t>
      </w:r>
      <w:r>
        <w:rPr>
          <w:rFonts w:hint="eastAsia" w:ascii="仿宋_GB2312" w:hAnsi="仿宋_GB2312" w:eastAsia="仿宋_GB2312" w:cs="仿宋_GB2312"/>
          <w:b w:val="0"/>
          <w:bCs/>
          <w:sz w:val="32"/>
          <w:szCs w:val="32"/>
          <w:lang w:eastAsia="zh-CN"/>
        </w:rPr>
        <w:t>资金</w:t>
      </w:r>
      <w:r>
        <w:rPr>
          <w:rFonts w:hint="eastAsia" w:ascii="仿宋_GB2312" w:hAnsi="仿宋_GB2312" w:eastAsia="仿宋_GB2312" w:cs="仿宋_GB2312"/>
          <w:b w:val="0"/>
          <w:bCs/>
          <w:sz w:val="32"/>
          <w:szCs w:val="32"/>
          <w:lang w:val="en-US" w:eastAsia="zh-CN"/>
        </w:rPr>
        <w:t>270万元，市政府采购实际中标价260万元，按照合同约定，未达到合同规定的水量水温等指标，扣除20%的费用，实际项目费用为208万元。</w:t>
      </w:r>
      <w:r>
        <w:rPr>
          <w:rFonts w:hint="eastAsia" w:ascii="仿宋_GB2312" w:hAnsi="仿宋_GB2312" w:eastAsia="仿宋_GB2312" w:cs="仿宋_GB2312"/>
          <w:b w:val="0"/>
          <w:bCs/>
          <w:sz w:val="32"/>
          <w:szCs w:val="32"/>
          <w:lang w:eastAsia="zh-CN"/>
        </w:rPr>
        <w:t>项目为</w:t>
      </w:r>
      <w:r>
        <w:rPr>
          <w:rFonts w:hint="eastAsia" w:ascii="仿宋_GB2312" w:hAnsi="仿宋_GB2312" w:eastAsia="仿宋_GB2312" w:cs="仿宋_GB2312"/>
          <w:b w:val="0"/>
          <w:bCs/>
          <w:sz w:val="32"/>
          <w:szCs w:val="32"/>
          <w:lang w:val="en-US" w:eastAsia="zh-CN"/>
        </w:rPr>
        <w:t>2021年财政追加预算项目。</w:t>
      </w:r>
      <w:r>
        <w:rPr>
          <w:rFonts w:hint="eastAsia" w:ascii="仿宋_GB2312" w:hAnsi="仿宋_GB2312" w:eastAsia="仿宋_GB2312" w:cs="仿宋_GB2312"/>
          <w:b w:val="0"/>
          <w:bCs/>
          <w:sz w:val="32"/>
          <w:szCs w:val="32"/>
          <w:lang w:eastAsia="zh-CN"/>
        </w:rPr>
        <w:t>项目已完成，项目总预算金额为</w:t>
      </w:r>
      <w:r>
        <w:rPr>
          <w:rFonts w:hint="eastAsia" w:ascii="仿宋_GB2312" w:hAnsi="仿宋_GB2312" w:eastAsia="仿宋_GB2312" w:cs="仿宋_GB2312"/>
          <w:b w:val="0"/>
          <w:bCs/>
          <w:sz w:val="32"/>
          <w:szCs w:val="32"/>
          <w:lang w:val="en-US" w:eastAsia="zh-CN"/>
        </w:rPr>
        <w:t>208</w:t>
      </w:r>
      <w:r>
        <w:rPr>
          <w:rFonts w:hint="eastAsia" w:ascii="仿宋_GB2312" w:hAnsi="仿宋_GB2312" w:eastAsia="仿宋_GB2312" w:cs="仿宋_GB2312"/>
          <w:b w:val="0"/>
          <w:bCs/>
          <w:sz w:val="32"/>
          <w:szCs w:val="32"/>
          <w:lang w:eastAsia="zh-CN"/>
        </w:rPr>
        <w:t>万元，余</w:t>
      </w:r>
      <w:r>
        <w:rPr>
          <w:rFonts w:hint="eastAsia" w:ascii="仿宋_GB2312" w:hAnsi="仿宋_GB2312" w:eastAsia="仿宋_GB2312" w:cs="仿宋_GB2312"/>
          <w:b w:val="0"/>
          <w:bCs/>
          <w:sz w:val="32"/>
          <w:szCs w:val="32"/>
          <w:lang w:val="en-US" w:eastAsia="zh-CN"/>
        </w:rPr>
        <w:t>93.69万元应付未付。</w:t>
      </w:r>
    </w:p>
    <w:p w14:paraId="64FF1EC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4ACA9871">
      <w:pPr>
        <w:spacing w:line="560" w:lineRule="exact"/>
        <w:ind w:firstLine="640" w:firstLineChars="200"/>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eastAsia="zh-CN"/>
        </w:rPr>
        <w:t>选择拉鲊北靶点开展钻探工作，预计孔深</w:t>
      </w:r>
      <w:r>
        <w:rPr>
          <w:rFonts w:hint="eastAsia" w:ascii="仿宋_GB2312" w:hAnsi="仿宋_GB2312" w:eastAsia="仿宋_GB2312" w:cs="仿宋_GB2312"/>
          <w:b w:val="0"/>
          <w:bCs/>
          <w:sz w:val="32"/>
          <w:szCs w:val="32"/>
          <w:lang w:val="en-US" w:eastAsia="zh-CN"/>
        </w:rPr>
        <w:t>800米，预估温度39度，预测流量365方/天。</w:t>
      </w:r>
    </w:p>
    <w:p w14:paraId="5DEDEAFA">
      <w:pPr>
        <w:spacing w:line="560" w:lineRule="exact"/>
        <w:ind w:firstLine="640" w:firstLineChars="200"/>
        <w:rPr>
          <w:rFonts w:hint="eastAsia" w:ascii="Times New Roman" w:hAnsi="Times New Roman" w:eastAsia="仿宋_GB2312" w:cs="Times New Roman"/>
          <w:sz w:val="32"/>
          <w:szCs w:val="32"/>
          <w:lang w:val="zh-CN"/>
        </w:rPr>
      </w:pPr>
      <w:r>
        <w:rPr>
          <w:rFonts w:hint="eastAsia" w:ascii="仿宋_GB2312" w:hAnsi="仿宋_GB2312" w:eastAsia="仿宋_GB2312" w:cs="仿宋_GB2312"/>
          <w:b w:val="0"/>
          <w:bCs/>
          <w:sz w:val="32"/>
          <w:szCs w:val="32"/>
          <w:lang w:val="en-US" w:eastAsia="zh-CN"/>
        </w:rPr>
        <w:t>实际情况</w:t>
      </w:r>
      <w:r>
        <w:rPr>
          <w:rFonts w:hint="eastAsia" w:ascii="方正仿宋_GBK" w:hAnsi="方正仿宋_GBK" w:eastAsia="方正仿宋_GBK" w:cs="方正仿宋_GBK"/>
          <w:sz w:val="32"/>
          <w:szCs w:val="32"/>
          <w:lang w:val="en-US" w:eastAsia="zh-CN" w:bidi="ar-SA"/>
        </w:rPr>
        <w:t>经测量，拉鲊北钻井日均出水量496.8立方米，井底水温32</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井口</w:t>
      </w:r>
      <w:r>
        <w:rPr>
          <w:rFonts w:hint="eastAsia" w:ascii="方正仿宋_GBK" w:hAnsi="方正仿宋_GBK" w:eastAsia="方正仿宋_GBK" w:cs="方正仿宋_GBK"/>
          <w:sz w:val="32"/>
          <w:szCs w:val="32"/>
          <w:lang w:val="en-US" w:eastAsia="zh-CN" w:bidi="ar-SA"/>
        </w:rPr>
        <w:t>水温30.3</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，除水温未达到合同约定的</w:t>
      </w:r>
      <w:r>
        <w:rPr>
          <w:rFonts w:hint="eastAsia" w:ascii="方正仿宋_GBK" w:hAnsi="方正仿宋_GBK" w:eastAsia="方正仿宋_GBK" w:cs="方正仿宋_GBK"/>
          <w:sz w:val="32"/>
          <w:szCs w:val="32"/>
          <w:lang w:val="en-US" w:eastAsia="zh-CN"/>
        </w:rPr>
        <w:t>39</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目标外，钻井深度、日均水量已完成合同约定的</w:t>
      </w:r>
      <w:r>
        <w:rPr>
          <w:rFonts w:hint="eastAsia" w:ascii="方正仿宋_GBK" w:hAnsi="方正仿宋_GBK" w:eastAsia="方正仿宋_GBK" w:cs="方正仿宋_GBK"/>
          <w:sz w:val="32"/>
          <w:szCs w:val="32"/>
          <w:lang w:val="en-US" w:eastAsia="zh-CN"/>
        </w:rPr>
        <w:t>800米、360立方米工作目标要求。</w:t>
      </w:r>
      <w:r>
        <w:rPr>
          <w:rFonts w:hint="eastAsia" w:ascii="方正仿宋_GBK" w:hAnsi="方正仿宋_GBK" w:eastAsia="方正仿宋_GBK" w:cs="方正仿宋_GBK"/>
          <w:sz w:val="32"/>
          <w:szCs w:val="32"/>
        </w:rPr>
        <w:t>因目标储水层位水量大，导致断裂带的热能量交换不能满足所有地下水温度大幅加温的能量，钻井水温偏低。</w:t>
      </w:r>
      <w:r>
        <w:rPr>
          <w:rFonts w:hint="eastAsia" w:ascii="方正仿宋_GBK" w:hAnsi="方正仿宋_GBK" w:eastAsia="方正仿宋_GBK" w:cs="方正仿宋_GBK"/>
          <w:sz w:val="32"/>
          <w:szCs w:val="32"/>
          <w:lang w:eastAsia="zh-CN"/>
        </w:rPr>
        <w:t>同时</w:t>
      </w:r>
      <w:r>
        <w:rPr>
          <w:rFonts w:hint="eastAsia" w:ascii="方正仿宋_GBK" w:hAnsi="方正仿宋_GBK" w:eastAsia="方正仿宋_GBK" w:cs="方正仿宋_GBK"/>
          <w:sz w:val="32"/>
          <w:szCs w:val="32"/>
        </w:rPr>
        <w:t>500m至810m范围内</w:t>
      </w:r>
      <w:r>
        <w:rPr>
          <w:rFonts w:hint="eastAsia" w:ascii="方正仿宋_GBK" w:hAnsi="方正仿宋_GBK" w:eastAsia="方正仿宋_GBK" w:cs="方正仿宋_GBK"/>
          <w:sz w:val="32"/>
          <w:szCs w:val="32"/>
          <w:lang w:eastAsia="zh-CN"/>
        </w:rPr>
        <w:t>多个水层</w:t>
      </w:r>
      <w:r>
        <w:rPr>
          <w:rFonts w:hint="eastAsia" w:ascii="方正仿宋_GBK" w:hAnsi="方正仿宋_GBK" w:eastAsia="方正仿宋_GBK" w:cs="方正仿宋_GBK"/>
          <w:sz w:val="32"/>
          <w:szCs w:val="32"/>
        </w:rPr>
        <w:t>井水混合，造成井口出水温度仅为30.3℃。</w:t>
      </w:r>
    </w:p>
    <w:p w14:paraId="66EEB0E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71E6DBE">
      <w:pPr>
        <w:snapToGrid w:val="0"/>
        <w:spacing w:line="600" w:lineRule="exact"/>
        <w:ind w:firstLine="640" w:firstLineChars="200"/>
        <w:rPr>
          <w:rFonts w:ascii="Times New Roman" w:hAnsi="Times New Roman" w:eastAsia="仿宋_GB2312" w:cs="Times New Roman"/>
          <w:sz w:val="32"/>
          <w:szCs w:val="32"/>
          <w:u w:val="none"/>
        </w:rPr>
      </w:pPr>
      <w:r>
        <w:rPr>
          <w:rFonts w:hint="eastAsia" w:ascii="Times New Roman" w:hAnsi="Times New Roman" w:eastAsia="仿宋_GB2312" w:cs="Times New Roman"/>
          <w:sz w:val="32"/>
          <w:szCs w:val="32"/>
          <w:u w:val="none"/>
        </w:rPr>
        <w:t>按照有关规定和工作安排，我单位</w:t>
      </w:r>
      <w:r>
        <w:rPr>
          <w:rFonts w:hint="eastAsia" w:ascii="Times New Roman" w:hAnsi="Times New Roman" w:eastAsia="仿宋_GB2312" w:cs="Times New Roman"/>
          <w:sz w:val="32"/>
          <w:szCs w:val="32"/>
          <w:u w:val="none"/>
          <w:lang w:eastAsia="zh-CN"/>
        </w:rPr>
        <w:t>对该项目费用采用</w:t>
      </w:r>
      <w:r>
        <w:rPr>
          <w:rFonts w:hint="eastAsia" w:ascii="Times New Roman" w:hAnsi="Times New Roman" w:eastAsia="仿宋_GB2312" w:cs="Times New Roman"/>
          <w:sz w:val="32"/>
          <w:szCs w:val="32"/>
          <w:u w:val="none"/>
          <w:lang w:val="en-US" w:eastAsia="zh-CN"/>
        </w:rPr>
        <w:t>3家以上地勘单位询价</w:t>
      </w:r>
      <w:r>
        <w:rPr>
          <w:rFonts w:ascii="Times New Roman" w:hAnsi="Times New Roman" w:eastAsia="仿宋_GB2312" w:cs="Times New Roman"/>
          <w:sz w:val="32"/>
          <w:szCs w:val="32"/>
          <w:u w:val="none"/>
        </w:rPr>
        <w:t>方式开展。</w:t>
      </w:r>
    </w:p>
    <w:p w14:paraId="4C5FAC0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73479B8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4E636ABD">
      <w:pPr>
        <w:snapToGrid w:val="0"/>
        <w:spacing w:line="600" w:lineRule="atLeast"/>
        <w:ind w:firstLine="640" w:firstLineChars="200"/>
        <w:rPr>
          <w:rFonts w:hint="default" w:ascii="Times New Roman" w:hAnsi="Times New Roman" w:eastAsia="仿宋_GB2312" w:cs="Times New Roman"/>
          <w:sz w:val="32"/>
          <w:szCs w:val="32"/>
          <w:u w:val="none"/>
          <w:lang w:val="en-US"/>
        </w:rPr>
      </w:pPr>
      <w:r>
        <w:rPr>
          <w:rFonts w:hint="eastAsia" w:ascii="Times New Roman" w:hAnsi="Times New Roman" w:eastAsia="仿宋_GB2312" w:cs="Times New Roman"/>
          <w:sz w:val="32"/>
          <w:szCs w:val="32"/>
          <w:u w:val="none"/>
          <w:lang w:eastAsia="zh-CN"/>
        </w:rPr>
        <w:t>项目经事前询价，竞争性磋商方式采购，投入经济合理，</w:t>
      </w:r>
      <w:r>
        <w:rPr>
          <w:rFonts w:hint="eastAsia" w:ascii="Times New Roman" w:hAnsi="Times New Roman" w:eastAsia="仿宋_GB2312" w:cs="Times New Roman"/>
          <w:sz w:val="32"/>
          <w:szCs w:val="32"/>
          <w:u w:val="none"/>
        </w:rPr>
        <w:t>该</w:t>
      </w:r>
      <w:r>
        <w:rPr>
          <w:rFonts w:ascii="Times New Roman" w:hAnsi="Times New Roman" w:eastAsia="仿宋_GB2312" w:cs="Times New Roman"/>
          <w:sz w:val="32"/>
          <w:szCs w:val="32"/>
          <w:u w:val="none"/>
        </w:rPr>
        <w:t>项目申报预算</w:t>
      </w:r>
      <w:r>
        <w:rPr>
          <w:rFonts w:hint="eastAsia" w:ascii="Times New Roman" w:hAnsi="Times New Roman" w:eastAsia="仿宋_GB2312" w:cs="Times New Roman"/>
          <w:sz w:val="32"/>
          <w:szCs w:val="32"/>
          <w:u w:val="none"/>
          <w:lang w:val="en-US" w:eastAsia="zh-CN"/>
        </w:rPr>
        <w:t>260</w:t>
      </w:r>
      <w:r>
        <w:rPr>
          <w:rFonts w:hint="eastAsia" w:ascii="Times New Roman" w:hAnsi="Times New Roman" w:eastAsia="仿宋_GB2312" w:cs="Times New Roman"/>
          <w:sz w:val="32"/>
          <w:szCs w:val="32"/>
          <w:u w:val="none"/>
        </w:rPr>
        <w:t>万元，</w:t>
      </w:r>
      <w:r>
        <w:rPr>
          <w:rFonts w:hint="eastAsia" w:ascii="Times New Roman" w:hAnsi="Times New Roman" w:eastAsia="仿宋_GB2312" w:cs="Times New Roman"/>
          <w:sz w:val="32"/>
          <w:szCs w:val="32"/>
          <w:u w:val="none"/>
          <w:lang w:val="en-US" w:eastAsia="zh-CN"/>
        </w:rPr>
        <w:t>2025年度</w:t>
      </w:r>
      <w:r>
        <w:rPr>
          <w:rFonts w:hint="eastAsia" w:ascii="Times New Roman" w:hAnsi="Times New Roman" w:eastAsia="仿宋_GB2312" w:cs="Times New Roman"/>
          <w:sz w:val="32"/>
          <w:szCs w:val="32"/>
          <w:u w:val="none"/>
        </w:rPr>
        <w:t>申报金额为</w:t>
      </w:r>
      <w:r>
        <w:rPr>
          <w:rFonts w:hint="eastAsia" w:ascii="Times New Roman" w:hAnsi="Times New Roman" w:eastAsia="仿宋_GB2312" w:cs="Times New Roman"/>
          <w:sz w:val="32"/>
          <w:szCs w:val="32"/>
          <w:u w:val="none"/>
          <w:lang w:val="en-US" w:eastAsia="zh-CN"/>
        </w:rPr>
        <w:t>93.69</w:t>
      </w:r>
      <w:r>
        <w:rPr>
          <w:rFonts w:hint="eastAsia" w:ascii="Times New Roman" w:hAnsi="Times New Roman" w:eastAsia="仿宋_GB2312" w:cs="Times New Roman"/>
          <w:sz w:val="32"/>
          <w:szCs w:val="32"/>
          <w:u w:val="none"/>
        </w:rPr>
        <w:t>万元，资金来源为市级</w:t>
      </w:r>
      <w:r>
        <w:rPr>
          <w:rFonts w:ascii="Times New Roman" w:hAnsi="Times New Roman" w:eastAsia="仿宋_GB2312" w:cs="Times New Roman"/>
          <w:sz w:val="32"/>
          <w:szCs w:val="32"/>
          <w:u w:val="none"/>
        </w:rPr>
        <w:t>财政资金</w:t>
      </w:r>
      <w:r>
        <w:rPr>
          <w:rFonts w:hint="eastAsia" w:ascii="Times New Roman" w:hAnsi="Times New Roman" w:eastAsia="仿宋_GB2312" w:cs="Times New Roman"/>
          <w:sz w:val="32"/>
          <w:szCs w:val="32"/>
          <w:u w:val="none"/>
          <w:lang w:eastAsia="zh-CN"/>
        </w:rPr>
        <w:t>，实际拨付</w:t>
      </w:r>
      <w:r>
        <w:rPr>
          <w:rFonts w:hint="eastAsia" w:ascii="Times New Roman" w:hAnsi="Times New Roman" w:eastAsia="仿宋_GB2312" w:cs="Times New Roman"/>
          <w:sz w:val="32"/>
          <w:szCs w:val="32"/>
          <w:u w:val="none"/>
          <w:lang w:val="en-US" w:eastAsia="zh-CN"/>
        </w:rPr>
        <w:t>13.69万元项目已验收完成，资金未完全支付到位。</w:t>
      </w:r>
    </w:p>
    <w:p w14:paraId="32FCF65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16C0308F">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hint="default" w:ascii="Times New Roman" w:hAnsi="Times New Roman" w:eastAsia="楷体_GB2312" w:cs="Times New Roman"/>
          <w:sz w:val="32"/>
          <w:szCs w:val="32"/>
          <w:lang w:val="zh-CN"/>
        </w:rPr>
        <w:t>资金计划。</w:t>
      </w:r>
      <w:r>
        <w:rPr>
          <w:rFonts w:hint="default" w:ascii="Times New Roman" w:hAnsi="Times New Roman" w:eastAsia="仿宋_GB2312" w:cs="Times New Roman"/>
          <w:sz w:val="32"/>
          <w:szCs w:val="32"/>
          <w:lang w:val="en-US" w:eastAsia="zh-CN"/>
        </w:rPr>
        <w:t>本项目资金来源为市级财政资金。</w:t>
      </w:r>
    </w:p>
    <w:p w14:paraId="6762A879">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2.</w:t>
      </w:r>
      <w:r>
        <w:rPr>
          <w:rFonts w:hint="default" w:ascii="Times New Roman" w:hAnsi="Times New Roman" w:eastAsia="楷体_GB2312" w:cs="Times New Roman"/>
          <w:sz w:val="32"/>
          <w:szCs w:val="32"/>
          <w:lang w:val="zh-CN"/>
        </w:rPr>
        <w:t>资金到位。</w:t>
      </w:r>
      <w:r>
        <w:rPr>
          <w:rFonts w:hint="default" w:ascii="Times New Roman" w:hAnsi="Times New Roman" w:eastAsia="楷体_GB2312" w:cs="Times New Roman"/>
          <w:sz w:val="32"/>
          <w:szCs w:val="32"/>
          <w:lang w:val="en-US" w:eastAsia="zh-CN"/>
        </w:rPr>
        <w:t>2025年度</w:t>
      </w:r>
      <w:r>
        <w:rPr>
          <w:rFonts w:hint="default" w:ascii="Times New Roman" w:hAnsi="Times New Roman" w:eastAsia="仿宋_GB2312" w:cs="Times New Roman"/>
          <w:sz w:val="32"/>
          <w:szCs w:val="32"/>
          <w:lang w:val="en-US" w:eastAsia="zh-CN"/>
        </w:rPr>
        <w:t>项目拨付资金</w:t>
      </w:r>
      <w:r>
        <w:rPr>
          <w:rFonts w:hint="eastAsia" w:ascii="Times New Roman" w:hAnsi="Times New Roman" w:eastAsia="仿宋_GB2312" w:cs="Times New Roman"/>
          <w:sz w:val="32"/>
          <w:szCs w:val="32"/>
          <w:lang w:val="en-US" w:eastAsia="zh-CN"/>
        </w:rPr>
        <w:t>13.69</w:t>
      </w:r>
      <w:r>
        <w:rPr>
          <w:rFonts w:hint="default" w:ascii="Times New Roman" w:hAnsi="Times New Roman" w:eastAsia="仿宋_GB2312" w:cs="Times New Roman"/>
          <w:sz w:val="32"/>
          <w:szCs w:val="32"/>
          <w:lang w:val="en-US" w:eastAsia="zh-CN"/>
        </w:rPr>
        <w:t>万元，按时到位</w:t>
      </w:r>
      <w:r>
        <w:rPr>
          <w:rFonts w:hint="default" w:ascii="Times New Roman" w:hAnsi="Times New Roman" w:eastAsia="仿宋_GB2312" w:cs="Times New Roman"/>
          <w:sz w:val="32"/>
          <w:szCs w:val="32"/>
          <w:lang w:val="zh-CN" w:eastAsia="zh-CN"/>
        </w:rPr>
        <w:t>。</w:t>
      </w:r>
    </w:p>
    <w:p w14:paraId="744F42FB">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3.</w:t>
      </w:r>
      <w:r>
        <w:rPr>
          <w:rFonts w:hint="default" w:ascii="Times New Roman" w:hAnsi="Times New Roman" w:eastAsia="楷体_GB2312" w:cs="Times New Roman"/>
          <w:sz w:val="32"/>
          <w:szCs w:val="32"/>
          <w:lang w:val="zh-CN"/>
        </w:rPr>
        <w:t>资金使用。</w:t>
      </w:r>
      <w:r>
        <w:rPr>
          <w:rFonts w:hint="default" w:ascii="Times New Roman" w:hAnsi="Times New Roman" w:eastAsia="仿宋_GB2312" w:cs="Times New Roman"/>
          <w:sz w:val="32"/>
          <w:szCs w:val="32"/>
          <w:lang w:val="en-US" w:eastAsia="zh-CN"/>
        </w:rPr>
        <w:t>经供应商申请，按照合同约定进行</w:t>
      </w:r>
      <w:r>
        <w:rPr>
          <w:rFonts w:hint="eastAsia" w:ascii="Times New Roman" w:hAnsi="Times New Roman" w:eastAsia="仿宋_GB2312" w:cs="Times New Roman"/>
          <w:sz w:val="32"/>
          <w:szCs w:val="32"/>
          <w:lang w:val="en-US" w:eastAsia="zh-CN"/>
        </w:rPr>
        <w:t>部分</w:t>
      </w:r>
      <w:r>
        <w:rPr>
          <w:rFonts w:hint="default" w:ascii="Times New Roman" w:hAnsi="Times New Roman" w:eastAsia="仿宋_GB2312" w:cs="Times New Roman"/>
          <w:sz w:val="32"/>
          <w:szCs w:val="32"/>
          <w:lang w:val="en-US" w:eastAsia="zh-CN"/>
        </w:rPr>
        <w:t>费用支付。</w:t>
      </w:r>
    </w:p>
    <w:p w14:paraId="199E3C6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15177AF6">
      <w:pPr>
        <w:adjustRightInd w:val="0"/>
        <w:snapToGrid w:val="0"/>
        <w:spacing w:line="56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按照攀枝花市自然资源和规划局资金管理制度进行项目资金管理，</w:t>
      </w:r>
      <w:r>
        <w:rPr>
          <w:rFonts w:hint="default" w:ascii="Times New Roman" w:hAnsi="Times New Roman" w:eastAsia="仿宋_GB2312" w:cs="Times New Roman"/>
          <w:sz w:val="32"/>
          <w:szCs w:val="32"/>
          <w:lang w:val="en-US" w:eastAsia="zh-CN"/>
        </w:rPr>
        <w:t>财务处理及时，会计核算规范</w:t>
      </w:r>
      <w:r>
        <w:rPr>
          <w:rFonts w:hint="default" w:ascii="Times New Roman" w:hAnsi="Times New Roman" w:eastAsia="仿宋_GB2312" w:cs="Times New Roman"/>
          <w:sz w:val="32"/>
          <w:szCs w:val="32"/>
          <w:lang w:val="zh-CN"/>
        </w:rPr>
        <w:t>。</w:t>
      </w:r>
    </w:p>
    <w:p w14:paraId="6DBA3F2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349A4F8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hint="default" w:ascii="Times New Roman" w:hAnsi="Times New Roman" w:eastAsia="仿宋_GB2312" w:cs="Times New Roman"/>
          <w:sz w:val="32"/>
          <w:szCs w:val="32"/>
          <w:lang w:val="en-US" w:eastAsia="zh-CN"/>
        </w:rPr>
        <w:t>局财务科负责资金来源，保障资金支付；局地质矿产保护监督科会同矿业权管理科、财务科、法规科通过专家评审、验收工作。</w:t>
      </w:r>
    </w:p>
    <w:p w14:paraId="6C651944">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楷体_GB2312" w:cs="Times New Roman"/>
          <w:b/>
          <w:sz w:val="32"/>
          <w:szCs w:val="32"/>
          <w:lang w:val="zh-CN"/>
        </w:rPr>
        <w:t>（二）项目管理情况。</w:t>
      </w:r>
      <w:r>
        <w:rPr>
          <w:rFonts w:hint="default" w:ascii="Times New Roman" w:hAnsi="Times New Roman" w:eastAsia="仿宋_GB2312" w:cs="Times New Roman"/>
          <w:color w:val="auto"/>
          <w:sz w:val="32"/>
          <w:szCs w:val="32"/>
          <w:u w:val="none"/>
          <w:lang w:eastAsia="zh-CN"/>
        </w:rPr>
        <w:t>本次对项目投入</w:t>
      </w:r>
      <w:r>
        <w:rPr>
          <w:rFonts w:hint="default" w:ascii="Times New Roman" w:hAnsi="Times New Roman" w:eastAsia="仿宋_GB2312" w:cs="Times New Roman"/>
          <w:color w:val="auto"/>
          <w:sz w:val="32"/>
          <w:szCs w:val="32"/>
        </w:rPr>
        <w:t>经济性的评估是在项目事前绩效评估、预算测算的基础上，按照厉行节约的要求，结合相关费用标准及市场价格水平，重点对数量是否合理、投入是否经济、预算测算是否准确、测算过程是否详细、测算依据是否充分等方面进行了评估。</w:t>
      </w:r>
      <w:r>
        <w:rPr>
          <w:rFonts w:hint="default" w:ascii="Times New Roman" w:hAnsi="Times New Roman" w:eastAsia="仿宋_GB2312" w:cs="Times New Roman"/>
          <w:sz w:val="32"/>
          <w:szCs w:val="32"/>
          <w:lang w:val="en-US" w:eastAsia="zh-CN"/>
        </w:rPr>
        <w:t>根据《中华人民共和国政府采购法》，采取</w:t>
      </w:r>
      <w:r>
        <w:rPr>
          <w:rFonts w:hint="eastAsia" w:ascii="Times New Roman" w:hAnsi="Times New Roman" w:eastAsia="仿宋_GB2312" w:cs="Times New Roman"/>
          <w:sz w:val="32"/>
          <w:szCs w:val="32"/>
          <w:lang w:val="en-US" w:eastAsia="zh-CN"/>
        </w:rPr>
        <w:t>竞争性磋商方式</w:t>
      </w:r>
      <w:r>
        <w:rPr>
          <w:rFonts w:hint="default" w:ascii="Times New Roman" w:hAnsi="Times New Roman" w:eastAsia="仿宋_GB2312" w:cs="Times New Roman"/>
          <w:sz w:val="32"/>
          <w:szCs w:val="32"/>
          <w:lang w:val="en-US" w:eastAsia="zh-CN"/>
        </w:rPr>
        <w:t>对</w:t>
      </w:r>
      <w:r>
        <w:rPr>
          <w:rFonts w:hint="eastAsia" w:ascii="Times New Roman" w:hAnsi="Times New Roman" w:eastAsia="仿宋_GB2312" w:cs="Times New Roman"/>
          <w:sz w:val="32"/>
          <w:szCs w:val="32"/>
          <w:lang w:val="en-US" w:eastAsia="zh-CN"/>
        </w:rPr>
        <w:t>攀枝花市地热温泉</w:t>
      </w:r>
      <w:r>
        <w:rPr>
          <w:rFonts w:hint="default" w:ascii="Times New Roman" w:hAnsi="Times New Roman" w:eastAsia="仿宋_GB2312" w:cs="Times New Roman"/>
          <w:sz w:val="32"/>
          <w:szCs w:val="32"/>
        </w:rPr>
        <w:t>调查评价项目</w:t>
      </w:r>
      <w:r>
        <w:rPr>
          <w:rFonts w:hint="default" w:ascii="Times New Roman" w:hAnsi="Times New Roman" w:eastAsia="仿宋_GB2312" w:cs="Times New Roman"/>
          <w:sz w:val="32"/>
          <w:szCs w:val="32"/>
          <w:lang w:eastAsia="zh-CN"/>
        </w:rPr>
        <w:t>进行</w:t>
      </w:r>
      <w:r>
        <w:rPr>
          <w:rFonts w:hint="eastAsia" w:ascii="Times New Roman" w:hAnsi="Times New Roman" w:eastAsia="仿宋_GB2312" w:cs="Times New Roman"/>
          <w:sz w:val="32"/>
          <w:szCs w:val="32"/>
          <w:lang w:eastAsia="zh-CN"/>
        </w:rPr>
        <w:t>政府采购</w:t>
      </w:r>
      <w:r>
        <w:rPr>
          <w:rFonts w:hint="default" w:ascii="Times New Roman" w:hAnsi="Times New Roman" w:eastAsia="仿宋_GB2312" w:cs="Times New Roman"/>
          <w:sz w:val="32"/>
          <w:szCs w:val="32"/>
          <w:lang w:eastAsia="zh-CN"/>
        </w:rPr>
        <w:t>工作</w:t>
      </w:r>
      <w:r>
        <w:rPr>
          <w:rFonts w:hint="default" w:ascii="Times New Roman" w:hAnsi="Times New Roman" w:eastAsia="仿宋_GB2312" w:cs="Times New Roman"/>
          <w:sz w:val="32"/>
          <w:szCs w:val="32"/>
          <w:lang w:val="en-US" w:eastAsia="zh-CN"/>
        </w:rPr>
        <w:t>。</w:t>
      </w:r>
    </w:p>
    <w:p w14:paraId="71726C78">
      <w:pPr>
        <w:adjustRightInd w:val="0"/>
        <w:snapToGrid w:val="0"/>
        <w:spacing w:line="600" w:lineRule="exact"/>
        <w:ind w:firstLine="720"/>
        <w:rPr>
          <w:rFonts w:hint="eastAsia"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按照地勘项目管理相关办法对项目实施进行监督、验收等。</w:t>
      </w:r>
    </w:p>
    <w:p w14:paraId="0447534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F4FEE8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1674F31B">
      <w:p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rPr>
        <w:t>该项目已实施完成，完成合同约定工作量，达到预期目标。</w:t>
      </w:r>
    </w:p>
    <w:p w14:paraId="1DECF5B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327EEC7C">
      <w:pPr>
        <w:adjustRightInd w:val="0"/>
        <w:snapToGrid w:val="0"/>
        <w:spacing w:line="600" w:lineRule="exact"/>
        <w:ind w:firstLine="72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en-US" w:eastAsia="zh-CN"/>
        </w:rPr>
        <w:t>拉鲊北钻井日均出水量496.8立方米，井底水温32</w:t>
      </w:r>
      <w:r>
        <w:rPr>
          <w:rFonts w:hint="eastAsia" w:ascii="Times New Roman" w:hAnsi="Times New Roman" w:eastAsia="仿宋_GB2312" w:cs="Times New Roman"/>
          <w:sz w:val="32"/>
          <w:szCs w:val="32"/>
          <w:lang w:eastAsia="zh-CN"/>
        </w:rPr>
        <w:t>℃井口</w:t>
      </w:r>
      <w:r>
        <w:rPr>
          <w:rFonts w:hint="eastAsia" w:ascii="Times New Roman" w:hAnsi="Times New Roman" w:eastAsia="仿宋_GB2312" w:cs="Times New Roman"/>
          <w:sz w:val="32"/>
          <w:szCs w:val="32"/>
          <w:lang w:val="en-US" w:eastAsia="zh-CN"/>
        </w:rPr>
        <w:t>水温30.3</w:t>
      </w:r>
      <w:r>
        <w:rPr>
          <w:rFonts w:hint="eastAsia" w:ascii="Times New Roman" w:hAnsi="Times New Roman" w:eastAsia="仿宋_GB2312" w:cs="Times New Roman"/>
          <w:sz w:val="32"/>
          <w:szCs w:val="32"/>
          <w:lang w:eastAsia="zh-CN"/>
        </w:rPr>
        <w:t>℃，除水温未达到合同约定的</w:t>
      </w:r>
      <w:r>
        <w:rPr>
          <w:rFonts w:hint="eastAsia" w:ascii="Times New Roman" w:hAnsi="Times New Roman" w:eastAsia="仿宋_GB2312" w:cs="Times New Roman"/>
          <w:sz w:val="32"/>
          <w:szCs w:val="32"/>
          <w:lang w:val="en-US" w:eastAsia="zh-CN"/>
        </w:rPr>
        <w:t>39</w:t>
      </w:r>
      <w:r>
        <w:rPr>
          <w:rFonts w:hint="eastAsia" w:ascii="Times New Roman" w:hAnsi="Times New Roman" w:eastAsia="仿宋_GB2312" w:cs="Times New Roman"/>
          <w:sz w:val="32"/>
          <w:szCs w:val="32"/>
          <w:lang w:eastAsia="zh-CN"/>
        </w:rPr>
        <w:t>℃目标外，钻井深度、日均水量已完成合同约定的</w:t>
      </w:r>
      <w:r>
        <w:rPr>
          <w:rFonts w:hint="eastAsia" w:ascii="Times New Roman" w:hAnsi="Times New Roman" w:eastAsia="仿宋_GB2312" w:cs="Times New Roman"/>
          <w:sz w:val="32"/>
          <w:szCs w:val="32"/>
          <w:lang w:val="en-US" w:eastAsia="zh-CN"/>
        </w:rPr>
        <w:t>800米、360立方米工作目标要求。</w:t>
      </w:r>
      <w:r>
        <w:rPr>
          <w:rFonts w:hint="eastAsia" w:ascii="Times New Roman" w:hAnsi="Times New Roman" w:eastAsia="仿宋_GB2312" w:cs="Times New Roman"/>
          <w:sz w:val="32"/>
          <w:szCs w:val="32"/>
          <w:lang w:eastAsia="zh-CN"/>
        </w:rPr>
        <w:t>因目标储水层位水量大，导致断裂带的热能量交换不能满足所有地下水温度大幅加温的能量，钻井水温偏低。同时500m至810m范围内多个水层井水混合，造成井口出水温度仅为30.3℃。</w:t>
      </w:r>
    </w:p>
    <w:p w14:paraId="02225BF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9F1924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（一）评价结论。</w:t>
      </w:r>
      <w:r>
        <w:rPr>
          <w:rFonts w:hint="eastAsia" w:ascii="方正仿宋_GBK" w:hAnsi="方正仿宋_GBK" w:eastAsia="方正仿宋_GBK" w:cs="方正仿宋_GBK"/>
          <w:b w:val="0"/>
          <w:bCs/>
          <w:sz w:val="32"/>
          <w:szCs w:val="32"/>
          <w:lang w:val="zh-CN"/>
        </w:rPr>
        <w:t>项目</w:t>
      </w:r>
      <w:r>
        <w:rPr>
          <w:rFonts w:hint="eastAsia" w:ascii="Times New Roman" w:hAnsi="Times New Roman" w:eastAsia="仿宋_GB2312" w:cs="Times New Roman"/>
          <w:sz w:val="32"/>
          <w:szCs w:val="32"/>
          <w:lang w:val="zh-CN"/>
        </w:rPr>
        <w:t>提交一处可供开发的地热温泉，</w:t>
      </w:r>
      <w:r>
        <w:rPr>
          <w:rFonts w:hint="eastAsia" w:ascii="Times New Roman" w:hAnsi="Times New Roman" w:eastAsia="仿宋_GB2312" w:cs="Times New Roman"/>
          <w:sz w:val="32"/>
          <w:szCs w:val="32"/>
          <w:lang w:val="en-US" w:eastAsia="zh-CN"/>
        </w:rPr>
        <w:t>项目已完成全部预期目标，资金尚未完成支付。</w:t>
      </w:r>
    </w:p>
    <w:p w14:paraId="06CF782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2016778A">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经济下行压力大，</w:t>
      </w:r>
      <w:r>
        <w:rPr>
          <w:rFonts w:hint="eastAsia" w:eastAsia="仿宋_GB2312" w:cs="Times New Roman"/>
          <w:sz w:val="32"/>
          <w:szCs w:val="32"/>
          <w:lang w:val="zh-CN"/>
        </w:rPr>
        <w:t>还有</w:t>
      </w:r>
      <w:r>
        <w:rPr>
          <w:rFonts w:hint="eastAsia" w:ascii="Times New Roman" w:hAnsi="Times New Roman" w:eastAsia="仿宋_GB2312" w:cs="Times New Roman"/>
          <w:sz w:val="32"/>
          <w:szCs w:val="32"/>
          <w:lang w:val="en-US" w:eastAsia="zh-CN"/>
        </w:rPr>
        <w:t>80</w:t>
      </w:r>
      <w:r>
        <w:rPr>
          <w:rFonts w:hint="eastAsia" w:eastAsia="仿宋_GB2312" w:cs="Times New Roman"/>
          <w:sz w:val="32"/>
          <w:szCs w:val="32"/>
          <w:lang w:val="en-US" w:eastAsia="zh-CN"/>
        </w:rPr>
        <w:t>万元</w:t>
      </w:r>
      <w:r>
        <w:rPr>
          <w:rFonts w:hint="eastAsia" w:ascii="Times New Roman" w:hAnsi="Times New Roman" w:eastAsia="仿宋_GB2312" w:cs="Times New Roman"/>
          <w:sz w:val="32"/>
          <w:szCs w:val="32"/>
          <w:lang w:val="zh-CN"/>
        </w:rPr>
        <w:t>资金尚未支付完成</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73B18E1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04F4E515">
      <w:pPr>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根据财政收支情况，尽快支付项目余款。</w:t>
      </w:r>
    </w:p>
    <w:p w14:paraId="7CAD30E3">
      <w:pPr>
        <w:rPr>
          <w:rFonts w:ascii="Times New Roman" w:hAnsi="Times New Roman" w:eastAsia="仿宋_GB2312" w:cs="Times New Roman"/>
          <w:sz w:val="32"/>
          <w:szCs w:val="32"/>
        </w:rPr>
      </w:pPr>
    </w:p>
    <w:p w14:paraId="471E73DE">
      <w:pPr>
        <w:rPr>
          <w:rFonts w:hint="default" w:ascii="Times New Roman" w:hAnsi="Times New Roman" w:eastAsia="方正小标宋简体" w:cs="Times New Roman"/>
          <w:color w:val="auto"/>
          <w:kern w:val="2"/>
          <w:sz w:val="40"/>
          <w:szCs w:val="40"/>
          <w:lang w:val="en-US" w:eastAsia="zh-CN" w:bidi="ar-SA"/>
        </w:rPr>
      </w:pPr>
      <w:r>
        <w:rPr>
          <w:rFonts w:hint="default" w:ascii="Times New Roman" w:hAnsi="Times New Roman" w:eastAsia="方正小标宋简体" w:cs="Times New Roman"/>
          <w:color w:val="auto"/>
          <w:kern w:val="2"/>
          <w:sz w:val="40"/>
          <w:szCs w:val="40"/>
          <w:lang w:val="en-US" w:eastAsia="zh-CN" w:bidi="ar-SA"/>
        </w:rPr>
        <w:br w:type="page"/>
      </w:r>
    </w:p>
    <w:p w14:paraId="69EC2633">
      <w:pPr>
        <w:widowControl w:val="0"/>
        <w:spacing w:line="600" w:lineRule="exact"/>
        <w:jc w:val="both"/>
        <w:rPr>
          <w:rFonts w:hint="default" w:ascii="Times New Roman" w:hAnsi="Times New Roman" w:eastAsia="方正小标宋简体" w:cs="Times New Roman"/>
          <w:color w:val="auto"/>
          <w:kern w:val="2"/>
          <w:sz w:val="40"/>
          <w:szCs w:val="40"/>
          <w:lang w:val="en-US" w:eastAsia="zh-CN" w:bidi="ar-SA"/>
        </w:rPr>
      </w:pPr>
    </w:p>
    <w:p w14:paraId="01AA6B48">
      <w:pPr>
        <w:widowControl w:val="0"/>
        <w:spacing w:line="600" w:lineRule="exact"/>
        <w:jc w:val="center"/>
        <w:rPr>
          <w:rFonts w:hint="default" w:ascii="Times New Roman" w:hAnsi="Times New Roman" w:eastAsia="方正小标宋简体" w:cs="Times New Roman"/>
          <w:color w:val="auto"/>
          <w:kern w:val="2"/>
          <w:sz w:val="40"/>
          <w:szCs w:val="40"/>
          <w:lang w:val="zh-CN" w:eastAsia="zh-CN" w:bidi="ar-SA"/>
        </w:rPr>
      </w:pPr>
      <w:r>
        <w:rPr>
          <w:rFonts w:hint="default" w:ascii="Times New Roman" w:hAnsi="Times New Roman" w:eastAsia="方正小标宋简体" w:cs="Times New Roman"/>
          <w:color w:val="auto"/>
          <w:kern w:val="2"/>
          <w:sz w:val="40"/>
          <w:szCs w:val="40"/>
          <w:lang w:val="zh-CN" w:eastAsia="zh-CN" w:bidi="ar-SA"/>
        </w:rPr>
        <w:t>专项预算项目支出绩效自评报告</w:t>
      </w:r>
    </w:p>
    <w:p w14:paraId="7676D601">
      <w:pPr>
        <w:keepNext w:val="0"/>
        <w:keepLines w:val="0"/>
        <w:widowControl/>
        <w:suppressLineNumbers w:val="0"/>
        <w:spacing w:before="0" w:beforeAutospacing="0" w:after="0" w:afterAutospacing="0"/>
        <w:ind w:left="0" w:right="0" w:firstLine="0"/>
        <w:jc w:val="center"/>
        <w:rPr>
          <w:rFonts w:hint="default" w:ascii="Times New Roman" w:hAnsi="Times New Roman" w:eastAsia="仿宋_GB2312" w:cs="Times New Roman"/>
          <w:color w:val="auto"/>
          <w:kern w:val="2"/>
          <w:sz w:val="32"/>
          <w:szCs w:val="32"/>
          <w:lang w:val="en-US" w:eastAsia="zh-CN" w:bidi="ar"/>
        </w:rPr>
      </w:pPr>
      <w:r>
        <w:rPr>
          <w:rFonts w:hint="default" w:ascii="Times New Roman" w:hAnsi="Times New Roman" w:eastAsia="仿宋_GB2312" w:cs="Times New Roman"/>
          <w:color w:val="auto"/>
          <w:kern w:val="2"/>
          <w:sz w:val="32"/>
          <w:szCs w:val="32"/>
          <w:lang w:val="en-US" w:eastAsia="zh-CN" w:bidi="ar"/>
        </w:rPr>
        <w:t>（</w:t>
      </w:r>
      <w:r>
        <w:rPr>
          <w:rFonts w:hint="default" w:ascii="Times New Roman" w:hAnsi="Times New Roman" w:eastAsia="仿宋_GB2312" w:cs="Times New Roman"/>
          <w:kern w:val="0"/>
          <w:sz w:val="24"/>
          <w:szCs w:val="32"/>
          <w:lang w:val="en-US" w:eastAsia="zh-CN" w:bidi="ar"/>
        </w:rPr>
        <w:t>四川省攀枝花地区煤矿采空区煤层气资源调查评价项目</w:t>
      </w:r>
      <w:r>
        <w:rPr>
          <w:rFonts w:hint="default" w:ascii="Times New Roman" w:hAnsi="Times New Roman" w:eastAsia="仿宋_GB2312" w:cs="Times New Roman"/>
          <w:color w:val="auto"/>
          <w:kern w:val="2"/>
          <w:sz w:val="32"/>
          <w:szCs w:val="32"/>
          <w:lang w:val="en-US" w:eastAsia="zh-CN" w:bidi="ar"/>
        </w:rPr>
        <w:t>）</w:t>
      </w:r>
    </w:p>
    <w:p w14:paraId="47E7822C">
      <w:pPr>
        <w:widowControl w:val="0"/>
        <w:spacing w:line="600" w:lineRule="exact"/>
        <w:ind w:firstLine="640"/>
        <w:jc w:val="center"/>
        <w:rPr>
          <w:rFonts w:hint="default" w:ascii="Times New Roman" w:hAnsi="Times New Roman" w:eastAsia="宋体" w:cs="Times New Roman"/>
          <w:color w:val="auto"/>
          <w:kern w:val="2"/>
          <w:sz w:val="32"/>
          <w:szCs w:val="32"/>
          <w:lang w:val="zh-CN" w:eastAsia="zh-CN" w:bidi="ar-SA"/>
        </w:rPr>
      </w:pPr>
    </w:p>
    <w:p w14:paraId="7BB4B797">
      <w:pPr>
        <w:adjustRightInd w:val="0"/>
        <w:snapToGrid w:val="0"/>
        <w:spacing w:line="600" w:lineRule="exact"/>
        <w:ind w:firstLine="720"/>
        <w:rPr>
          <w:rFonts w:hint="default" w:ascii="Times New Roman" w:hAnsi="Times New Roman" w:eastAsia="黑体" w:cs="Times New Roman"/>
          <w:sz w:val="32"/>
          <w:szCs w:val="32"/>
          <w:lang w:val="zh-CN"/>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val="zh-CN"/>
        </w:rPr>
        <w:t>项目概况</w:t>
      </w:r>
    </w:p>
    <w:p w14:paraId="71FE3988">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（一）项目基本情况。</w:t>
      </w:r>
    </w:p>
    <w:p w14:paraId="250D55B1">
      <w:pPr>
        <w:adjustRightInd w:val="0"/>
        <w:snapToGrid w:val="0"/>
        <w:spacing w:line="600" w:lineRule="exact"/>
        <w:ind w:firstLine="720"/>
        <w:rPr>
          <w:rFonts w:hint="default" w:ascii="Times New Roman" w:hAnsi="Times New Roman" w:eastAsia="仿宋_GB2312" w:cs="Times New Roman"/>
          <w:color w:val="FF0000"/>
          <w:sz w:val="28"/>
          <w:szCs w:val="28"/>
          <w:lang w:val="en-US" w:eastAsia="zh-CN"/>
        </w:rPr>
      </w:pPr>
      <w:r>
        <w:rPr>
          <w:rFonts w:hint="default" w:ascii="Times New Roman" w:hAnsi="Times New Roman" w:eastAsia="仿宋_GB2312" w:cs="Times New Roman"/>
          <w:sz w:val="32"/>
          <w:szCs w:val="32"/>
          <w:lang w:val="en-US" w:eastAsia="zh-CN"/>
        </w:rPr>
        <w:t>2024年7月23日中共攀枝花市自然资源和规划局党组2024 年第 24 次（扩大）会议同意该项目，项目预算经费：885.24万元。10月12日该项目已入库并报送市财政局审核。10月21日预算化平台审批完成，10月22日通过政府采购发布项目采购意向公告，11月22日发布项目公开招标公告，12月16日开标，最终中标价格884.9999万元，发布中标（成交）通知书。12月30日签订合同（N5104012024000249）。</w:t>
      </w:r>
    </w:p>
    <w:p w14:paraId="6E58F8B0">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（二）项目绩效目标。</w:t>
      </w:r>
    </w:p>
    <w:p w14:paraId="04F961FB">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 xml:space="preserve">1. </w:t>
      </w:r>
      <w:r>
        <w:rPr>
          <w:rFonts w:hint="default" w:ascii="Times New Roman" w:hAnsi="Times New Roman" w:eastAsia="仿宋_GB2312" w:cs="Times New Roman"/>
          <w:sz w:val="32"/>
          <w:szCs w:val="32"/>
        </w:rPr>
        <w:t>本项目的主要内容是</w:t>
      </w:r>
      <w:r>
        <w:rPr>
          <w:rFonts w:hint="default" w:ascii="Times New Roman" w:hAnsi="Times New Roman" w:eastAsia="仿宋_GB2312" w:cs="Times New Roman"/>
          <w:sz w:val="32"/>
          <w:szCs w:val="32"/>
          <w:u w:val="none"/>
          <w:lang w:eastAsia="zh-CN"/>
        </w:rPr>
        <w:t>完成</w:t>
      </w:r>
      <w:r>
        <w:rPr>
          <w:rFonts w:hint="default" w:ascii="Times New Roman" w:hAnsi="Times New Roman" w:eastAsia="仿宋_GB2312" w:cs="Times New Roman"/>
          <w:sz w:val="32"/>
          <w:szCs w:val="32"/>
          <w:u w:val="none"/>
        </w:rPr>
        <w:t>四川省攀枝花</w:t>
      </w:r>
      <w:r>
        <w:rPr>
          <w:rFonts w:hint="default" w:ascii="Times New Roman" w:hAnsi="Times New Roman" w:eastAsia="仿宋_GB2312" w:cs="Times New Roman"/>
          <w:sz w:val="32"/>
          <w:szCs w:val="32"/>
          <w:u w:val="none"/>
          <w:lang w:eastAsia="zh-CN"/>
        </w:rPr>
        <w:t>地区煤矿采空区煤层气资源调查评估，形成调查评估成果报告</w:t>
      </w:r>
      <w:r>
        <w:rPr>
          <w:rFonts w:hint="default" w:ascii="Times New Roman" w:hAnsi="Times New Roman" w:eastAsia="仿宋_GB2312" w:cs="Times New Roman"/>
          <w:sz w:val="32"/>
          <w:szCs w:val="32"/>
          <w:lang w:val="zh-CN"/>
        </w:rPr>
        <w:t>。</w:t>
      </w:r>
    </w:p>
    <w:p w14:paraId="0E2AF927">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2. 项目应实现的具体绩效目标是形成《攀枝花地区煤层气资源普查报告》成果报告，完成项目调查评价实施方案编制，按时开展项目成果报告通过专家评审、验收</w:t>
      </w:r>
      <w:r>
        <w:rPr>
          <w:rFonts w:hint="eastAsia" w:eastAsia="仿宋_GB2312" w:cs="Times New Roman"/>
          <w:sz w:val="32"/>
          <w:szCs w:val="32"/>
          <w:lang w:val="zh-CN"/>
        </w:rPr>
        <w:t>，以</w:t>
      </w:r>
      <w:r>
        <w:rPr>
          <w:rFonts w:hint="default" w:ascii="Times New Roman" w:hAnsi="Times New Roman" w:eastAsia="仿宋_GB2312" w:cs="Times New Roman"/>
          <w:sz w:val="32"/>
          <w:szCs w:val="32"/>
          <w:lang w:val="zh-CN"/>
        </w:rPr>
        <w:t>及服务对象满意度等。</w:t>
      </w:r>
    </w:p>
    <w:p w14:paraId="226C1592">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3. 申报内容与实际相符，申报目标合理可行。</w:t>
      </w:r>
    </w:p>
    <w:p w14:paraId="43997E8A">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（三）项目自评步骤及方法。</w:t>
      </w:r>
    </w:p>
    <w:p w14:paraId="1903C720">
      <w:pPr>
        <w:snapToGrid w:val="0"/>
        <w:spacing w:line="60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sz w:val="32"/>
          <w:szCs w:val="32"/>
        </w:rPr>
        <w:t>本项目通过</w:t>
      </w:r>
      <w:r>
        <w:rPr>
          <w:rFonts w:hint="default" w:ascii="Times New Roman" w:hAnsi="Times New Roman" w:eastAsia="仿宋_GB2312" w:cs="Times New Roman"/>
          <w:sz w:val="32"/>
          <w:szCs w:val="32"/>
          <w:u w:val="none"/>
        </w:rPr>
        <w:t>现场踏勘、与项目相关人员座谈或讨论、聘请相关专业专家、市场调研</w:t>
      </w:r>
      <w:r>
        <w:rPr>
          <w:rFonts w:hint="default" w:ascii="Times New Roman" w:hAnsi="Times New Roman" w:eastAsia="仿宋_GB2312" w:cs="Times New Roman"/>
          <w:color w:val="auto"/>
          <w:sz w:val="32"/>
          <w:szCs w:val="32"/>
          <w:u w:val="none"/>
        </w:rPr>
        <w:t>了</w:t>
      </w:r>
      <w:r>
        <w:rPr>
          <w:rFonts w:hint="default" w:ascii="Times New Roman" w:hAnsi="Times New Roman" w:eastAsia="仿宋_GB2312" w:cs="Times New Roman"/>
          <w:color w:val="auto"/>
          <w:sz w:val="32"/>
          <w:szCs w:val="32"/>
        </w:rPr>
        <w:t>解项目情况，收集相关资料，综合分析相关情况后，对项目的立项必要性、投入经济性、目标合理性、方案可行性以及筹资合规性实施评估。</w:t>
      </w:r>
    </w:p>
    <w:p w14:paraId="1716513E">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二、项目资金申报及使用情况</w:t>
      </w:r>
    </w:p>
    <w:p w14:paraId="137AB9AA">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（一）项目资金申报及批复情况。</w:t>
      </w:r>
    </w:p>
    <w:p w14:paraId="6592BDEC">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2024年7月23日中共攀枝花市自然资源和规划局党组2024 年第 24 次（扩大）会议同意该项目，项目预算经费：885.24万元。10月12日该项目已入库并报送市财政局审核。10月21日市财政局审批完成。</w:t>
      </w:r>
    </w:p>
    <w:p w14:paraId="54319E13">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（二）资金计划、到位及使用情况（可用表格形式反映）。</w:t>
      </w:r>
    </w:p>
    <w:p w14:paraId="3945F637">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1.</w:t>
      </w:r>
      <w:r>
        <w:rPr>
          <w:rFonts w:hint="default" w:ascii="Times New Roman" w:hAnsi="Times New Roman" w:eastAsia="楷体_GB2312" w:cs="Times New Roman"/>
          <w:sz w:val="32"/>
          <w:szCs w:val="32"/>
          <w:lang w:val="zh-CN"/>
        </w:rPr>
        <w:t>资金计划。</w:t>
      </w:r>
      <w:r>
        <w:rPr>
          <w:rFonts w:hint="default" w:ascii="Times New Roman" w:hAnsi="Times New Roman" w:eastAsia="仿宋_GB2312" w:cs="Times New Roman"/>
          <w:sz w:val="32"/>
          <w:szCs w:val="32"/>
          <w:lang w:val="en-US" w:eastAsia="zh-CN"/>
        </w:rPr>
        <w:t>本项目资金来源为市级财政资金。</w:t>
      </w:r>
    </w:p>
    <w:p w14:paraId="4F4E59E9">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楷体_GB2312" w:cs="Times New Roman"/>
          <w:sz w:val="32"/>
          <w:szCs w:val="32"/>
          <w:lang w:val="zh-CN"/>
        </w:rPr>
        <w:t>2.</w:t>
      </w:r>
      <w:r>
        <w:rPr>
          <w:rFonts w:hint="default" w:ascii="Times New Roman" w:hAnsi="Times New Roman" w:eastAsia="楷体_GB2312" w:cs="Times New Roman"/>
          <w:sz w:val="32"/>
          <w:szCs w:val="32"/>
          <w:lang w:val="zh-CN"/>
        </w:rPr>
        <w:t>资金到位。</w:t>
      </w:r>
      <w:r>
        <w:rPr>
          <w:rFonts w:hint="default" w:ascii="Times New Roman" w:hAnsi="Times New Roman" w:eastAsia="楷体_GB2312" w:cs="Times New Roman"/>
          <w:sz w:val="32"/>
          <w:szCs w:val="32"/>
          <w:lang w:val="en-US" w:eastAsia="zh-CN"/>
        </w:rPr>
        <w:t>2025年度</w:t>
      </w:r>
      <w:r>
        <w:rPr>
          <w:rFonts w:hint="default" w:ascii="Times New Roman" w:hAnsi="Times New Roman" w:eastAsia="仿宋_GB2312" w:cs="Times New Roman"/>
          <w:sz w:val="32"/>
          <w:szCs w:val="32"/>
          <w:lang w:val="en-US" w:eastAsia="zh-CN"/>
        </w:rPr>
        <w:t>项目拨付资金177万元，按时到位</w:t>
      </w:r>
      <w:r>
        <w:rPr>
          <w:rFonts w:hint="default" w:ascii="Times New Roman" w:hAnsi="Times New Roman" w:eastAsia="仿宋_GB2312" w:cs="Times New Roman"/>
          <w:sz w:val="32"/>
          <w:szCs w:val="32"/>
          <w:lang w:val="zh-CN" w:eastAsia="zh-CN"/>
        </w:rPr>
        <w:t>。</w:t>
      </w:r>
    </w:p>
    <w:p w14:paraId="64F997E6">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3.</w:t>
      </w:r>
      <w:r>
        <w:rPr>
          <w:rFonts w:hint="default" w:ascii="Times New Roman" w:hAnsi="Times New Roman" w:eastAsia="楷体_GB2312" w:cs="Times New Roman"/>
          <w:sz w:val="32"/>
          <w:szCs w:val="32"/>
          <w:lang w:val="zh-CN"/>
        </w:rPr>
        <w:t>资金使用。</w:t>
      </w:r>
      <w:r>
        <w:rPr>
          <w:rFonts w:hint="default" w:ascii="Times New Roman" w:hAnsi="Times New Roman" w:eastAsia="仿宋_GB2312" w:cs="Times New Roman"/>
          <w:sz w:val="32"/>
          <w:szCs w:val="32"/>
          <w:lang w:val="en-US" w:eastAsia="zh-CN"/>
        </w:rPr>
        <w:t>经供应商申请，按照合同约定进行费用支付。</w:t>
      </w:r>
    </w:p>
    <w:p w14:paraId="24C11CFE">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（三）项目财务管理情况。</w:t>
      </w:r>
    </w:p>
    <w:p w14:paraId="55BCFC3C">
      <w:pPr>
        <w:adjustRightInd w:val="0"/>
        <w:snapToGrid w:val="0"/>
        <w:spacing w:line="56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按照攀枝花市自然资源和规划局资金管理制度进行项目资金管理，</w:t>
      </w:r>
      <w:r>
        <w:rPr>
          <w:rFonts w:hint="default" w:ascii="Times New Roman" w:hAnsi="Times New Roman" w:eastAsia="仿宋_GB2312" w:cs="Times New Roman"/>
          <w:sz w:val="32"/>
          <w:szCs w:val="32"/>
          <w:lang w:val="en-US" w:eastAsia="zh-CN"/>
        </w:rPr>
        <w:t>财务处理及时，会计核算规范</w:t>
      </w:r>
      <w:r>
        <w:rPr>
          <w:rFonts w:hint="default" w:ascii="Times New Roman" w:hAnsi="Times New Roman" w:eastAsia="仿宋_GB2312" w:cs="Times New Roman"/>
          <w:sz w:val="32"/>
          <w:szCs w:val="32"/>
          <w:lang w:val="zh-CN"/>
        </w:rPr>
        <w:t>。</w:t>
      </w:r>
    </w:p>
    <w:p w14:paraId="4282AA97">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三、项目实施及管理情况</w:t>
      </w:r>
    </w:p>
    <w:p w14:paraId="019AA4F0">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（一）项目组织架构及实施流程。</w:t>
      </w:r>
      <w:r>
        <w:rPr>
          <w:rFonts w:hint="default" w:ascii="Times New Roman" w:hAnsi="Times New Roman" w:eastAsia="仿宋_GB2312" w:cs="Times New Roman"/>
          <w:sz w:val="32"/>
          <w:szCs w:val="32"/>
          <w:lang w:val="en-US" w:eastAsia="zh-CN"/>
        </w:rPr>
        <w:t>局财务科负责资金来源，保障资金支付；局地质矿产保护监督科会同矿业权管理科、财务科、法规科通过专家评审、验收工作。</w:t>
      </w:r>
    </w:p>
    <w:p w14:paraId="3A591A44">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sz w:val="32"/>
          <w:szCs w:val="32"/>
          <w:lang w:val="zh-CN"/>
        </w:rPr>
        <w:t>（二）项目管理情况。</w:t>
      </w:r>
      <w:r>
        <w:rPr>
          <w:rFonts w:hint="default" w:ascii="Times New Roman" w:hAnsi="Times New Roman" w:eastAsia="仿宋_GB2312" w:cs="Times New Roman"/>
          <w:color w:val="auto"/>
          <w:sz w:val="32"/>
          <w:szCs w:val="32"/>
          <w:u w:val="none"/>
        </w:rPr>
        <w:t>该项目申报</w:t>
      </w:r>
      <w:r>
        <w:rPr>
          <w:rFonts w:hint="default" w:ascii="Times New Roman" w:hAnsi="Times New Roman" w:eastAsia="仿宋_GB2312" w:cs="Times New Roman"/>
          <w:color w:val="auto"/>
          <w:sz w:val="32"/>
          <w:szCs w:val="32"/>
          <w:u w:val="none"/>
          <w:lang w:eastAsia="zh-CN"/>
        </w:rPr>
        <w:t>总</w:t>
      </w:r>
      <w:r>
        <w:rPr>
          <w:rFonts w:hint="default" w:ascii="Times New Roman" w:hAnsi="Times New Roman" w:eastAsia="仿宋_GB2312" w:cs="Times New Roman"/>
          <w:color w:val="auto"/>
          <w:sz w:val="32"/>
          <w:szCs w:val="32"/>
          <w:u w:val="none"/>
        </w:rPr>
        <w:t>预算</w:t>
      </w:r>
      <w:r>
        <w:rPr>
          <w:rFonts w:hint="default" w:ascii="Times New Roman" w:hAnsi="Times New Roman" w:eastAsia="仿宋_GB2312" w:cs="Times New Roman"/>
          <w:color w:val="auto"/>
          <w:sz w:val="32"/>
          <w:szCs w:val="32"/>
          <w:u w:val="none"/>
          <w:lang w:val="en-US" w:eastAsia="zh-CN"/>
        </w:rPr>
        <w:t>884.9999</w:t>
      </w:r>
      <w:r>
        <w:rPr>
          <w:rFonts w:hint="default" w:ascii="Times New Roman" w:hAnsi="Times New Roman" w:eastAsia="仿宋_GB2312" w:cs="Times New Roman"/>
          <w:color w:val="auto"/>
          <w:sz w:val="32"/>
          <w:szCs w:val="32"/>
          <w:u w:val="none"/>
        </w:rPr>
        <w:t>万元，</w:t>
      </w:r>
      <w:r>
        <w:rPr>
          <w:rFonts w:hint="default" w:ascii="Times New Roman" w:hAnsi="Times New Roman" w:eastAsia="仿宋_GB2312" w:cs="Times New Roman"/>
          <w:color w:val="auto"/>
          <w:sz w:val="32"/>
          <w:szCs w:val="32"/>
          <w:u w:val="none"/>
          <w:lang w:val="en-US" w:eastAsia="zh-CN"/>
        </w:rPr>
        <w:t>2025年</w:t>
      </w:r>
      <w:r>
        <w:rPr>
          <w:rFonts w:hint="default" w:ascii="Times New Roman" w:hAnsi="Times New Roman" w:eastAsia="仿宋_GB2312" w:cs="Times New Roman"/>
          <w:color w:val="auto"/>
          <w:sz w:val="32"/>
          <w:szCs w:val="32"/>
          <w:u w:val="none"/>
        </w:rPr>
        <w:t>申报金额为</w:t>
      </w:r>
      <w:r>
        <w:rPr>
          <w:rFonts w:hint="default" w:ascii="Times New Roman" w:hAnsi="Times New Roman" w:eastAsia="仿宋_GB2312" w:cs="Times New Roman"/>
          <w:color w:val="auto"/>
          <w:sz w:val="32"/>
          <w:szCs w:val="32"/>
          <w:u w:val="none"/>
          <w:lang w:val="en-US" w:eastAsia="zh-CN"/>
        </w:rPr>
        <w:t>177</w:t>
      </w:r>
      <w:r>
        <w:rPr>
          <w:rFonts w:hint="default" w:ascii="Times New Roman" w:hAnsi="Times New Roman" w:eastAsia="仿宋_GB2312" w:cs="Times New Roman"/>
          <w:color w:val="auto"/>
          <w:sz w:val="32"/>
          <w:szCs w:val="32"/>
          <w:u w:val="none"/>
        </w:rPr>
        <w:t>万元，资金来源</w:t>
      </w:r>
      <w:r>
        <w:rPr>
          <w:rFonts w:hint="default" w:ascii="Times New Roman" w:hAnsi="Times New Roman" w:eastAsia="仿宋_GB2312" w:cs="Times New Roman"/>
          <w:color w:val="auto"/>
          <w:sz w:val="32"/>
          <w:szCs w:val="32"/>
          <w:u w:val="none"/>
          <w:lang w:eastAsia="zh-CN"/>
        </w:rPr>
        <w:t>为</w:t>
      </w:r>
      <w:r>
        <w:rPr>
          <w:rFonts w:hint="default" w:ascii="Times New Roman" w:hAnsi="Times New Roman" w:eastAsia="仿宋_GB2312" w:cs="Times New Roman"/>
          <w:color w:val="auto"/>
          <w:sz w:val="32"/>
          <w:szCs w:val="32"/>
          <w:u w:val="none"/>
          <w:lang w:val="en-US" w:eastAsia="zh-CN"/>
        </w:rPr>
        <w:t>市财政预算统一保障。</w:t>
      </w:r>
      <w:r>
        <w:rPr>
          <w:rFonts w:hint="default" w:ascii="Times New Roman" w:hAnsi="Times New Roman" w:eastAsia="仿宋_GB2312" w:cs="Times New Roman"/>
          <w:color w:val="auto"/>
          <w:sz w:val="32"/>
          <w:szCs w:val="32"/>
          <w:u w:val="none"/>
          <w:lang w:eastAsia="zh-CN"/>
        </w:rPr>
        <w:t>本次对项目投入</w:t>
      </w:r>
      <w:r>
        <w:rPr>
          <w:rFonts w:hint="default" w:ascii="Times New Roman" w:hAnsi="Times New Roman" w:eastAsia="仿宋_GB2312" w:cs="Times New Roman"/>
          <w:color w:val="auto"/>
          <w:sz w:val="32"/>
          <w:szCs w:val="32"/>
          <w:u w:val="none"/>
        </w:rPr>
        <w:t>经济</w:t>
      </w:r>
      <w:r>
        <w:rPr>
          <w:rFonts w:hint="default" w:ascii="Times New Roman" w:hAnsi="Times New Roman" w:eastAsia="仿宋_GB2312" w:cs="Times New Roman"/>
          <w:color w:val="auto"/>
          <w:sz w:val="32"/>
          <w:szCs w:val="32"/>
        </w:rPr>
        <w:t>性的评估是在项目事前绩效评估、预算测算的基础上，按照厉行节约的要求，结合相关费用标准及市场价格水平，重点对数量是否合理、投入是否经济、预算测算是否准确、测算过程是否详细、测算依据是否充分等方面进行了评估。</w:t>
      </w:r>
      <w:r>
        <w:rPr>
          <w:rFonts w:hint="default" w:ascii="Times New Roman" w:hAnsi="Times New Roman" w:eastAsia="仿宋_GB2312" w:cs="Times New Roman"/>
          <w:sz w:val="32"/>
          <w:szCs w:val="32"/>
          <w:lang w:val="en-US" w:eastAsia="zh-CN"/>
        </w:rPr>
        <w:t>根据《中华人民共和国政府采购法》，采取公开招标方式对</w:t>
      </w:r>
      <w:r>
        <w:rPr>
          <w:rFonts w:hint="default" w:ascii="Times New Roman" w:hAnsi="Times New Roman" w:eastAsia="仿宋_GB2312" w:cs="Times New Roman"/>
          <w:sz w:val="32"/>
          <w:szCs w:val="32"/>
        </w:rPr>
        <w:t>四川省攀枝花地区煤矿采空区煤层气资源调查评价项目</w:t>
      </w:r>
      <w:r>
        <w:rPr>
          <w:rFonts w:hint="default" w:ascii="Times New Roman" w:hAnsi="Times New Roman" w:eastAsia="仿宋_GB2312" w:cs="Times New Roman"/>
          <w:sz w:val="32"/>
          <w:szCs w:val="32"/>
          <w:lang w:eastAsia="zh-CN"/>
        </w:rPr>
        <w:t>进行招标工作</w:t>
      </w:r>
      <w:r>
        <w:rPr>
          <w:rFonts w:hint="default" w:ascii="Times New Roman" w:hAnsi="Times New Roman" w:eastAsia="仿宋_GB2312" w:cs="Times New Roman"/>
          <w:sz w:val="32"/>
          <w:szCs w:val="32"/>
          <w:lang w:val="en-US" w:eastAsia="zh-CN"/>
        </w:rPr>
        <w:t>。</w:t>
      </w:r>
    </w:p>
    <w:p w14:paraId="26BC1534">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default" w:ascii="Times New Roman" w:hAnsi="Times New Roman" w:eastAsia="楷体_GB2312" w:cs="Times New Roman"/>
          <w:b/>
          <w:sz w:val="32"/>
          <w:szCs w:val="32"/>
          <w:lang w:val="zh-CN"/>
        </w:rPr>
        <w:t>（三）项目监管情况：</w:t>
      </w:r>
      <w:r>
        <w:rPr>
          <w:rFonts w:hint="default" w:ascii="Times New Roman" w:hAnsi="Times New Roman" w:eastAsia="楷体_GB2312" w:cs="Times New Roman"/>
          <w:b w:val="0"/>
          <w:bCs/>
          <w:sz w:val="32"/>
          <w:szCs w:val="32"/>
          <w:lang w:val="en-US" w:eastAsia="zh-CN"/>
        </w:rPr>
        <w:t>2</w:t>
      </w:r>
      <w:r>
        <w:rPr>
          <w:rFonts w:hint="default" w:ascii="Times New Roman" w:hAnsi="Times New Roman" w:eastAsia="仿宋_GB2312" w:cs="Times New Roman"/>
          <w:sz w:val="32"/>
          <w:szCs w:val="32"/>
          <w:lang w:val="en-US" w:eastAsia="zh-CN"/>
        </w:rPr>
        <w:t>024年7月局地质矿产保护监督科向市局请示《攀枝花地区煤矿采空区煤层气资源调查评价》项目采购事项。2024年7月23日中共攀枝花市自然资源和规划局党组2024年第24（次）扩大会议同意该请示项目</w:t>
      </w:r>
      <w:r>
        <w:rPr>
          <w:rFonts w:hint="default" w:ascii="Times New Roman" w:hAnsi="Times New Roman" w:eastAsia="楷体_GB2312" w:cs="Times New Roman"/>
          <w:b w:val="0"/>
          <w:bCs/>
          <w:sz w:val="32"/>
          <w:szCs w:val="32"/>
          <w:lang w:val="zh-CN"/>
        </w:rPr>
        <w:t>。</w:t>
      </w:r>
      <w:r>
        <w:rPr>
          <w:rFonts w:hint="default" w:ascii="Times New Roman" w:hAnsi="Times New Roman" w:eastAsia="仿宋_GB2312" w:cs="Times New Roman"/>
          <w:sz w:val="32"/>
          <w:szCs w:val="32"/>
          <w:lang w:val="en-US" w:eastAsia="zh-CN"/>
        </w:rPr>
        <w:t>2024年7月31日召开代理机构确认会，确认中选代理机构</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2024年12月23日，市自然资源和规划局地质矿产保护监督科、财务科、法规科、法律顾问（四川三才律师事务所）、分管领导和主要领导对《攀枝花地区煤矿采空区煤层气资源调查评价项目合同》进行了审查会签。2024年12月30日签订项目合同，目前已完成野外实物工作量70%。</w:t>
      </w:r>
    </w:p>
    <w:p w14:paraId="0E7BB778">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黑体" w:cs="Times New Roman"/>
          <w:sz w:val="32"/>
          <w:szCs w:val="32"/>
        </w:rPr>
        <w:t>四、项目绩效情况</w:t>
      </w:r>
      <w:r>
        <w:rPr>
          <w:rFonts w:hint="default" w:ascii="Times New Roman" w:hAnsi="Times New Roman" w:eastAsia="仿宋_GB2312" w:cs="Times New Roman"/>
          <w:sz w:val="32"/>
          <w:szCs w:val="32"/>
          <w:lang w:val="zh-CN"/>
        </w:rPr>
        <w:tab/>
      </w:r>
    </w:p>
    <w:p w14:paraId="1A7F08D6">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（一）项目完成情况。</w:t>
      </w:r>
    </w:p>
    <w:p w14:paraId="2E12897F">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r>
        <w:rPr>
          <w:rFonts w:hint="default" w:ascii="Times New Roman" w:hAnsi="Times New Roman" w:eastAsia="仿宋_GB2312" w:cs="Times New Roman"/>
          <w:sz w:val="32"/>
          <w:szCs w:val="32"/>
          <w:lang w:val="en-US" w:eastAsia="zh-CN"/>
        </w:rPr>
        <w:t>已完成野外实物工作量70%</w:t>
      </w:r>
      <w:r>
        <w:rPr>
          <w:rFonts w:hint="default" w:ascii="Times New Roman" w:hAnsi="Times New Roman" w:eastAsia="仿宋_GB2312" w:cs="Times New Roman"/>
          <w:sz w:val="32"/>
          <w:szCs w:val="32"/>
          <w:lang w:val="zh-CN"/>
        </w:rPr>
        <w:t>。</w:t>
      </w:r>
    </w:p>
    <w:p w14:paraId="798E2C08">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（二）项目效益情况。</w:t>
      </w:r>
    </w:p>
    <w:p w14:paraId="440691C0">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p>
    <w:p w14:paraId="4549F78B">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五、评价结论及建议</w:t>
      </w:r>
    </w:p>
    <w:p w14:paraId="2C72C504">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（一）评价结论。</w:t>
      </w:r>
    </w:p>
    <w:p w14:paraId="0E7BA215">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p>
    <w:p w14:paraId="4663898E">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（二）存在的问题。</w:t>
      </w:r>
    </w:p>
    <w:p w14:paraId="2485F50C">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r>
        <w:rPr>
          <w:rFonts w:hint="default" w:ascii="Times New Roman" w:hAnsi="Times New Roman" w:eastAsia="仿宋_GB2312" w:cs="Times New Roman"/>
          <w:sz w:val="32"/>
          <w:szCs w:val="32"/>
          <w:lang w:val="zh-CN"/>
        </w:rPr>
        <w:tab/>
      </w:r>
    </w:p>
    <w:p w14:paraId="737EB176">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（三）相关建议。</w:t>
      </w:r>
    </w:p>
    <w:p w14:paraId="349B7B8B">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该</w:t>
      </w:r>
      <w:r>
        <w:rPr>
          <w:rFonts w:hint="eastAsia" w:eastAsia="仿宋_GB2312" w:cs="Times New Roman"/>
          <w:sz w:val="32"/>
          <w:szCs w:val="32"/>
          <w:lang w:val="zh-CN"/>
        </w:rPr>
        <w:t>项目</w:t>
      </w:r>
      <w:r>
        <w:rPr>
          <w:rFonts w:hint="default" w:ascii="Times New Roman" w:hAnsi="Times New Roman" w:eastAsia="仿宋_GB2312" w:cs="Times New Roman"/>
          <w:sz w:val="32"/>
          <w:szCs w:val="32"/>
          <w:lang w:val="zh-CN"/>
        </w:rPr>
        <w:t>目前还在实施。</w:t>
      </w:r>
    </w:p>
    <w:p w14:paraId="56AB6F1C">
      <w:pPr>
        <w:adjustRightInd w:val="0"/>
        <w:snapToGrid w:val="0"/>
        <w:spacing w:line="600" w:lineRule="exact"/>
        <w:ind w:firstLine="720"/>
        <w:rPr>
          <w:rFonts w:hint="default" w:ascii="Times New Roman" w:hAnsi="Times New Roman" w:eastAsia="仿宋_GB2312" w:cs="Times New Roman"/>
          <w:sz w:val="32"/>
          <w:szCs w:val="32"/>
          <w:lang w:val="zh-CN"/>
        </w:rPr>
      </w:pPr>
    </w:p>
    <w:p w14:paraId="16CB4C15">
      <w:pPr>
        <w:rPr>
          <w:rFonts w:hint="default" w:ascii="Times New Roman" w:hAnsi="Times New Roman" w:eastAsia="仿宋_GB2312" w:cs="Times New Roman"/>
          <w:sz w:val="32"/>
          <w:szCs w:val="32"/>
          <w:lang w:val="en-US"/>
        </w:rPr>
      </w:pPr>
    </w:p>
    <w:p w14:paraId="1D1E0264">
      <w:pPr>
        <w:rPr>
          <w:rFonts w:hint="default" w:ascii="Times New Roman" w:hAnsi="Times New Roman" w:eastAsia="黑体" w:cs="Times New Roman"/>
          <w:color w:val="auto"/>
          <w:kern w:val="0"/>
          <w:sz w:val="32"/>
          <w:szCs w:val="32"/>
          <w:highlight w:val="none"/>
          <w:shd w:val="clear" w:color="auto" w:fill="FFFFFF"/>
          <w:lang w:val="zh-CN"/>
        </w:rPr>
      </w:pPr>
    </w:p>
    <w:p w14:paraId="7F1D2FCC">
      <w:pPr>
        <w:rPr>
          <w:rFonts w:hint="default" w:ascii="Times New Roman" w:hAnsi="Times New Roman" w:eastAsia="方正小标宋简体" w:cs="Times New Roman"/>
          <w:color w:val="auto"/>
          <w:kern w:val="2"/>
          <w:sz w:val="44"/>
          <w:szCs w:val="44"/>
          <w:highlight w:val="none"/>
          <w:lang w:val="en-US" w:eastAsia="zh-CN"/>
        </w:rPr>
      </w:pPr>
      <w:r>
        <w:rPr>
          <w:rFonts w:hint="default" w:ascii="Times New Roman" w:hAnsi="Times New Roman" w:eastAsia="方正小标宋简体" w:cs="Times New Roman"/>
          <w:color w:val="auto"/>
          <w:kern w:val="2"/>
          <w:sz w:val="44"/>
          <w:szCs w:val="44"/>
          <w:highlight w:val="none"/>
          <w:lang w:val="en-US" w:eastAsia="zh-CN"/>
        </w:rPr>
        <w:br w:type="page"/>
      </w:r>
    </w:p>
    <w:p w14:paraId="3349A64C">
      <w:pPr>
        <w:pStyle w:val="39"/>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rPr>
      </w:pPr>
    </w:p>
    <w:p w14:paraId="0F932F46">
      <w:pPr>
        <w:pStyle w:val="39"/>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rPr>
        <w:t>专项预算项目支出绩效自评报告</w:t>
      </w:r>
    </w:p>
    <w:p w14:paraId="21EDF538">
      <w:pPr>
        <w:pStyle w:val="39"/>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eastAsia="方正仿宋_GBK" w:cs="Times New Roman"/>
          <w:color w:val="auto"/>
          <w:kern w:val="2"/>
          <w:sz w:val="24"/>
          <w:szCs w:val="24"/>
          <w:highlight w:val="none"/>
        </w:rPr>
      </w:pPr>
      <w:r>
        <w:rPr>
          <w:rFonts w:hint="default" w:ascii="Times New Roman" w:hAnsi="Times New Roman" w:eastAsia="方正仿宋_GBK" w:cs="Times New Roman"/>
          <w:color w:val="auto"/>
          <w:kern w:val="2"/>
          <w:sz w:val="24"/>
          <w:szCs w:val="24"/>
        </w:rPr>
        <w:t>（</w:t>
      </w:r>
      <w:r>
        <w:rPr>
          <w:rFonts w:hint="default" w:ascii="Times New Roman" w:hAnsi="Times New Roman" w:eastAsia="方正仿宋_GBK" w:cs="Times New Roman"/>
          <w:sz w:val="24"/>
          <w:szCs w:val="24"/>
        </w:rPr>
        <w:t>四川省钽（铌）矿资源富集规律基础调查（攀枝花片区）项目</w:t>
      </w:r>
      <w:r>
        <w:rPr>
          <w:rFonts w:hint="default" w:ascii="Times New Roman" w:hAnsi="Times New Roman" w:eastAsia="方正仿宋_GBK" w:cs="Times New Roman"/>
          <w:color w:val="auto"/>
          <w:kern w:val="2"/>
          <w:sz w:val="24"/>
          <w:szCs w:val="24"/>
        </w:rPr>
        <w:t>）</w:t>
      </w:r>
    </w:p>
    <w:p w14:paraId="3A17A0B0">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14:paraId="1DADE069">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3" w:firstLineChars="200"/>
        <w:jc w:val="both"/>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楷体_GB2312" w:cs="Times New Roman"/>
          <w:b/>
          <w:color w:val="auto"/>
          <w:sz w:val="32"/>
          <w:szCs w:val="32"/>
          <w:highlight w:val="none"/>
          <w:u w:val="none"/>
          <w:lang w:val="zh-CN"/>
        </w:rPr>
        <w:t>（一）项目基本情况。</w:t>
      </w:r>
      <w:r>
        <w:rPr>
          <w:rFonts w:hint="default" w:ascii="Times New Roman" w:hAnsi="Times New Roman" w:eastAsia="仿宋_GB2312" w:cs="Times New Roman"/>
          <w:kern w:val="2"/>
          <w:sz w:val="32"/>
          <w:szCs w:val="32"/>
          <w:lang w:val="en-US" w:eastAsia="zh-CN" w:bidi="ar-SA"/>
        </w:rPr>
        <w:t>四川省钽（铌）矿资源富集规律基础调查（攀枝花片区）项目于2024年3月6日市政府第57次常务会议审议通过。4月12日，市政府与四川省自然资源厅签订该项目《战略性矿产地质勘查项目合作协议》，该项目由市财政全额投资。2024年7月23日中共攀枝花市自然资源和规划局党组第 24 次（扩大）会议同意该项目，项目预算经费：54.55万元。10月12日该项目已入库并报送市财政局审核。10月22日通过政府采购发布项目采购意向公告，11月21日采购计划走完程序，签订代理协议，11月22日发布竞争性磋商公告，12月6日开标四川省综合地质调查研究所中标，最终中标价格54.55万元，12月6日发布中标（成交）通知书，12月11日签订合同，2025年1月28日完成四川省钽（铌）矿资源富集规律基础调查（攀枝花片区）项目设计书。</w:t>
      </w:r>
    </w:p>
    <w:p w14:paraId="57B68140">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项目主管部门为市自然资源和规划局，主要职责是负责项目组织、实施、监督和验收等。</w:t>
      </w:r>
    </w:p>
    <w:p w14:paraId="32A46EFF">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方正楷体_GBK" w:cs="Times New Roman"/>
          <w:b/>
          <w:color w:val="auto"/>
          <w:sz w:val="32"/>
          <w:szCs w:val="32"/>
          <w:highlight w:val="none"/>
          <w:u w:val="none"/>
          <w:lang w:val="zh-CN"/>
        </w:rPr>
        <w:t>（二）</w:t>
      </w:r>
      <w:r>
        <w:rPr>
          <w:rFonts w:hint="default" w:ascii="Times New Roman" w:hAnsi="Times New Roman" w:eastAsia="方正楷体_GBK" w:cs="Times New Roman"/>
          <w:b/>
          <w:color w:val="auto"/>
          <w:sz w:val="32"/>
          <w:szCs w:val="32"/>
          <w:highlight w:val="none"/>
          <w:u w:val="none"/>
          <w:lang w:val="en-US" w:eastAsia="zh-CN"/>
        </w:rPr>
        <w:t>项目绩效目标</w:t>
      </w:r>
      <w:r>
        <w:rPr>
          <w:rFonts w:hint="default" w:ascii="Times New Roman" w:hAnsi="Times New Roman" w:eastAsia="楷体_GB2312" w:cs="Times New Roman"/>
          <w:b/>
          <w:color w:val="auto"/>
          <w:sz w:val="32"/>
          <w:szCs w:val="32"/>
          <w:highlight w:val="none"/>
          <w:u w:val="none"/>
          <w:lang w:val="zh-CN"/>
        </w:rPr>
        <w:t>。</w:t>
      </w:r>
      <w:r>
        <w:rPr>
          <w:rFonts w:hint="default" w:ascii="Times New Roman" w:hAnsi="Times New Roman" w:eastAsia="仿宋_GB2312" w:cs="Times New Roman"/>
          <w:kern w:val="2"/>
          <w:sz w:val="32"/>
          <w:szCs w:val="32"/>
          <w:lang w:val="en-US" w:eastAsia="zh-CN" w:bidi="ar-SA"/>
        </w:rPr>
        <w:t>本项目的主要内容是完成四川省钽（铌）矿资源富集规律基础调查（攀枝花片区）评价，</w:t>
      </w:r>
      <w:r>
        <w:rPr>
          <w:rFonts w:hint="default" w:ascii="Times New Roman" w:hAnsi="Times New Roman" w:eastAsia="仿宋_GB2312" w:cs="Times New Roman"/>
          <w:kern w:val="2"/>
          <w:sz w:val="32"/>
          <w:szCs w:val="32"/>
          <w:lang w:val="zh-CN" w:eastAsia="zh-CN" w:bidi="ar-SA"/>
        </w:rPr>
        <w:t>形成《</w:t>
      </w:r>
      <w:r>
        <w:rPr>
          <w:rFonts w:hint="default" w:ascii="Times New Roman" w:hAnsi="Times New Roman" w:eastAsia="仿宋_GB2312" w:cs="Times New Roman"/>
          <w:kern w:val="2"/>
          <w:sz w:val="32"/>
          <w:szCs w:val="32"/>
          <w:lang w:val="en-US" w:eastAsia="zh-CN" w:bidi="ar-SA"/>
        </w:rPr>
        <w:t>四川省钽（铌）矿资源富集规律基础调查（攀枝花片区）</w:t>
      </w:r>
      <w:r>
        <w:rPr>
          <w:rFonts w:hint="default" w:ascii="Times New Roman" w:hAnsi="Times New Roman" w:eastAsia="仿宋_GB2312" w:cs="Times New Roman"/>
          <w:kern w:val="2"/>
          <w:sz w:val="32"/>
          <w:szCs w:val="32"/>
          <w:lang w:val="zh-CN" w:eastAsia="zh-CN" w:bidi="ar-SA"/>
        </w:rPr>
        <w:t>》评价报告，按时开展项目成果报告通过专家评审、验收</w:t>
      </w:r>
      <w:r>
        <w:rPr>
          <w:rFonts w:hint="eastAsia" w:eastAsia="仿宋_GB2312" w:cs="Times New Roman"/>
          <w:kern w:val="2"/>
          <w:sz w:val="32"/>
          <w:szCs w:val="32"/>
          <w:lang w:val="zh-CN" w:eastAsia="zh-CN" w:bidi="ar-SA"/>
        </w:rPr>
        <w:t>，以</w:t>
      </w:r>
      <w:r>
        <w:rPr>
          <w:rFonts w:hint="default" w:ascii="Times New Roman" w:hAnsi="Times New Roman" w:eastAsia="仿宋_GB2312" w:cs="Times New Roman"/>
          <w:kern w:val="2"/>
          <w:sz w:val="32"/>
          <w:szCs w:val="32"/>
          <w:lang w:val="zh-CN" w:eastAsia="zh-CN" w:bidi="ar-SA"/>
        </w:rPr>
        <w:t>及服务对象满意度等。</w:t>
      </w:r>
    </w:p>
    <w:p w14:paraId="1E7DA44C">
      <w:pPr>
        <w:snapToGrid w:val="0"/>
        <w:spacing w:line="600" w:lineRule="exact"/>
        <w:ind w:firstLine="643"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方正楷体_GBK" w:cs="Times New Roman"/>
          <w:b/>
          <w:color w:val="auto"/>
          <w:sz w:val="32"/>
          <w:szCs w:val="32"/>
          <w:highlight w:val="none"/>
          <w:u w:val="none"/>
          <w:lang w:val="zh-CN" w:eastAsia="zh-CN"/>
        </w:rPr>
        <w:t>（三）</w:t>
      </w:r>
      <w:r>
        <w:rPr>
          <w:rFonts w:hint="default" w:ascii="Times New Roman" w:hAnsi="Times New Roman" w:eastAsia="方正楷体_GBK" w:cs="Times New Roman"/>
          <w:b/>
          <w:color w:val="auto"/>
          <w:sz w:val="32"/>
          <w:szCs w:val="32"/>
          <w:highlight w:val="none"/>
          <w:u w:val="none"/>
          <w:lang w:val="en-US" w:eastAsia="zh-CN"/>
        </w:rPr>
        <w:t>项目自评步骤及方法</w:t>
      </w:r>
      <w:r>
        <w:rPr>
          <w:rFonts w:hint="default" w:ascii="Times New Roman" w:hAnsi="Times New Roman" w:eastAsia="楷体_GB2312" w:cs="Times New Roman"/>
          <w:b/>
          <w:color w:val="auto"/>
          <w:sz w:val="32"/>
          <w:szCs w:val="32"/>
          <w:highlight w:val="none"/>
          <w:u w:val="none"/>
          <w:lang w:val="zh-CN"/>
        </w:rPr>
        <w:t>。</w:t>
      </w:r>
      <w:r>
        <w:rPr>
          <w:rFonts w:hint="default" w:ascii="Times New Roman" w:hAnsi="Times New Roman" w:eastAsia="仿宋_GB2312" w:cs="Times New Roman"/>
          <w:kern w:val="2"/>
          <w:sz w:val="32"/>
          <w:szCs w:val="32"/>
          <w:lang w:val="en-US" w:eastAsia="zh-CN" w:bidi="ar-SA"/>
        </w:rPr>
        <w:t>本项目通过现场踏勘、与项目相关人员座谈或讨论、聘请相关专业专家、市场调研了解项目情况，收集相关资料，综合分析相关情况后，对项目的立项必要性、投入经济性、目标合理性、方案可行性以及筹资合规性实施评估。</w:t>
      </w:r>
    </w:p>
    <w:p w14:paraId="5AE768E5">
      <w:pPr>
        <w:adjustRightInd w:val="0"/>
        <w:snapToGrid w:val="0"/>
        <w:spacing w:line="600" w:lineRule="exact"/>
        <w:ind w:firstLine="720"/>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二、项目资金申报及使用情况</w:t>
      </w:r>
    </w:p>
    <w:p w14:paraId="4C99FB51">
      <w:pPr>
        <w:adjustRightInd w:val="0"/>
        <w:snapToGrid w:val="0"/>
        <w:spacing w:line="600" w:lineRule="exact"/>
        <w:ind w:firstLine="720"/>
        <w:rPr>
          <w:rFonts w:hint="default" w:ascii="Times New Roman" w:hAnsi="Times New Roman" w:eastAsia="方正楷体_GBK" w:cs="Times New Roman"/>
          <w:b/>
          <w:sz w:val="32"/>
          <w:szCs w:val="32"/>
          <w:lang w:val="zh-CN"/>
        </w:rPr>
      </w:pPr>
      <w:r>
        <w:rPr>
          <w:rFonts w:hint="default" w:ascii="Times New Roman" w:hAnsi="Times New Roman" w:eastAsia="方正楷体_GBK" w:cs="Times New Roman"/>
          <w:b/>
          <w:sz w:val="32"/>
          <w:szCs w:val="32"/>
          <w:lang w:val="zh-CN"/>
        </w:rPr>
        <w:t>（一）项目资金申报及批复情况</w:t>
      </w:r>
    </w:p>
    <w:p w14:paraId="2CD8AC18">
      <w:pPr>
        <w:snapToGrid w:val="0"/>
        <w:spacing w:line="600" w:lineRule="exact"/>
        <w:ind w:firstLine="640"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四川省钽（铌）矿资源富集规律基础调查（攀枝花片区）项目于2024年3月6日市政府第57次常务会议审议通过。4月12日，市政府与四川省自然资源厅签订该项目《战略性矿产地质勘查项目合作协议》，该项目由市财政全额投资。2024年7月23日中共攀枝花市自然资源和规划局党组第 24 次（扩大）会议同意该项目，项目预算经费：54.55万元。10月12日该项目已入库并报送市财政局审核。10月22日通过政府采购发布项目采购意向公告，11月21日采购计划走完程序，签订代理协议，11月22日发布竞争性磋商公告，12月6日开标四川省综合地质调查研究所中标，最终中标价格54.55万元。</w:t>
      </w:r>
    </w:p>
    <w:p w14:paraId="08F3EB3D">
      <w:pPr>
        <w:adjustRightInd w:val="0"/>
        <w:snapToGrid w:val="0"/>
        <w:spacing w:line="600" w:lineRule="exact"/>
        <w:ind w:firstLine="720"/>
        <w:rPr>
          <w:rFonts w:hint="default" w:ascii="Times New Roman" w:hAnsi="Times New Roman" w:eastAsia="方正楷体_GBK" w:cs="Times New Roman"/>
          <w:sz w:val="32"/>
          <w:szCs w:val="32"/>
          <w:lang w:val="zh-CN"/>
        </w:rPr>
      </w:pPr>
      <w:r>
        <w:rPr>
          <w:rFonts w:hint="default" w:ascii="Times New Roman" w:hAnsi="Times New Roman" w:eastAsia="方正楷体_GBK" w:cs="Times New Roman"/>
          <w:b/>
          <w:sz w:val="32"/>
          <w:szCs w:val="32"/>
          <w:lang w:val="zh-CN"/>
        </w:rPr>
        <w:t>（二）资金计划、到位及使用情况（可用表格形式反映）</w:t>
      </w:r>
    </w:p>
    <w:p w14:paraId="02D90D55">
      <w:pPr>
        <w:adjustRightInd w:val="0"/>
        <w:snapToGrid w:val="0"/>
        <w:spacing w:line="600" w:lineRule="exact"/>
        <w:ind w:firstLine="720"/>
        <w:rPr>
          <w:rFonts w:hint="default" w:ascii="Times New Roman" w:hAnsi="Times New Roman" w:eastAsia="仿宋_GB2312" w:cs="Times New Roman"/>
          <w:kern w:val="2"/>
          <w:sz w:val="32"/>
          <w:szCs w:val="32"/>
          <w:lang w:val="en-US" w:eastAsia="zh-CN" w:bidi="ar-SA"/>
        </w:rPr>
      </w:pPr>
      <w:r>
        <w:rPr>
          <w:rFonts w:hint="eastAsia" w:eastAsia="方正仿宋_GBK" w:cs="Times New Roman"/>
          <w:sz w:val="32"/>
          <w:szCs w:val="32"/>
          <w:lang w:val="zh-CN"/>
        </w:rPr>
        <w:t>1.</w:t>
      </w:r>
      <w:r>
        <w:rPr>
          <w:rFonts w:hint="default" w:ascii="Times New Roman" w:hAnsi="Times New Roman" w:eastAsia="仿宋_GB2312" w:cs="Times New Roman"/>
          <w:kern w:val="2"/>
          <w:sz w:val="32"/>
          <w:szCs w:val="32"/>
          <w:lang w:val="zh-CN" w:eastAsia="zh-CN" w:bidi="ar-SA"/>
        </w:rPr>
        <w:t>资金计划。按照合同约定，项目</w:t>
      </w:r>
      <w:r>
        <w:rPr>
          <w:rFonts w:hint="default" w:ascii="Times New Roman" w:hAnsi="Times New Roman" w:eastAsia="仿宋_GB2312" w:cs="Times New Roman"/>
          <w:kern w:val="2"/>
          <w:sz w:val="32"/>
          <w:szCs w:val="32"/>
          <w:lang w:val="en-US" w:eastAsia="zh-CN" w:bidi="ar-SA"/>
        </w:rPr>
        <w:t>2025申请资金10.91万元。</w:t>
      </w:r>
    </w:p>
    <w:p w14:paraId="1E9BB14A">
      <w:pPr>
        <w:adjustRightInd w:val="0"/>
        <w:snapToGrid w:val="0"/>
        <w:spacing w:line="600" w:lineRule="exact"/>
        <w:ind w:firstLine="720"/>
        <w:rPr>
          <w:rFonts w:hint="default" w:ascii="Times New Roman" w:hAnsi="Times New Roman" w:eastAsia="仿宋_GB2312" w:cs="Times New Roman"/>
          <w:kern w:val="2"/>
          <w:sz w:val="32"/>
          <w:szCs w:val="32"/>
          <w:lang w:val="en-US" w:eastAsia="zh-CN" w:bidi="ar-SA"/>
        </w:rPr>
      </w:pPr>
      <w:r>
        <w:rPr>
          <w:rFonts w:hint="eastAsia" w:eastAsia="方正仿宋_GBK" w:cs="Times New Roman"/>
          <w:sz w:val="32"/>
          <w:szCs w:val="32"/>
          <w:lang w:val="zh-CN"/>
        </w:rPr>
        <w:t>2.</w:t>
      </w:r>
      <w:r>
        <w:rPr>
          <w:rFonts w:hint="default" w:ascii="Times New Roman" w:hAnsi="Times New Roman" w:eastAsia="仿宋_GB2312" w:cs="Times New Roman"/>
          <w:kern w:val="2"/>
          <w:sz w:val="32"/>
          <w:szCs w:val="32"/>
          <w:lang w:val="zh-CN" w:eastAsia="zh-CN" w:bidi="ar-SA"/>
        </w:rPr>
        <w:t>资金到位。项目</w:t>
      </w:r>
      <w:r>
        <w:rPr>
          <w:rFonts w:hint="default" w:ascii="Times New Roman" w:hAnsi="Times New Roman" w:eastAsia="仿宋_GB2312" w:cs="Times New Roman"/>
          <w:kern w:val="2"/>
          <w:sz w:val="32"/>
          <w:szCs w:val="32"/>
          <w:lang w:val="en-US" w:eastAsia="zh-CN" w:bidi="ar-SA"/>
        </w:rPr>
        <w:t>2025年度拨付资金10.91万元，资金到位。</w:t>
      </w:r>
    </w:p>
    <w:p w14:paraId="012EAE99">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eastAsia" w:eastAsia="方正仿宋_GBK" w:cs="Times New Roman"/>
          <w:sz w:val="32"/>
          <w:szCs w:val="32"/>
          <w:lang w:val="zh-CN"/>
        </w:rPr>
        <w:t>3.</w:t>
      </w:r>
      <w:r>
        <w:rPr>
          <w:rFonts w:hint="default" w:ascii="Times New Roman" w:hAnsi="Times New Roman" w:eastAsia="仿宋_GB2312" w:cs="Times New Roman"/>
          <w:kern w:val="2"/>
          <w:sz w:val="32"/>
          <w:szCs w:val="32"/>
          <w:lang w:val="zh-CN" w:eastAsia="zh-CN" w:bidi="ar-SA"/>
        </w:rPr>
        <w:t>资金使用。</w:t>
      </w:r>
      <w:r>
        <w:rPr>
          <w:rFonts w:hint="default" w:ascii="Times New Roman" w:hAnsi="Times New Roman" w:eastAsia="仿宋_GB2312" w:cs="Times New Roman"/>
          <w:kern w:val="2"/>
          <w:sz w:val="32"/>
          <w:szCs w:val="32"/>
          <w:lang w:val="en-US" w:eastAsia="zh-CN" w:bidi="ar-SA"/>
        </w:rPr>
        <w:t>经供应商申请，按照合同约定进行费用支付。</w:t>
      </w:r>
    </w:p>
    <w:p w14:paraId="43A8517D">
      <w:pPr>
        <w:adjustRightInd w:val="0"/>
        <w:snapToGrid w:val="0"/>
        <w:spacing w:line="600" w:lineRule="exact"/>
        <w:ind w:firstLine="720"/>
        <w:rPr>
          <w:rFonts w:hint="default" w:ascii="Times New Roman" w:hAnsi="Times New Roman" w:eastAsia="方正楷体_GBK" w:cs="Times New Roman"/>
          <w:b/>
          <w:sz w:val="32"/>
          <w:szCs w:val="32"/>
          <w:lang w:val="zh-CN"/>
        </w:rPr>
      </w:pPr>
      <w:r>
        <w:rPr>
          <w:rFonts w:hint="default" w:ascii="Times New Roman" w:hAnsi="Times New Roman" w:eastAsia="方正楷体_GBK" w:cs="Times New Roman"/>
          <w:b/>
          <w:sz w:val="32"/>
          <w:szCs w:val="32"/>
          <w:lang w:val="zh-CN"/>
        </w:rPr>
        <w:t>（三）项目财务管理情况</w:t>
      </w:r>
    </w:p>
    <w:p w14:paraId="01193DB8">
      <w:pPr>
        <w:adjustRightInd w:val="0"/>
        <w:snapToGrid w:val="0"/>
        <w:spacing w:line="560" w:lineRule="exact"/>
        <w:ind w:firstLine="720"/>
        <w:rPr>
          <w:rFonts w:hint="default" w:ascii="Times New Roman" w:hAnsi="Times New Roman" w:eastAsia="方正仿宋_GBK" w:cs="Times New Roman"/>
          <w:sz w:val="32"/>
          <w:szCs w:val="32"/>
          <w:lang w:val="zh-CN"/>
        </w:rPr>
      </w:pPr>
      <w:r>
        <w:rPr>
          <w:rFonts w:hint="default" w:ascii="Times New Roman" w:hAnsi="Times New Roman" w:eastAsia="仿宋_GB2312" w:cs="Times New Roman"/>
          <w:kern w:val="2"/>
          <w:sz w:val="32"/>
          <w:szCs w:val="32"/>
          <w:lang w:val="zh-CN" w:eastAsia="zh-CN" w:bidi="ar-SA"/>
        </w:rPr>
        <w:t>按照攀枝花市自然资源和规划局资金管理制度进行项目资金管理，</w:t>
      </w:r>
      <w:r>
        <w:rPr>
          <w:rFonts w:hint="default" w:ascii="Times New Roman" w:hAnsi="Times New Roman" w:eastAsia="仿宋_GB2312" w:cs="Times New Roman"/>
          <w:kern w:val="2"/>
          <w:sz w:val="32"/>
          <w:szCs w:val="32"/>
          <w:lang w:val="en-US" w:eastAsia="zh-CN" w:bidi="ar-SA"/>
        </w:rPr>
        <w:t>财务处理及时，会计核算规范</w:t>
      </w:r>
      <w:r>
        <w:rPr>
          <w:rFonts w:hint="default" w:ascii="Times New Roman" w:hAnsi="Times New Roman" w:eastAsia="仿宋_GB2312" w:cs="Times New Roman"/>
          <w:kern w:val="2"/>
          <w:sz w:val="32"/>
          <w:szCs w:val="32"/>
          <w:lang w:val="zh-CN" w:eastAsia="zh-CN" w:bidi="ar-SA"/>
        </w:rPr>
        <w:t>。</w:t>
      </w:r>
    </w:p>
    <w:p w14:paraId="6DD51CD3">
      <w:pPr>
        <w:adjustRightInd w:val="0"/>
        <w:snapToGrid w:val="0"/>
        <w:spacing w:line="600" w:lineRule="exact"/>
        <w:ind w:firstLine="720"/>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三、项目实施及管理情况</w:t>
      </w:r>
    </w:p>
    <w:p w14:paraId="65CCE97B">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方正楷体_GBK" w:cs="Times New Roman"/>
          <w:b/>
          <w:sz w:val="32"/>
          <w:szCs w:val="32"/>
          <w:lang w:val="zh-CN"/>
        </w:rPr>
        <w:t>（一）项目组织架构及实施流程</w:t>
      </w:r>
      <w:r>
        <w:rPr>
          <w:rFonts w:hint="default" w:ascii="Times New Roman" w:hAnsi="Times New Roman" w:eastAsia="仿宋_GB2312" w:cs="Times New Roman"/>
          <w:kern w:val="2"/>
          <w:sz w:val="32"/>
          <w:szCs w:val="32"/>
          <w:lang w:val="zh-CN" w:eastAsia="zh-CN" w:bidi="ar-SA"/>
        </w:rPr>
        <w:t>。</w:t>
      </w:r>
      <w:r>
        <w:rPr>
          <w:rFonts w:hint="default" w:ascii="Times New Roman" w:hAnsi="Times New Roman" w:eastAsia="仿宋_GB2312" w:cs="Times New Roman"/>
          <w:kern w:val="2"/>
          <w:sz w:val="32"/>
          <w:szCs w:val="32"/>
          <w:lang w:val="en-US" w:eastAsia="zh-CN" w:bidi="ar-SA"/>
        </w:rPr>
        <w:t>局财务科负责资金来源，保障资金支付；局地质矿产保护监督科会同矿业权管理科、财务科、法规科通过专家评审、验收工作。</w:t>
      </w:r>
    </w:p>
    <w:p w14:paraId="60F6F9C2">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方正楷体_GBK" w:cs="Times New Roman"/>
          <w:b/>
          <w:sz w:val="32"/>
          <w:szCs w:val="32"/>
          <w:lang w:val="zh-CN"/>
        </w:rPr>
        <w:t>（二）项目管理情况</w:t>
      </w:r>
      <w:r>
        <w:rPr>
          <w:rFonts w:hint="default" w:ascii="Times New Roman" w:hAnsi="Times New Roman" w:eastAsia="仿宋_GB2312" w:cs="Times New Roman"/>
          <w:kern w:val="2"/>
          <w:sz w:val="32"/>
          <w:szCs w:val="32"/>
          <w:lang w:val="zh-CN" w:eastAsia="zh-CN" w:bidi="ar-SA"/>
        </w:rPr>
        <w:t>。结合项目特点，总体评价各项目实施单位执行相关法律法规及项目管理制度等情况，如招投标、政府采购、项目公示制等相关规定。</w:t>
      </w:r>
    </w:p>
    <w:p w14:paraId="4F01A4A9">
      <w:pPr>
        <w:adjustRightInd w:val="0"/>
        <w:snapToGrid w:val="0"/>
        <w:spacing w:line="600" w:lineRule="exact"/>
        <w:ind w:firstLine="72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方正楷体_GBK" w:cs="Times New Roman"/>
          <w:b/>
          <w:sz w:val="32"/>
          <w:szCs w:val="32"/>
          <w:lang w:val="zh-CN"/>
        </w:rPr>
        <w:t>（三）项目监管情况</w:t>
      </w:r>
      <w:r>
        <w:rPr>
          <w:rFonts w:hint="default" w:ascii="Times New Roman" w:hAnsi="Times New Roman" w:eastAsia="仿宋_GB2312" w:cs="Times New Roman"/>
          <w:kern w:val="2"/>
          <w:sz w:val="32"/>
          <w:szCs w:val="32"/>
          <w:lang w:val="zh-CN" w:eastAsia="zh-CN" w:bidi="ar-SA"/>
        </w:rPr>
        <w:t>。</w:t>
      </w:r>
      <w:r>
        <w:rPr>
          <w:rFonts w:hint="default" w:ascii="Times New Roman" w:hAnsi="Times New Roman" w:eastAsia="仿宋_GB2312" w:cs="Times New Roman"/>
          <w:kern w:val="2"/>
          <w:sz w:val="32"/>
          <w:szCs w:val="32"/>
          <w:lang w:val="en-US" w:eastAsia="zh-CN" w:bidi="ar-SA"/>
        </w:rPr>
        <w:t>四川省钽（铌）矿资源富集规律基础调查（攀枝花片区）项目于2024年3月6日市政府第57次常务会议审议通过。4月12日，市政府与四川省自然资源厅签订该项目《战略性矿产地质勘查项目合作协议》，该项目由市财政全额投资。2024年7月23日中共攀枝花市自然资源和规划局党组第 24 次（扩大）会议同意该项目，项目预算经费：54.55万元。10月12日该项目已入库并报送市财政局审核。10月22日通过政府采购发布项目采购意向公告，11月21日采购计划走完程序，签订代理协议，11月22日发布竞争性磋商公告，12月6日开标四川省综合地质调查研究所中标，最终中标价格54.55万元。目前已完成野外工作验收，正在进行野外资料整理、图件制作、报告编写等工作。</w:t>
      </w:r>
    </w:p>
    <w:p w14:paraId="2271839E">
      <w:pPr>
        <w:adjustRightInd w:val="0"/>
        <w:snapToGrid w:val="0"/>
        <w:spacing w:line="600" w:lineRule="exact"/>
        <w:ind w:firstLine="720"/>
        <w:rPr>
          <w:rFonts w:hint="default" w:ascii="Times New Roman" w:hAnsi="Times New Roman" w:eastAsia="方正黑体_GBK" w:cs="Times New Roman"/>
          <w:sz w:val="32"/>
          <w:szCs w:val="32"/>
          <w:lang w:val="zh-CN"/>
        </w:rPr>
      </w:pPr>
      <w:r>
        <w:rPr>
          <w:rFonts w:hint="default" w:ascii="Times New Roman" w:hAnsi="Times New Roman" w:eastAsia="方正黑体_GBK" w:cs="Times New Roman"/>
          <w:sz w:val="32"/>
          <w:szCs w:val="32"/>
        </w:rPr>
        <w:t>四、项目绩效情况</w:t>
      </w:r>
      <w:r>
        <w:rPr>
          <w:rFonts w:hint="default" w:ascii="Times New Roman" w:hAnsi="Times New Roman" w:eastAsia="方正黑体_GBK" w:cs="Times New Roman"/>
          <w:sz w:val="32"/>
          <w:szCs w:val="32"/>
          <w:lang w:val="zh-CN"/>
        </w:rPr>
        <w:tab/>
      </w:r>
    </w:p>
    <w:p w14:paraId="2C0AEE4A">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方正楷体_GBK" w:cs="Times New Roman"/>
          <w:b/>
          <w:sz w:val="32"/>
          <w:szCs w:val="32"/>
          <w:lang w:val="zh-CN"/>
        </w:rPr>
        <w:t>（一）项目完成情况</w:t>
      </w:r>
    </w:p>
    <w:p w14:paraId="0DD6D212">
      <w:pPr>
        <w:adjustRightInd w:val="0"/>
        <w:snapToGrid w:val="0"/>
        <w:spacing w:line="600" w:lineRule="exact"/>
        <w:ind w:firstLine="72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目前已完成野外工作验收，正在进行野外资料整理、图件制作、报告编写等工作。</w:t>
      </w:r>
    </w:p>
    <w:p w14:paraId="64AAD8DF">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方正楷体_GBK" w:cs="Times New Roman"/>
          <w:b/>
          <w:sz w:val="32"/>
          <w:szCs w:val="32"/>
          <w:lang w:val="zh-CN"/>
        </w:rPr>
        <w:t>（二）项目效益情况</w:t>
      </w:r>
    </w:p>
    <w:p w14:paraId="4A443D42">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预计提交一处铌矿（化）点，找矿靶区一处/提交一处铌矿（化）点，找矿靶区一处</w:t>
      </w:r>
      <w:r>
        <w:rPr>
          <w:rFonts w:hint="eastAsia" w:eastAsia="仿宋_GB2312" w:cs="Times New Roman"/>
          <w:kern w:val="2"/>
          <w:sz w:val="32"/>
          <w:szCs w:val="32"/>
          <w:lang w:val="zh-CN" w:eastAsia="zh-CN" w:bidi="ar-SA"/>
        </w:rPr>
        <w:t>。</w:t>
      </w:r>
    </w:p>
    <w:p w14:paraId="1E5F3BA3">
      <w:pPr>
        <w:adjustRightInd w:val="0"/>
        <w:snapToGrid w:val="0"/>
        <w:spacing w:line="600" w:lineRule="exact"/>
        <w:ind w:firstLine="640" w:firstLineChars="200"/>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五、评价结论及建议</w:t>
      </w:r>
    </w:p>
    <w:p w14:paraId="24BC2843">
      <w:pPr>
        <w:adjustRightInd w:val="0"/>
        <w:snapToGrid w:val="0"/>
        <w:spacing w:line="600" w:lineRule="exact"/>
        <w:ind w:firstLine="720"/>
        <w:rPr>
          <w:rFonts w:hint="default" w:ascii="Times New Roman" w:hAnsi="Times New Roman" w:eastAsia="方正楷体_GBK" w:cs="Times New Roman"/>
          <w:b/>
          <w:sz w:val="32"/>
          <w:szCs w:val="32"/>
          <w:lang w:val="zh-CN"/>
        </w:rPr>
      </w:pPr>
      <w:r>
        <w:rPr>
          <w:rFonts w:hint="default" w:ascii="Times New Roman" w:hAnsi="Times New Roman" w:eastAsia="方正楷体_GBK" w:cs="Times New Roman"/>
          <w:b/>
          <w:sz w:val="32"/>
          <w:szCs w:val="32"/>
          <w:lang w:val="zh-CN"/>
        </w:rPr>
        <w:t>（一）评价结论</w:t>
      </w:r>
    </w:p>
    <w:p w14:paraId="059D6483">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该</w:t>
      </w:r>
      <w:r>
        <w:rPr>
          <w:rFonts w:hint="eastAsia" w:eastAsia="仿宋_GB2312" w:cs="Times New Roman"/>
          <w:kern w:val="2"/>
          <w:sz w:val="32"/>
          <w:szCs w:val="32"/>
          <w:lang w:val="zh-CN" w:eastAsia="zh-CN" w:bidi="ar-SA"/>
        </w:rPr>
        <w:t>项目</w:t>
      </w:r>
      <w:r>
        <w:rPr>
          <w:rFonts w:hint="default" w:ascii="Times New Roman" w:hAnsi="Times New Roman" w:eastAsia="仿宋_GB2312" w:cs="Times New Roman"/>
          <w:kern w:val="2"/>
          <w:sz w:val="32"/>
          <w:szCs w:val="32"/>
          <w:lang w:val="zh-CN" w:eastAsia="zh-CN" w:bidi="ar-SA"/>
        </w:rPr>
        <w:t>目前还在实施。</w:t>
      </w:r>
    </w:p>
    <w:p w14:paraId="458B7A15">
      <w:pPr>
        <w:adjustRightInd w:val="0"/>
        <w:snapToGrid w:val="0"/>
        <w:spacing w:line="600" w:lineRule="exact"/>
        <w:ind w:firstLine="720"/>
        <w:rPr>
          <w:rFonts w:hint="default" w:ascii="Times New Roman" w:hAnsi="Times New Roman" w:eastAsia="方正楷体_GBK" w:cs="Times New Roman"/>
          <w:b/>
          <w:sz w:val="32"/>
          <w:szCs w:val="32"/>
          <w:lang w:val="zh-CN"/>
        </w:rPr>
      </w:pPr>
      <w:r>
        <w:rPr>
          <w:rFonts w:hint="default" w:ascii="Times New Roman" w:hAnsi="Times New Roman" w:eastAsia="方正楷体_GBK" w:cs="Times New Roman"/>
          <w:b/>
          <w:sz w:val="32"/>
          <w:szCs w:val="32"/>
          <w:lang w:val="zh-CN"/>
        </w:rPr>
        <w:t>（二）存在的问题</w:t>
      </w:r>
    </w:p>
    <w:p w14:paraId="6BD34A75">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该</w:t>
      </w:r>
      <w:r>
        <w:rPr>
          <w:rFonts w:hint="eastAsia" w:eastAsia="仿宋_GB2312" w:cs="Times New Roman"/>
          <w:kern w:val="2"/>
          <w:sz w:val="32"/>
          <w:szCs w:val="32"/>
          <w:lang w:val="zh-CN" w:eastAsia="zh-CN" w:bidi="ar-SA"/>
        </w:rPr>
        <w:t>项目</w:t>
      </w:r>
      <w:r>
        <w:rPr>
          <w:rFonts w:hint="default" w:ascii="Times New Roman" w:hAnsi="Times New Roman" w:eastAsia="仿宋_GB2312" w:cs="Times New Roman"/>
          <w:kern w:val="2"/>
          <w:sz w:val="32"/>
          <w:szCs w:val="32"/>
          <w:lang w:val="zh-CN" w:eastAsia="zh-CN" w:bidi="ar-SA"/>
        </w:rPr>
        <w:t>目前还在实施。</w:t>
      </w:r>
      <w:r>
        <w:rPr>
          <w:rFonts w:hint="default" w:ascii="Times New Roman" w:hAnsi="Times New Roman" w:eastAsia="仿宋_GB2312" w:cs="Times New Roman"/>
          <w:kern w:val="2"/>
          <w:sz w:val="32"/>
          <w:szCs w:val="32"/>
          <w:lang w:val="zh-CN" w:eastAsia="zh-CN" w:bidi="ar-SA"/>
        </w:rPr>
        <w:tab/>
      </w:r>
    </w:p>
    <w:p w14:paraId="64287544">
      <w:pPr>
        <w:adjustRightInd w:val="0"/>
        <w:snapToGrid w:val="0"/>
        <w:spacing w:line="600" w:lineRule="exact"/>
        <w:ind w:firstLine="720"/>
        <w:rPr>
          <w:rFonts w:hint="default" w:ascii="Times New Roman" w:hAnsi="Times New Roman" w:eastAsia="方正楷体_GBK" w:cs="Times New Roman"/>
          <w:b/>
          <w:sz w:val="32"/>
          <w:szCs w:val="32"/>
          <w:lang w:val="zh-CN"/>
        </w:rPr>
      </w:pPr>
      <w:r>
        <w:rPr>
          <w:rFonts w:hint="default" w:ascii="Times New Roman" w:hAnsi="Times New Roman" w:eastAsia="方正楷体_GBK" w:cs="Times New Roman"/>
          <w:b/>
          <w:sz w:val="32"/>
          <w:szCs w:val="32"/>
          <w:lang w:val="zh-CN"/>
        </w:rPr>
        <w:t>（三）相关建议</w:t>
      </w:r>
    </w:p>
    <w:p w14:paraId="4CB08741">
      <w:pPr>
        <w:adjustRightInd w:val="0"/>
        <w:snapToGrid w:val="0"/>
        <w:spacing w:line="600" w:lineRule="exact"/>
        <w:ind w:firstLine="720"/>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该</w:t>
      </w:r>
      <w:r>
        <w:rPr>
          <w:rFonts w:hint="eastAsia" w:eastAsia="仿宋_GB2312" w:cs="Times New Roman"/>
          <w:kern w:val="2"/>
          <w:sz w:val="32"/>
          <w:szCs w:val="32"/>
          <w:lang w:val="zh-CN" w:eastAsia="zh-CN" w:bidi="ar-SA"/>
        </w:rPr>
        <w:t>项目</w:t>
      </w:r>
      <w:r>
        <w:rPr>
          <w:rFonts w:hint="default" w:ascii="Times New Roman" w:hAnsi="Times New Roman" w:eastAsia="仿宋_GB2312" w:cs="Times New Roman"/>
          <w:kern w:val="2"/>
          <w:sz w:val="32"/>
          <w:szCs w:val="32"/>
          <w:lang w:val="zh-CN" w:eastAsia="zh-CN" w:bidi="ar-SA"/>
        </w:rPr>
        <w:t>目前还在实施。</w:t>
      </w:r>
    </w:p>
    <w:p w14:paraId="6B827B0D">
      <w:pPr>
        <w:rPr>
          <w:rFonts w:ascii="Times New Roman" w:hAnsi="Times New Roman" w:eastAsia="仿宋_GB2312" w:cs="Times New Roman"/>
          <w:sz w:val="32"/>
          <w:szCs w:val="32"/>
        </w:rPr>
      </w:pPr>
    </w:p>
    <w:p w14:paraId="258EC7D6">
      <w:pPr>
        <w:rPr>
          <w:rFonts w:hint="default" w:ascii="Times New Roman" w:hAnsi="Times New Roman" w:eastAsia="仿宋_GB2312" w:cs="Times New Roman"/>
          <w:sz w:val="32"/>
          <w:szCs w:val="32"/>
          <w:lang w:val="en-US"/>
        </w:rPr>
      </w:pPr>
    </w:p>
    <w:p w14:paraId="6D6A6D33">
      <w:pPr>
        <w:rPr>
          <w:rFonts w:ascii="Times New Roman" w:hAnsi="Times New Roman" w:eastAsia="仿宋_GB2312" w:cs="Times New Roman"/>
          <w:sz w:val="32"/>
          <w:szCs w:val="32"/>
        </w:rPr>
      </w:pPr>
    </w:p>
    <w:p w14:paraId="6FBC8D4E">
      <w:pPr>
        <w:widowControl/>
        <w:jc w:val="center"/>
        <w:outlineLvl w:val="0"/>
        <w:rPr>
          <w:rFonts w:hint="eastAsia" w:ascii="Times New Roman" w:hAnsi="Times New Roman" w:eastAsia="黑体"/>
          <w:color w:val="auto"/>
          <w:sz w:val="44"/>
          <w:szCs w:val="44"/>
          <w:highlight w:val="none"/>
        </w:rPr>
      </w:pPr>
    </w:p>
    <w:p w14:paraId="591018DD">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794B068A">
      <w:pPr>
        <w:widowControl w:val="0"/>
        <w:spacing w:line="600" w:lineRule="exact"/>
        <w:ind w:firstLine="883"/>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en-US" w:eastAsia="zh-CN" w:bidi="ar-SA"/>
        </w:rPr>
        <w:t>土地评估</w:t>
      </w:r>
      <w:r>
        <w:rPr>
          <w:rFonts w:ascii="Times New Roman" w:hAnsi="Times New Roman" w:eastAsia="仿宋_GB2312" w:cs="Times New Roman"/>
          <w:color w:val="auto"/>
          <w:kern w:val="2"/>
          <w:sz w:val="32"/>
          <w:szCs w:val="32"/>
          <w:lang w:val="zh-CN" w:eastAsia="zh-CN" w:bidi="ar-SA"/>
        </w:rPr>
        <w:t>）</w:t>
      </w:r>
    </w:p>
    <w:p w14:paraId="76FC8D91">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70541E29">
      <w:pPr>
        <w:adjustRightInd w:val="0"/>
        <w:snapToGrid w:val="0"/>
        <w:spacing w:line="600" w:lineRule="exact"/>
        <w:ind w:firstLine="720"/>
        <w:rPr>
          <w:rFonts w:hint="default" w:ascii="Times New Roman" w:hAnsi="Times New Roman" w:eastAsia="黑体" w:cs="Times New Roman"/>
          <w:sz w:val="32"/>
          <w:szCs w:val="32"/>
          <w:lang w:val="zh-CN"/>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val="zh-CN"/>
        </w:rPr>
        <w:t>项目概况</w:t>
      </w:r>
    </w:p>
    <w:p w14:paraId="2C7F24B4">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（一）项目基本情况。</w:t>
      </w:r>
    </w:p>
    <w:p w14:paraId="4B560CBC">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1.根据《招标拍卖挂牌出让国有建设用地使用权规定》</w:t>
      </w:r>
      <w:r>
        <w:rPr>
          <w:rFonts w:hint="eastAsia" w:eastAsia="仿宋_GB2312" w:cs="Times New Roman"/>
          <w:sz w:val="32"/>
          <w:szCs w:val="32"/>
          <w:lang w:eastAsia="zh-CN"/>
        </w:rPr>
        <w:t>（</w:t>
      </w:r>
      <w:r>
        <w:rPr>
          <w:rFonts w:hint="default" w:ascii="Times New Roman" w:hAnsi="Times New Roman" w:eastAsia="仿宋_GB2312" w:cs="Times New Roman"/>
          <w:sz w:val="32"/>
          <w:szCs w:val="32"/>
        </w:rPr>
        <w:t>国土资源部令第39号</w:t>
      </w:r>
      <w:r>
        <w:rPr>
          <w:rFonts w:hint="eastAsia" w:eastAsia="仿宋_GB2312" w:cs="Times New Roman"/>
          <w:sz w:val="32"/>
          <w:szCs w:val="32"/>
          <w:lang w:eastAsia="zh-CN"/>
        </w:rPr>
        <w:t>）</w:t>
      </w:r>
      <w:r>
        <w:rPr>
          <w:rFonts w:hint="default" w:ascii="Times New Roman" w:hAnsi="Times New Roman" w:eastAsia="仿宋_GB2312" w:cs="Times New Roman"/>
          <w:sz w:val="32"/>
          <w:szCs w:val="32"/>
        </w:rPr>
        <w:t>“市、县人民政府国土资源行政主管部门应当根据土地估价结果和政府产业政策综合确定标底或者底价”和《协议出让国有土地使用权规定》</w:t>
      </w:r>
      <w:r>
        <w:rPr>
          <w:rFonts w:hint="eastAsia" w:eastAsia="仿宋_GB2312" w:cs="Times New Roman"/>
          <w:sz w:val="32"/>
          <w:szCs w:val="32"/>
          <w:lang w:eastAsia="zh-CN"/>
        </w:rPr>
        <w:t>（</w:t>
      </w:r>
      <w:r>
        <w:rPr>
          <w:rFonts w:hint="default" w:ascii="Times New Roman" w:hAnsi="Times New Roman" w:eastAsia="仿宋_GB2312" w:cs="Times New Roman"/>
          <w:sz w:val="32"/>
          <w:szCs w:val="32"/>
        </w:rPr>
        <w:t>国土资源部令第21号</w:t>
      </w:r>
      <w:r>
        <w:rPr>
          <w:rFonts w:hint="eastAsia" w:eastAsia="仿宋_GB2312" w:cs="Times New Roman"/>
          <w:sz w:val="32"/>
          <w:szCs w:val="32"/>
          <w:lang w:eastAsia="zh-CN"/>
        </w:rPr>
        <w:t>）</w:t>
      </w:r>
      <w:r>
        <w:rPr>
          <w:rFonts w:hint="default" w:ascii="Times New Roman" w:hAnsi="Times New Roman" w:eastAsia="仿宋_GB2312" w:cs="Times New Roman"/>
          <w:sz w:val="32"/>
          <w:szCs w:val="32"/>
        </w:rPr>
        <w:t>“市、县人民政府国土资源行政主管部门应当根据国家产业政策和拟出让地块的情况，按照《城镇土地估价规程》的规定，对拟出让地块的土地价格进行评估，经市、县人民政府国土资源行政主管部门集体决策，合理确定协议出让底价”的规定，我局负责拟出让土地地价评估工作。</w:t>
      </w:r>
    </w:p>
    <w:p w14:paraId="6A86E261">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2.《四川省自然资源厅办公室关于部署开展2019年度自然资源评价评估工作的通知》（川自然资办函〔2019〕34号）明确规定和要求，所有类型的土地评估费用都应由市（县）政府承担。</w:t>
      </w:r>
    </w:p>
    <w:p w14:paraId="2367C749">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（二）项目绩效目标。</w:t>
      </w:r>
    </w:p>
    <w:p w14:paraId="78649655">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kern w:val="0"/>
          <w:sz w:val="32"/>
          <w:szCs w:val="32"/>
        </w:rPr>
        <w:t>项目主要内容为对每宗拟出让土地进行地价评估，其中，包含的具体绩效目标有：3个一级指标、6个二级指标和6个三级指标，评价申报内容符合实际，合理可行。</w:t>
      </w:r>
    </w:p>
    <w:p w14:paraId="704BE0F4">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（三）项目自评步骤及方法。</w:t>
      </w:r>
    </w:p>
    <w:p w14:paraId="0FF2D81D">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按照有关规定和工作安排，我单位开展自行评估，通过收集被评估项目相关基础资料，并查阅资料、收集数据信息等，深入论证分析后，形成绩效评估报告。</w:t>
      </w:r>
    </w:p>
    <w:p w14:paraId="08C9D135">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二、项目资金申报及使用情况</w:t>
      </w:r>
    </w:p>
    <w:p w14:paraId="1BCD0280">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（一）项目资金申报及批复情况。</w:t>
      </w:r>
    </w:p>
    <w:p w14:paraId="5DD44DC0">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
        </w:rPr>
        <w:t>2019年10</w:t>
      </w:r>
      <w:r>
        <w:rPr>
          <w:rFonts w:hint="eastAsia" w:eastAsia="仿宋_GB2312" w:cs="Times New Roman"/>
          <w:sz w:val="32"/>
          <w:szCs w:val="32"/>
          <w:lang w:val="en" w:eastAsia="zh-CN"/>
        </w:rPr>
        <w:t>月</w:t>
      </w:r>
      <w:r>
        <w:rPr>
          <w:rFonts w:hint="default" w:ascii="Times New Roman" w:hAnsi="Times New Roman" w:eastAsia="仿宋_GB2312" w:cs="Times New Roman"/>
          <w:sz w:val="32"/>
          <w:szCs w:val="32"/>
          <w:lang w:val="en"/>
        </w:rPr>
        <w:t>31日，我局上报《关于规划国有建设</w:t>
      </w:r>
      <w:r>
        <w:rPr>
          <w:rFonts w:hint="eastAsia" w:eastAsia="仿宋_GB2312" w:cs="Times New Roman"/>
          <w:sz w:val="32"/>
          <w:szCs w:val="32"/>
          <w:lang w:val="en" w:eastAsia="zh-CN"/>
        </w:rPr>
        <w:t>用地</w:t>
      </w:r>
      <w:r>
        <w:rPr>
          <w:rFonts w:hint="default" w:ascii="Times New Roman" w:hAnsi="Times New Roman" w:eastAsia="仿宋_GB2312" w:cs="Times New Roman"/>
          <w:sz w:val="32"/>
          <w:szCs w:val="32"/>
          <w:lang w:val="en"/>
        </w:rPr>
        <w:t>使用权出让地价评估工作的请示》（攀资源规划〔2019〕265号），恳请市政府从2020年起，每年预算新增不低于50万元的土地评估费用，单独纳入年初预算。10月31日，李文飞副市长签批“拟同意，请财政提出意见”。11月28日市财政局在《关于对规范国有建设用地使用权出让地价评估工作的请示》（攀财政〔2019〕213号）中请示“建议同意市自然资源和规划局所请，自2020年起将国有建设用地使用权出让地价评估费纳入年初预算中，具体金额由当年国有建设用地使用权出让预测情况，同时综合考虑当年财力来确定”。12月3日，林建国常务副市长批示同意。</w:t>
      </w:r>
    </w:p>
    <w:p w14:paraId="56FFE105">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（二）资金计划、到位及使用情况。</w:t>
      </w:r>
    </w:p>
    <w:p w14:paraId="6DE8D35B">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1.</w:t>
      </w:r>
      <w:r>
        <w:rPr>
          <w:rFonts w:hint="default" w:ascii="Times New Roman" w:hAnsi="Times New Roman" w:eastAsia="楷体_GB2312" w:cs="Times New Roman"/>
          <w:sz w:val="32"/>
          <w:szCs w:val="32"/>
          <w:lang w:val="zh-CN"/>
        </w:rPr>
        <w:t>资金计划。</w:t>
      </w:r>
      <w:r>
        <w:rPr>
          <w:rFonts w:hint="default" w:ascii="Times New Roman" w:hAnsi="Times New Roman" w:eastAsia="仿宋_GB2312" w:cs="Times New Roman"/>
          <w:sz w:val="32"/>
          <w:szCs w:val="32"/>
        </w:rPr>
        <w:t>本次资金20</w:t>
      </w:r>
      <w:r>
        <w:rPr>
          <w:rFonts w:hint="default" w:ascii="Times New Roman" w:hAnsi="Times New Roman" w:eastAsia="仿宋_GB2312" w:cs="Times New Roman"/>
          <w:sz w:val="32"/>
          <w:szCs w:val="32"/>
          <w:lang w:val="en"/>
        </w:rPr>
        <w:t>万元均为市级</w:t>
      </w:r>
      <w:r>
        <w:rPr>
          <w:rFonts w:hint="default" w:ascii="Times New Roman" w:hAnsi="Times New Roman" w:eastAsia="仿宋_GB2312" w:cs="Times New Roman"/>
          <w:sz w:val="32"/>
          <w:szCs w:val="32"/>
          <w:lang w:val="zh-CN"/>
        </w:rPr>
        <w:t>财政资金。</w:t>
      </w:r>
    </w:p>
    <w:p w14:paraId="6FDDF21B">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2.</w:t>
      </w:r>
      <w:r>
        <w:rPr>
          <w:rFonts w:hint="default" w:ascii="Times New Roman" w:hAnsi="Times New Roman" w:eastAsia="楷体_GB2312" w:cs="Times New Roman"/>
          <w:sz w:val="32"/>
          <w:szCs w:val="32"/>
          <w:lang w:val="zh-CN"/>
        </w:rPr>
        <w:t>资金到位。</w:t>
      </w:r>
      <w:r>
        <w:rPr>
          <w:rFonts w:hint="default" w:ascii="Times New Roman" w:hAnsi="Times New Roman" w:eastAsia="仿宋_GB2312" w:cs="Times New Roman"/>
          <w:sz w:val="32"/>
          <w:szCs w:val="32"/>
          <w:lang w:val="zh-CN"/>
        </w:rPr>
        <w:t>截至评价时点已全部到位。</w:t>
      </w:r>
    </w:p>
    <w:p w14:paraId="540D6996">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eastAsia" w:eastAsia="楷体_GB2312" w:cs="Times New Roman"/>
          <w:sz w:val="32"/>
          <w:szCs w:val="32"/>
          <w:lang w:val="zh-CN"/>
        </w:rPr>
        <w:t>3.</w:t>
      </w:r>
      <w:r>
        <w:rPr>
          <w:rFonts w:hint="default" w:ascii="Times New Roman" w:hAnsi="Times New Roman" w:eastAsia="楷体_GB2312" w:cs="Times New Roman"/>
          <w:sz w:val="32"/>
          <w:szCs w:val="32"/>
          <w:lang w:val="zh-CN"/>
        </w:rPr>
        <w:t>资金使用。</w:t>
      </w:r>
      <w:r>
        <w:rPr>
          <w:rFonts w:hint="default" w:ascii="Times New Roman" w:hAnsi="Times New Roman" w:eastAsia="仿宋_GB2312" w:cs="Times New Roman"/>
          <w:sz w:val="32"/>
          <w:szCs w:val="32"/>
          <w:lang w:val="zh-CN"/>
        </w:rPr>
        <w:t>截至评价时该项目资金的实际支出</w:t>
      </w:r>
      <w:r>
        <w:rPr>
          <w:rFonts w:hint="default" w:ascii="Times New Roman" w:hAnsi="Times New Roman" w:eastAsia="仿宋_GB2312" w:cs="Times New Roman"/>
          <w:sz w:val="32"/>
          <w:szCs w:val="32"/>
        </w:rPr>
        <w:t>20</w:t>
      </w:r>
      <w:r>
        <w:rPr>
          <w:rFonts w:hint="default" w:ascii="Times New Roman" w:hAnsi="Times New Roman" w:eastAsia="仿宋_GB2312" w:cs="Times New Roman"/>
          <w:sz w:val="32"/>
          <w:szCs w:val="32"/>
          <w:lang w:val="en"/>
        </w:rPr>
        <w:t>万元</w:t>
      </w:r>
      <w:r>
        <w:rPr>
          <w:rFonts w:hint="default" w:ascii="Times New Roman" w:hAnsi="Times New Roman" w:eastAsia="仿宋_GB2312" w:cs="Times New Roman"/>
          <w:sz w:val="32"/>
          <w:szCs w:val="32"/>
          <w:lang w:val="zh-CN"/>
        </w:rPr>
        <w:t>，资金开支范围、标准及支付进度合理，支付依据合规合法，资金支付与预算相符。</w:t>
      </w:r>
    </w:p>
    <w:p w14:paraId="156FE76C">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（三）项目财务管理情况。</w:t>
      </w:r>
    </w:p>
    <w:p w14:paraId="5E8F85DE">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总体评价各项目实施单位财务管理制度是否健全，是否严格执行财务管理制度，账务处理是否及时，会计核算是否规范等。</w:t>
      </w:r>
    </w:p>
    <w:p w14:paraId="1ECA0F94">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三、项目实施及管理情况</w:t>
      </w:r>
    </w:p>
    <w:p w14:paraId="7FA1F50A">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项目实施单位财务管理制度健全，严格执行财务管理制度，账务处理及时，会计核算规范。</w:t>
      </w:r>
    </w:p>
    <w:p w14:paraId="6C78CDA1">
      <w:pPr>
        <w:adjustRightInd w:val="0"/>
        <w:snapToGrid w:val="0"/>
        <w:spacing w:line="600" w:lineRule="exact"/>
        <w:ind w:firstLine="720"/>
        <w:rPr>
          <w:rFonts w:hint="default" w:ascii="Times New Roman" w:hAnsi="Times New Roman" w:eastAsia="仿宋_GB2312" w:cs="Times New Roman"/>
          <w:b/>
          <w:sz w:val="32"/>
          <w:szCs w:val="32"/>
          <w:lang w:val="zh-CN" w:eastAsia="zh-CN"/>
        </w:rPr>
      </w:pPr>
      <w:r>
        <w:rPr>
          <w:rFonts w:hint="default" w:ascii="Times New Roman" w:hAnsi="Times New Roman" w:eastAsia="楷体_GB2312" w:cs="Times New Roman"/>
          <w:b/>
          <w:sz w:val="32"/>
          <w:szCs w:val="32"/>
          <w:lang w:val="zh-CN"/>
        </w:rPr>
        <w:t>（一）项目组织架构及实施流程。</w:t>
      </w:r>
      <w:r>
        <w:rPr>
          <w:rFonts w:hint="default" w:ascii="Times New Roman" w:hAnsi="Times New Roman" w:eastAsia="仿宋_GB2312" w:cs="Times New Roman"/>
          <w:kern w:val="0"/>
          <w:sz w:val="32"/>
          <w:szCs w:val="32"/>
        </w:rPr>
        <w:t>年初我局在门户网站上发布土地评估机构备案通知，并对申请备案的评估机构进行资质审查和备案。邀请已备案的评估机构，参与工业用地招拍挂起始价评估和协议出让土地评估公开竞价</w:t>
      </w:r>
      <w:r>
        <w:rPr>
          <w:rFonts w:hint="default" w:ascii="Times New Roman" w:hAnsi="Times New Roman" w:eastAsia="仿宋_GB2312" w:cs="Times New Roman"/>
          <w:kern w:val="0"/>
          <w:sz w:val="32"/>
          <w:szCs w:val="32"/>
          <w:lang w:eastAsia="zh-CN"/>
        </w:rPr>
        <w:t>。</w:t>
      </w:r>
    </w:p>
    <w:p w14:paraId="66715306">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（二）项目管理情况。</w:t>
      </w:r>
      <w:r>
        <w:rPr>
          <w:rFonts w:hint="default" w:ascii="Times New Roman" w:hAnsi="Times New Roman" w:eastAsia="仿宋_GB2312" w:cs="Times New Roman"/>
          <w:kern w:val="0"/>
          <w:sz w:val="32"/>
          <w:szCs w:val="32"/>
        </w:rPr>
        <w:t>经营性用地招拍挂起始价的评估，每宗地在评估单位备案库中随机抽取3家独立开展评估。工业用地招拍挂起始价评估和协议出让土地价格的评估，委托由公开竞价确定评估单位负责</w:t>
      </w:r>
      <w:r>
        <w:rPr>
          <w:rFonts w:hint="default" w:ascii="Times New Roman" w:hAnsi="Times New Roman" w:eastAsia="仿宋_GB2312" w:cs="Times New Roman"/>
          <w:sz w:val="32"/>
          <w:szCs w:val="32"/>
          <w:lang w:val="zh-CN"/>
        </w:rPr>
        <w:t>。</w:t>
      </w:r>
    </w:p>
    <w:p w14:paraId="218F05DA">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（三）项目监管情况。</w:t>
      </w:r>
      <w:r>
        <w:rPr>
          <w:rFonts w:hint="default" w:ascii="Times New Roman" w:hAnsi="Times New Roman" w:eastAsia="仿宋_GB2312" w:cs="Times New Roman"/>
          <w:kern w:val="0"/>
          <w:sz w:val="32"/>
          <w:szCs w:val="32"/>
        </w:rPr>
        <w:t>我局严格按照《攀枝花市自然资源和规划局关于印发</w:t>
      </w:r>
      <w:r>
        <w:rPr>
          <w:rFonts w:hint="eastAsia" w:eastAsia="仿宋_GB2312" w:cs="Times New Roman"/>
          <w:kern w:val="0"/>
          <w:sz w:val="32"/>
          <w:szCs w:val="32"/>
          <w:lang w:eastAsia="zh-CN"/>
        </w:rPr>
        <w:t>〈</w:t>
      </w:r>
      <w:r>
        <w:rPr>
          <w:rFonts w:hint="default" w:ascii="Times New Roman" w:hAnsi="Times New Roman" w:eastAsia="仿宋_GB2312" w:cs="Times New Roman"/>
          <w:kern w:val="0"/>
          <w:sz w:val="32"/>
          <w:szCs w:val="32"/>
        </w:rPr>
        <w:t>攀枝花市国有建设用地使用权出让评估管理暂行办法</w:t>
      </w:r>
      <w:r>
        <w:rPr>
          <w:rFonts w:hint="eastAsia" w:eastAsia="仿宋_GB2312" w:cs="Times New Roman"/>
          <w:kern w:val="0"/>
          <w:sz w:val="32"/>
          <w:szCs w:val="32"/>
          <w:lang w:eastAsia="zh-CN"/>
        </w:rPr>
        <w:t>〉的通知》</w:t>
      </w:r>
      <w:r>
        <w:rPr>
          <w:rFonts w:hint="default" w:ascii="Times New Roman" w:hAnsi="Times New Roman" w:eastAsia="仿宋_GB2312" w:cs="Times New Roman"/>
          <w:kern w:val="0"/>
          <w:sz w:val="32"/>
          <w:szCs w:val="32"/>
        </w:rPr>
        <w:t>开展土地评估工作</w:t>
      </w:r>
      <w:r>
        <w:rPr>
          <w:rFonts w:hint="default" w:ascii="Times New Roman" w:hAnsi="Times New Roman" w:eastAsia="仿宋_GB2312" w:cs="Times New Roman"/>
          <w:sz w:val="32"/>
          <w:szCs w:val="32"/>
          <w:lang w:val="zh-CN"/>
        </w:rPr>
        <w:t>。</w:t>
      </w:r>
    </w:p>
    <w:p w14:paraId="1EBB5E4A">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黑体" w:cs="Times New Roman"/>
          <w:sz w:val="32"/>
          <w:szCs w:val="32"/>
        </w:rPr>
        <w:t>四、项目绩效情况</w:t>
      </w:r>
      <w:r>
        <w:rPr>
          <w:rFonts w:hint="default" w:ascii="Times New Roman" w:hAnsi="Times New Roman" w:eastAsia="仿宋_GB2312" w:cs="Times New Roman"/>
          <w:sz w:val="32"/>
          <w:szCs w:val="32"/>
          <w:lang w:val="zh-CN"/>
        </w:rPr>
        <w:tab/>
      </w:r>
    </w:p>
    <w:p w14:paraId="30D8C506">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（一）项目完成情况。</w:t>
      </w:r>
    </w:p>
    <w:p w14:paraId="6A605A55">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仿宋_GB2312" w:cs="Times New Roman"/>
          <w:sz w:val="32"/>
          <w:szCs w:val="32"/>
          <w:lang w:val="zh-CN"/>
        </w:rPr>
        <w:t>出让宗地均完成评估工作。</w:t>
      </w:r>
    </w:p>
    <w:p w14:paraId="4A451BA0">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（二）项目效益情况。</w:t>
      </w:r>
    </w:p>
    <w:p w14:paraId="6C83F00E">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kern w:val="0"/>
          <w:sz w:val="32"/>
          <w:szCs w:val="32"/>
        </w:rPr>
        <w:t>为每一宗拟出让土地提供了价格参考</w:t>
      </w:r>
      <w:r>
        <w:rPr>
          <w:rFonts w:hint="default" w:ascii="Times New Roman" w:hAnsi="Times New Roman" w:eastAsia="仿宋_GB2312" w:cs="Times New Roman"/>
          <w:sz w:val="32"/>
          <w:szCs w:val="32"/>
          <w:lang w:val="zh-CN"/>
        </w:rPr>
        <w:t>。</w:t>
      </w:r>
    </w:p>
    <w:p w14:paraId="198F30A0">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五、评价结论及建议</w:t>
      </w:r>
    </w:p>
    <w:p w14:paraId="0E86D6CD">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（一）评价结论。</w:t>
      </w:r>
    </w:p>
    <w:p w14:paraId="1F02E472">
      <w:pPr>
        <w:adjustRightInd w:val="0"/>
        <w:snapToGrid w:val="0"/>
        <w:spacing w:line="600" w:lineRule="exact"/>
        <w:ind w:firstLine="640" w:firstLineChars="200"/>
        <w:rPr>
          <w:rFonts w:hint="default" w:ascii="Times New Roman" w:hAnsi="Times New Roman" w:eastAsia="仿宋_GB2312" w:cs="Times New Roman"/>
          <w:sz w:val="32"/>
          <w:szCs w:val="32"/>
          <w:bdr w:val="single" w:color="auto" w:sz="4" w:space="0"/>
          <w:lang w:val="zh-CN"/>
        </w:rPr>
      </w:pPr>
      <w:r>
        <w:rPr>
          <w:rFonts w:hint="default" w:ascii="Times New Roman" w:hAnsi="Times New Roman" w:eastAsia="仿宋_GB2312" w:cs="Times New Roman"/>
          <w:sz w:val="32"/>
          <w:szCs w:val="32"/>
          <w:lang w:val="zh-CN"/>
        </w:rPr>
        <w:t>合法合规，</w:t>
      </w:r>
      <w:r>
        <w:rPr>
          <w:rFonts w:hint="default" w:ascii="Times New Roman" w:hAnsi="Times New Roman" w:eastAsia="仿宋_GB2312" w:cs="Times New Roman"/>
          <w:sz w:val="32"/>
          <w:szCs w:val="32"/>
        </w:rPr>
        <w:t>绩效目标完成率100%</w:t>
      </w:r>
      <w:r>
        <w:rPr>
          <w:rFonts w:hint="default" w:ascii="Times New Roman" w:hAnsi="Times New Roman" w:eastAsia="仿宋_GB2312" w:cs="Times New Roman"/>
          <w:sz w:val="32"/>
          <w:szCs w:val="32"/>
          <w:lang w:val="zh-CN"/>
        </w:rPr>
        <w:t>。</w:t>
      </w:r>
    </w:p>
    <w:p w14:paraId="7C117282">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（二）存在的问题。</w:t>
      </w:r>
    </w:p>
    <w:p w14:paraId="55E37384">
      <w:pPr>
        <w:adjustRightInd w:val="0"/>
        <w:snapToGrid w:val="0"/>
        <w:spacing w:line="600" w:lineRule="exact"/>
        <w:ind w:firstLine="640" w:firstLineChars="20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无。</w:t>
      </w:r>
      <w:r>
        <w:rPr>
          <w:rFonts w:hint="default" w:ascii="Times New Roman" w:hAnsi="Times New Roman" w:eastAsia="仿宋_GB2312" w:cs="Times New Roman"/>
          <w:sz w:val="32"/>
          <w:szCs w:val="32"/>
          <w:lang w:val="zh-CN"/>
        </w:rPr>
        <w:tab/>
      </w:r>
    </w:p>
    <w:p w14:paraId="017FF3A5">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（三）相关建议。</w:t>
      </w:r>
    </w:p>
    <w:p w14:paraId="35673104">
      <w:pPr>
        <w:adjustRightInd w:val="0"/>
        <w:snapToGrid w:val="0"/>
        <w:spacing w:line="600" w:lineRule="exact"/>
        <w:ind w:firstLine="640" w:firstLineChars="20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无</w:t>
      </w:r>
    </w:p>
    <w:p w14:paraId="5DF1C858">
      <w:pPr>
        <w:rPr>
          <w:rFonts w:hint="default" w:ascii="Times New Roman" w:hAnsi="Times New Roman" w:eastAsia="仿宋_GB2312" w:cs="Times New Roman"/>
          <w:sz w:val="32"/>
          <w:szCs w:val="32"/>
        </w:rPr>
      </w:pPr>
    </w:p>
    <w:p w14:paraId="3B111852">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7E12166B">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50D4A416">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Times New Roman" w:hAnsi="Times New Roman" w:eastAsia="方正小标宋简体" w:cs="Times New Roman"/>
          <w:color w:val="auto"/>
          <w:kern w:val="2"/>
          <w:sz w:val="40"/>
          <w:szCs w:val="40"/>
          <w:lang w:val="zh-CN" w:eastAsia="zh-CN" w:bidi="ar-SA"/>
        </w:rPr>
        <w:t>专项预算项目支出绩效自评报告</w:t>
      </w:r>
    </w:p>
    <w:p w14:paraId="6BA40A22">
      <w:pPr>
        <w:keepNext w:val="0"/>
        <w:keepLines w:val="0"/>
        <w:widowControl w:val="0"/>
        <w:suppressLineNumbers w:val="0"/>
        <w:spacing w:before="0" w:beforeAutospacing="0" w:after="0" w:afterAutospacing="0" w:line="600" w:lineRule="exact"/>
        <w:ind w:left="0" w:right="0" w:firstLine="883"/>
        <w:jc w:val="center"/>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仿宋_GB2312"/>
          <w:color w:val="auto"/>
          <w:kern w:val="2"/>
          <w:sz w:val="32"/>
          <w:szCs w:val="32"/>
          <w:lang w:val="en-US" w:eastAsia="zh-CN" w:bidi="ar"/>
        </w:rPr>
        <w:t>（盐边县斜坡地质灾害隐患风险详查、3个重点乡（镇）1:10000地质灾害精细化调查和地质灾害风险双控试点）</w:t>
      </w:r>
    </w:p>
    <w:p w14:paraId="34E7F695">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09D60F27">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7701FD5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1F61DCA">
      <w:pPr>
        <w:adjustRightInd w:val="0"/>
        <w:snapToGrid w:val="0"/>
        <w:spacing w:line="600" w:lineRule="exact"/>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根据《四川省自然资源厅关于开展2024年度斜坡地质灾害隐患风险详查和地质灾害“隐患点+风险区”双控试点工作的通知》（川自然资函</w:t>
      </w:r>
      <w:r>
        <w:rPr>
          <w:rFonts w:hint="eastAsia" w:ascii="仿宋_GB2312" w:hAnsi="仿宋_GB2312" w:eastAsia="仿宋_GB2312" w:cs="仿宋_GB2312"/>
          <w:sz w:val="32"/>
          <w:szCs w:val="32"/>
          <w:lang w:val="en-US" w:eastAsia="zh-CN"/>
        </w:rPr>
        <w:t>〔2024〕4号</w:t>
      </w:r>
      <w:r>
        <w:rPr>
          <w:rFonts w:hint="eastAsia" w:ascii="Times New Roman" w:hAnsi="Times New Roman" w:eastAsia="仿宋_GB2312" w:cs="Times New Roman"/>
          <w:sz w:val="32"/>
          <w:szCs w:val="32"/>
          <w:lang w:val="en-US" w:eastAsia="zh-CN"/>
        </w:rPr>
        <w:t>）文件要求，经局党组2024年第6次（扩大）会议议定，根据《中华人民共和国政府采购法》《四川省政府采购服务管理办法》等规定，委托招标代理机构通过政府采购公开招标的方式确定项目承担单位为联合体单位（四川蜀水地质环境研究有限责任公司、四川省国土空间生态修复与地质灾害防治研究院）。</w:t>
      </w:r>
    </w:p>
    <w:p w14:paraId="4553C2F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1EE6624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 项目主要内容。</w:t>
      </w:r>
      <w:r>
        <w:rPr>
          <w:rFonts w:hint="eastAsia" w:ascii="Times New Roman" w:hAnsi="Times New Roman" w:eastAsia="仿宋_GB2312" w:cs="Times New Roman"/>
          <w:sz w:val="32"/>
          <w:szCs w:val="32"/>
          <w:lang w:val="zh-CN"/>
        </w:rPr>
        <w:t>通过开展斜坡地质灾害隐患风险详查和重点乡镇地质灾害精细化调查，摸清风险斜坡底数，建立风险斜坡数据库，为不断优化乡镇、村级片区国土空间规划提供重要依据，切实推动地质灾害“隐患点+风险区”管控试点等重点工作，全面支撑县（市、区）、乡（镇、街道）开展地质灾害防治工作。</w:t>
      </w:r>
    </w:p>
    <w:p w14:paraId="0DFBB35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 项目应实现的具体绩效目标</w:t>
      </w:r>
      <w:r>
        <w:rPr>
          <w:rFonts w:hint="eastAsia" w:ascii="Times New Roman" w:hAnsi="Times New Roman" w:eastAsia="仿宋_GB2312" w:cs="Times New Roman"/>
          <w:sz w:val="32"/>
          <w:szCs w:val="32"/>
          <w:lang w:val="zh-CN"/>
        </w:rPr>
        <w:t>。开展斜坡地质灾害隐患风险详查和重点乡镇地质灾害精细化调查，摸清风险斜坡底数，建立风险斜坡数据库</w:t>
      </w:r>
      <w:r>
        <w:rPr>
          <w:rFonts w:hint="eastAsia" w:eastAsia="仿宋_GB2312" w:cs="Times New Roman"/>
          <w:sz w:val="32"/>
          <w:szCs w:val="32"/>
          <w:lang w:val="zh-CN"/>
        </w:rPr>
        <w:t>，</w:t>
      </w:r>
    </w:p>
    <w:p w14:paraId="158B26A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 分析评价申报内容与实际相符，申报目标合理可行。</w:t>
      </w:r>
    </w:p>
    <w:p w14:paraId="5AC35B7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6F5569E9">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1.通过项目请示、财务报账收集数据。</w:t>
      </w:r>
    </w:p>
    <w:p w14:paraId="5E3A26BA">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2.对专项预算项目绩效自评报告范本进行分析，对比实际成果与预设目标。</w:t>
      </w:r>
    </w:p>
    <w:p w14:paraId="28B5BFB0">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3.识别预算执行偏差、管理漏洞或绩效不足的领域，如资金使用效率低或目标达成滞后。</w:t>
      </w:r>
    </w:p>
    <w:p w14:paraId="145DAB83">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2C33438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5BBE6640">
      <w:pPr>
        <w:adjustRightInd w:val="0"/>
        <w:snapToGrid w:val="0"/>
        <w:spacing w:line="600" w:lineRule="exact"/>
        <w:ind w:firstLine="72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经局党组</w:t>
      </w:r>
      <w:r>
        <w:rPr>
          <w:rFonts w:hint="eastAsia" w:ascii="Times New Roman" w:hAnsi="Times New Roman" w:eastAsia="仿宋_GB2312" w:cs="Times New Roman"/>
          <w:sz w:val="32"/>
          <w:szCs w:val="32"/>
          <w:lang w:val="en-US" w:eastAsia="zh-CN"/>
        </w:rPr>
        <w:t>2024年第6次（扩大会议）审议通过。</w:t>
      </w:r>
    </w:p>
    <w:p w14:paraId="7F666C6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466F0669">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由市级</w:t>
      </w:r>
      <w:r>
        <w:rPr>
          <w:rFonts w:ascii="Times New Roman" w:hAnsi="Times New Roman" w:eastAsia="仿宋_GB2312" w:cs="Times New Roman"/>
          <w:sz w:val="32"/>
          <w:szCs w:val="32"/>
          <w:lang w:val="zh-CN"/>
        </w:rPr>
        <w:t>财政资金</w:t>
      </w:r>
      <w:r>
        <w:rPr>
          <w:rFonts w:hint="eastAsia" w:ascii="Times New Roman" w:hAnsi="Times New Roman" w:eastAsia="仿宋_GB2312" w:cs="Times New Roman"/>
          <w:sz w:val="32"/>
          <w:szCs w:val="32"/>
          <w:lang w:val="zh-CN"/>
        </w:rPr>
        <w:t>保障</w:t>
      </w:r>
      <w:r>
        <w:rPr>
          <w:rFonts w:ascii="Times New Roman" w:hAnsi="Times New Roman" w:eastAsia="仿宋_GB2312" w:cs="Times New Roman"/>
          <w:sz w:val="32"/>
          <w:szCs w:val="32"/>
          <w:lang w:val="zh-CN"/>
        </w:rPr>
        <w:t>。</w:t>
      </w:r>
    </w:p>
    <w:p w14:paraId="6D1241C7">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资金到位及时。</w:t>
      </w:r>
    </w:p>
    <w:p w14:paraId="654AC0E2">
      <w:pPr>
        <w:adjustRightInd w:val="0"/>
        <w:snapToGrid w:val="0"/>
        <w:spacing w:line="600" w:lineRule="exact"/>
        <w:ind w:left="0" w:firstLine="640" w:firstLineChars="200"/>
        <w:rPr>
          <w:rFonts w:ascii="Times New Roman" w:hAnsi="Times New Roman" w:eastAsia="仿宋_GB2312" w:cs="Times New Roman"/>
          <w:sz w:val="32"/>
          <w:szCs w:val="32"/>
          <w:lang w:val="en-US" w:eastAsia="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eastAsia="zh-CN"/>
        </w:rPr>
        <w:t>资金预算为</w:t>
      </w:r>
      <w:r>
        <w:rPr>
          <w:rFonts w:hint="eastAsia" w:ascii="Times New Roman" w:hAnsi="Times New Roman" w:eastAsia="仿宋_GB2312" w:cs="Times New Roman"/>
          <w:sz w:val="32"/>
          <w:szCs w:val="32"/>
          <w:lang w:val="en-US" w:eastAsia="zh-CN"/>
        </w:rPr>
        <w:t>413万元，预算执行为</w:t>
      </w:r>
      <w:r>
        <w:rPr>
          <w:rFonts w:ascii="Times New Roman" w:hAnsi="Times New Roman" w:eastAsia="仿宋_GB2312" w:cs="Times New Roman"/>
          <w:sz w:val="32"/>
          <w:szCs w:val="32"/>
          <w:lang w:val="en-US" w:eastAsia="zh-CN"/>
        </w:rPr>
        <w:t>411.5</w:t>
      </w:r>
      <w:r>
        <w:rPr>
          <w:rFonts w:hint="eastAsia" w:ascii="Times New Roman" w:hAnsi="Times New Roman" w:eastAsia="仿宋_GB2312" w:cs="Times New Roman"/>
          <w:sz w:val="32"/>
          <w:szCs w:val="32"/>
          <w:lang w:val="en-US" w:eastAsia="zh-CN"/>
        </w:rPr>
        <w:t>万元，</w:t>
      </w:r>
      <w:r>
        <w:rPr>
          <w:rFonts w:ascii="Times New Roman" w:hAnsi="Times New Roman" w:eastAsia="仿宋_GB2312" w:cs="Times New Roman"/>
          <w:sz w:val="32"/>
          <w:szCs w:val="32"/>
          <w:lang w:val="en-US" w:eastAsia="zh-CN"/>
        </w:rPr>
        <w:t>预算执行率100%</w:t>
      </w:r>
      <w:r>
        <w:rPr>
          <w:rFonts w:hint="eastAsia" w:ascii="Times New Roman" w:hAnsi="Times New Roman" w:eastAsia="仿宋_GB2312" w:cs="Times New Roman"/>
          <w:sz w:val="32"/>
          <w:szCs w:val="32"/>
          <w:lang w:val="en-US" w:eastAsia="zh-CN"/>
        </w:rPr>
        <w:t>。</w:t>
      </w:r>
    </w:p>
    <w:p w14:paraId="2A63ACC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1F2784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项目实施单位财务管理制度健全，严格执行财务管理制度，账务处理及时，会计核算规范。</w:t>
      </w:r>
    </w:p>
    <w:p w14:paraId="07C2869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F30C3A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结合项目组织实施管理办法，重点围绕以下内容进行分析评价，并对自评中发现的问题分析说明。</w:t>
      </w:r>
    </w:p>
    <w:p w14:paraId="050079F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r>
        <w:rPr>
          <w:rFonts w:hint="eastAsia" w:ascii="Times New Roman" w:hAnsi="Times New Roman" w:eastAsia="仿宋_GB2312" w:cs="Times New Roman"/>
          <w:sz w:val="32"/>
          <w:szCs w:val="32"/>
          <w:lang w:val="zh-CN"/>
        </w:rPr>
        <w:t>通过开展斜坡地质灾害隐患风险详查和重点乡镇地质灾害精细化调查，摸清风险斜坡底数，建立风险斜坡数据库，为不断优化乡镇、村级片区国土空间规划提供重要依据，切实推动地质灾害“隐患点+风险区”管控试点等重点工作，全面支撑县（市、区）、乡（镇、街道）开展地质灾害防治工作。</w:t>
      </w:r>
    </w:p>
    <w:p w14:paraId="26F2EBE0">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根据《中华人民共和国政府采购法》《四川省政府采购服务管理办法》等规定，委托招标代理机构通过政府采购公开招标的方式确定项目承担单位为联合体单位（四川蜀水地质环境研究有限责任公司、四川省国土空间生态修复与地质灾害防治研究院）。</w:t>
      </w:r>
    </w:p>
    <w:p w14:paraId="64F6838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项目严格按照本单位相关法律法规及项目管理制度实施。</w:t>
      </w:r>
    </w:p>
    <w:p w14:paraId="67935FE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042ED19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4530C52A">
      <w:p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rPr>
        <w:t>通过开展斜坡地质灾害隐患风险详查和重点乡镇地质灾害精细化调查，摸清风险斜坡底数，建立风险斜坡数据库</w:t>
      </w:r>
      <w:r>
        <w:rPr>
          <w:rFonts w:ascii="Times New Roman" w:hAnsi="Times New Roman" w:eastAsia="仿宋_GB2312" w:cs="Times New Roman"/>
          <w:sz w:val="32"/>
          <w:szCs w:val="32"/>
          <w:lang w:val="zh-CN"/>
        </w:rPr>
        <w:t>。</w:t>
      </w:r>
    </w:p>
    <w:p w14:paraId="36D474C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1A8230E9">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经济效益指标：地质灾害预警预报能力较过去五年提升。</w:t>
      </w:r>
    </w:p>
    <w:p w14:paraId="6470C2D5">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社会效益指标：监测预警区地质灾害防范能力提升。</w:t>
      </w:r>
    </w:p>
    <w:p w14:paraId="647BE679">
      <w:pPr>
        <w:adjustRightInd w:val="0"/>
        <w:snapToGrid w:val="0"/>
        <w:spacing w:line="600" w:lineRule="exact"/>
        <w:ind w:firstLine="72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服务对象满意度指标：实施</w:t>
      </w:r>
      <w:r>
        <w:rPr>
          <w:rFonts w:hint="eastAsia" w:eastAsia="仿宋_GB2312" w:cs="Times New Roman"/>
          <w:sz w:val="32"/>
          <w:szCs w:val="32"/>
          <w:lang w:val="zh-CN"/>
        </w:rPr>
        <w:t>区域</w:t>
      </w:r>
      <w:r>
        <w:rPr>
          <w:rFonts w:hint="eastAsia" w:ascii="Times New Roman" w:hAnsi="Times New Roman" w:eastAsia="仿宋_GB2312" w:cs="Times New Roman"/>
          <w:sz w:val="32"/>
          <w:szCs w:val="32"/>
          <w:lang w:val="zh-CN"/>
        </w:rPr>
        <w:t>群众防灾减灾参与度，实施区域受益人群满意度</w:t>
      </w:r>
      <w:r>
        <w:rPr>
          <w:rFonts w:hint="eastAsia" w:ascii="Times New Roman" w:hAnsi="Times New Roman" w:eastAsia="仿宋_GB2312" w:cs="Times New Roman"/>
          <w:sz w:val="32"/>
          <w:szCs w:val="32"/>
          <w:lang w:val="en-US" w:eastAsia="zh-CN"/>
        </w:rPr>
        <w:t>高。</w:t>
      </w:r>
    </w:p>
    <w:p w14:paraId="1F839276">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3536F3C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246B3A85">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资金支付绩效评价自评得分</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zh-CN"/>
        </w:rPr>
        <w:t>分（满分10分），项目完成情况绩效评价自评得分100分（满分100分）。</w:t>
      </w:r>
    </w:p>
    <w:p w14:paraId="41DAA88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30A4D70F">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430EE33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209B86B9">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7782BDE8">
      <w:pPr>
        <w:rPr>
          <w:rFonts w:hint="default" w:ascii="Times New Roman" w:hAnsi="Times New Roman" w:eastAsia="仿宋_GB2312" w:cs="Times New Roman"/>
          <w:sz w:val="32"/>
          <w:szCs w:val="32"/>
        </w:rPr>
      </w:pPr>
    </w:p>
    <w:p w14:paraId="2BA4B068">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3E51355F">
      <w:pPr>
        <w:keepNext w:val="0"/>
        <w:keepLines w:val="0"/>
        <w:pageBreakBefore w:val="0"/>
        <w:widowControl/>
        <w:kinsoku/>
        <w:wordWrap/>
        <w:overflowPunct/>
        <w:topLinePunct w:val="0"/>
        <w:autoSpaceDN/>
        <w:bidi w:val="0"/>
        <w:spacing w:line="600" w:lineRule="exact"/>
        <w:contextualSpacing/>
        <w:jc w:val="center"/>
        <w:textAlignment w:val="auto"/>
        <w:rPr>
          <w:rFonts w:hint="default" w:ascii="Times New Roman" w:hAnsi="Times New Roman" w:eastAsia="方正小标宋简体" w:cs="Times New Roman"/>
          <w:bCs/>
          <w:sz w:val="44"/>
          <w:szCs w:val="44"/>
          <w:shd w:val="clear" w:color="auto" w:fill="FFFFFF"/>
        </w:rPr>
      </w:pPr>
    </w:p>
    <w:p w14:paraId="6FC9BC16">
      <w:pPr>
        <w:keepNext w:val="0"/>
        <w:keepLines w:val="0"/>
        <w:pageBreakBefore w:val="0"/>
        <w:widowControl/>
        <w:kinsoku/>
        <w:wordWrap/>
        <w:overflowPunct/>
        <w:topLinePunct w:val="0"/>
        <w:autoSpaceDE/>
        <w:autoSpaceDN/>
        <w:bidi w:val="0"/>
        <w:spacing w:line="600"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lang w:val="en-US" w:eastAsia="zh-CN"/>
        </w:rPr>
      </w:pPr>
      <w:r>
        <w:rPr>
          <w:rFonts w:hint="default" w:ascii="Times New Roman" w:hAnsi="Times New Roman" w:eastAsia="方正小标宋简体" w:cs="Times New Roman"/>
          <w:b w:val="0"/>
          <w:bCs/>
          <w:sz w:val="44"/>
          <w:szCs w:val="44"/>
          <w:highlight w:val="none"/>
          <w:shd w:val="clear" w:color="auto" w:fill="FFFFFF"/>
          <w:lang w:val="en-US" w:eastAsia="zh-CN"/>
        </w:rPr>
        <w:t>攀枝花市土地储备中心</w:t>
      </w:r>
    </w:p>
    <w:p w14:paraId="2D3224AE">
      <w:pPr>
        <w:keepNext w:val="0"/>
        <w:keepLines w:val="0"/>
        <w:pageBreakBefore w:val="0"/>
        <w:widowControl/>
        <w:kinsoku/>
        <w:wordWrap/>
        <w:overflowPunct/>
        <w:topLinePunct w:val="0"/>
        <w:autoSpaceDE/>
        <w:autoSpaceDN/>
        <w:bidi w:val="0"/>
        <w:spacing w:line="600"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lang w:val="en-US" w:eastAsia="zh-CN"/>
        </w:rPr>
        <w:t>单位</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default"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w:t>
      </w:r>
    </w:p>
    <w:p w14:paraId="75227AAA">
      <w:pPr>
        <w:keepNext w:val="0"/>
        <w:keepLines w:val="0"/>
        <w:pageBreakBefore w:val="0"/>
        <w:widowControl/>
        <w:kinsoku/>
        <w:wordWrap/>
        <w:overflowPunct/>
        <w:topLinePunct w:val="0"/>
        <w:autoSpaceDN/>
        <w:bidi w:val="0"/>
        <w:adjustRightInd w:val="0"/>
        <w:snapToGrid w:val="0"/>
        <w:spacing w:line="600" w:lineRule="exact"/>
        <w:ind w:firstLine="480" w:firstLineChars="200"/>
        <w:contextualSpacing/>
        <w:jc w:val="left"/>
        <w:textAlignment w:val="auto"/>
        <w:rPr>
          <w:rFonts w:hint="default" w:ascii="Times New Roman" w:hAnsi="Times New Roman" w:eastAsia="黑体" w:cs="Times New Roman"/>
          <w:color w:val="000000"/>
          <w:kern w:val="0"/>
          <w:sz w:val="24"/>
          <w:szCs w:val="32"/>
          <w:shd w:val="clear" w:color="auto" w:fill="FFFFFF"/>
        </w:rPr>
      </w:pPr>
    </w:p>
    <w:p w14:paraId="4BE4C9FE">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一、单位基本情况</w:t>
      </w:r>
    </w:p>
    <w:p w14:paraId="24727383">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left"/>
        <w:textAlignment w:val="auto"/>
        <w:rPr>
          <w:rFonts w:hint="default" w:ascii="Times New Roman" w:hAnsi="Times New Roman" w:cs="Times New Roman"/>
          <w:szCs w:val="32"/>
        </w:rPr>
      </w:pPr>
      <w:r>
        <w:rPr>
          <w:rFonts w:hint="default" w:ascii="Times New Roman" w:hAnsi="Times New Roman" w:eastAsia="楷体_GB2312" w:cs="Times New Roman"/>
          <w:b/>
          <w:sz w:val="32"/>
          <w:szCs w:val="32"/>
          <w:lang w:val="zh-CN"/>
        </w:rPr>
        <w:t>（一）机构组成。</w:t>
      </w:r>
      <w:r>
        <w:rPr>
          <w:rFonts w:hint="default" w:ascii="Times New Roman" w:hAnsi="Times New Roman" w:eastAsia="仿宋_GB2312" w:cs="Times New Roman"/>
          <w:sz w:val="32"/>
          <w:szCs w:val="32"/>
          <w:lang w:val="zh-CN"/>
        </w:rPr>
        <w:t>攀枝花市土地储备中心根据工作需要及单位实际情况共设置5个科室，分别为办公室、储备科、统征科、工程科、资金科。</w:t>
      </w:r>
    </w:p>
    <w:p w14:paraId="27F7A13E">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sz w:val="32"/>
          <w:szCs w:val="32"/>
          <w:lang w:val="zh-CN"/>
        </w:rPr>
        <w:t>（二）机构职能。</w:t>
      </w:r>
      <w:r>
        <w:rPr>
          <w:rFonts w:hint="default" w:ascii="Times New Roman" w:hAnsi="Times New Roman" w:eastAsia="仿宋_GB2312" w:cs="Times New Roman"/>
          <w:sz w:val="32"/>
          <w:szCs w:val="32"/>
          <w:lang w:val="zh-CN"/>
        </w:rPr>
        <w:t>攀枝花市土地储备中心是由中共攀枝花市委机构编制委员会批准设立（攀编发〔2006〕5号），为攀枝花市国土资源局所属公益一类事业单位。主要职责：（1）根据土地利用总体规划和城市规划以及市场需求情况，草拟土地储备年度计划。（2）对拟收购土地进行市场调查分析，拟制土地收购方案。（3）</w:t>
      </w:r>
      <w:r>
        <w:rPr>
          <w:rFonts w:hint="eastAsia" w:eastAsia="仿宋_GB2312" w:cs="Times New Roman"/>
          <w:sz w:val="32"/>
          <w:szCs w:val="32"/>
          <w:lang w:val="zh-CN"/>
        </w:rPr>
        <w:t>拟订</w:t>
      </w:r>
      <w:r>
        <w:rPr>
          <w:rFonts w:hint="default" w:ascii="Times New Roman" w:hAnsi="Times New Roman" w:eastAsia="仿宋_GB2312" w:cs="Times New Roman"/>
          <w:sz w:val="32"/>
          <w:szCs w:val="32"/>
          <w:lang w:val="zh-CN"/>
        </w:rPr>
        <w:t>储备土地开发整理方案，组织工程招投标和工程进度，质量监督。（4）按规定管理依法收回的违法用地、闲置荒芜土地、无主地和置换土地，并纳入储备土地范围，并对储备土地进行管理。（5）对城市建成区内成片旧城改</w:t>
      </w:r>
      <w:r>
        <w:rPr>
          <w:rFonts w:hint="eastAsia" w:eastAsia="仿宋_GB2312" w:cs="Times New Roman"/>
          <w:sz w:val="32"/>
          <w:szCs w:val="32"/>
          <w:lang w:val="zh-CN"/>
        </w:rPr>
        <w:t>造地</w:t>
      </w:r>
      <w:r>
        <w:rPr>
          <w:rFonts w:hint="default" w:ascii="Times New Roman" w:hAnsi="Times New Roman" w:eastAsia="仿宋_GB2312" w:cs="Times New Roman"/>
          <w:sz w:val="32"/>
          <w:szCs w:val="32"/>
          <w:lang w:val="zh-CN"/>
        </w:rPr>
        <w:t>块进行开发、加工整理。（6）严格执行土地收购储备资金管理规定，多渠道筹措土地收购储备资金。（7）协助规划部门做好储备土地规划方案的优化，拟制储备土地营销方案，做好储备土地招商引资和投入市场的前期准备工作。（8）完成上级部门交办的其他工作。主管部门：攀枝花市自然资源和规划局。</w:t>
      </w:r>
    </w:p>
    <w:p w14:paraId="71789F12">
      <w:pPr>
        <w:keepNext w:val="0"/>
        <w:keepLines w:val="0"/>
        <w:pageBreakBefore w:val="0"/>
        <w:kinsoku/>
        <w:wordWrap/>
        <w:overflowPunct/>
        <w:topLinePunct w:val="0"/>
        <w:autoSpaceDN/>
        <w:bidi w:val="0"/>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shd w:val="clear" w:color="auto" w:fill="FFFFFF"/>
          <w:lang w:val="zh-CN"/>
        </w:rPr>
        <w:t>（三）人员概况。</w:t>
      </w:r>
      <w:r>
        <w:rPr>
          <w:rFonts w:hint="default" w:ascii="Times New Roman" w:hAnsi="Times New Roman" w:eastAsia="仿宋_GB2312" w:cs="Times New Roman"/>
          <w:sz w:val="32"/>
          <w:szCs w:val="32"/>
        </w:rPr>
        <w:t>截至2025年末，攀枝花市土地储备中心实有在编人员1</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名，全部为事业编制。</w:t>
      </w:r>
    </w:p>
    <w:p w14:paraId="1AC0A7AE">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二、</w:t>
      </w:r>
      <w:r>
        <w:rPr>
          <w:rFonts w:hint="default" w:ascii="Times New Roman" w:hAnsi="Times New Roman" w:eastAsia="黑体" w:cs="Times New Roman"/>
          <w:color w:val="000000"/>
          <w:kern w:val="0"/>
          <w:sz w:val="32"/>
          <w:szCs w:val="32"/>
          <w:shd w:val="clear" w:color="auto" w:fill="FFFFFF"/>
          <w:lang w:val="en-US" w:eastAsia="zh-CN"/>
        </w:rPr>
        <w:t>单位</w:t>
      </w:r>
      <w:r>
        <w:rPr>
          <w:rFonts w:hint="default" w:ascii="Times New Roman" w:hAnsi="Times New Roman" w:eastAsia="黑体" w:cs="Times New Roman"/>
          <w:color w:val="000000"/>
          <w:kern w:val="0"/>
          <w:sz w:val="32"/>
          <w:szCs w:val="32"/>
          <w:shd w:val="clear" w:color="auto" w:fill="FFFFFF"/>
          <w:lang w:val="zh-CN"/>
        </w:rPr>
        <w:t>资金收支情况</w:t>
      </w:r>
    </w:p>
    <w:p w14:paraId="24CE7852">
      <w:pPr>
        <w:keepNext w:val="0"/>
        <w:keepLines w:val="0"/>
        <w:pageBreakBefore w:val="0"/>
        <w:widowControl w:val="0"/>
        <w:kinsoku/>
        <w:wordWrap/>
        <w:overflowPunct/>
        <w:topLinePunct w:val="0"/>
        <w:autoSpaceDN/>
        <w:bidi w:val="0"/>
        <w:spacing w:line="600" w:lineRule="exact"/>
        <w:ind w:firstLine="643" w:firstLineChars="200"/>
        <w:jc w:val="both"/>
        <w:textAlignment w:val="auto"/>
        <w:outlineLvl w:val="9"/>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shd w:val="clear" w:color="auto" w:fill="FFFFFF"/>
          <w:lang w:val="zh-CN" w:eastAsia="zh-CN" w:bidi="ar-SA"/>
        </w:rPr>
        <w:t>（一）收入情况。</w:t>
      </w:r>
      <w:r>
        <w:rPr>
          <w:rFonts w:hint="default" w:ascii="Times New Roman" w:hAnsi="Times New Roman" w:eastAsia="仿宋_GB2312" w:cs="Times New Roman"/>
          <w:color w:val="auto"/>
          <w:kern w:val="2"/>
          <w:sz w:val="32"/>
          <w:szCs w:val="32"/>
          <w:highlight w:val="none"/>
          <w:lang w:val="en-US" w:eastAsia="zh-CN" w:bidi="ar-SA"/>
        </w:rPr>
        <w:t>2025年度本年收入合计</w:t>
      </w:r>
      <w:r>
        <w:rPr>
          <w:rFonts w:hint="default" w:ascii="Times New Roman" w:hAnsi="Times New Roman" w:eastAsia="仿宋_GB2312" w:cs="Times New Roman"/>
          <w:kern w:val="2"/>
          <w:sz w:val="32"/>
          <w:szCs w:val="32"/>
          <w:lang w:val="en-US" w:eastAsia="zh-CN" w:bidi="ar-SA"/>
        </w:rPr>
        <w:t>40667.14</w:t>
      </w:r>
      <w:r>
        <w:rPr>
          <w:rFonts w:hint="default" w:ascii="Times New Roman" w:hAnsi="Times New Roman" w:eastAsia="仿宋_GB2312" w:cs="Times New Roman"/>
          <w:color w:val="auto"/>
          <w:kern w:val="2"/>
          <w:sz w:val="32"/>
          <w:szCs w:val="32"/>
          <w:highlight w:val="none"/>
          <w:lang w:val="en-US" w:eastAsia="zh-CN" w:bidi="ar-SA"/>
        </w:rPr>
        <w:t>万元，其中：一般公共预算财政拨款收入</w:t>
      </w:r>
      <w:r>
        <w:rPr>
          <w:rFonts w:hint="default" w:ascii="Times New Roman" w:hAnsi="Times New Roman" w:eastAsia="仿宋_GB2312" w:cs="Times New Roman"/>
          <w:kern w:val="2"/>
          <w:sz w:val="32"/>
          <w:szCs w:val="32"/>
          <w:lang w:val="en-US" w:eastAsia="zh-CN" w:bidi="ar-SA"/>
        </w:rPr>
        <w:t>40397.3</w:t>
      </w:r>
      <w:r>
        <w:rPr>
          <w:rFonts w:hint="default" w:ascii="Times New Roman" w:hAnsi="Times New Roman" w:eastAsia="仿宋_GB2312" w:cs="Times New Roman"/>
          <w:color w:val="auto"/>
          <w:kern w:val="2"/>
          <w:sz w:val="32"/>
          <w:szCs w:val="32"/>
          <w:highlight w:val="none"/>
          <w:lang w:val="en-US" w:eastAsia="zh-CN" w:bidi="ar-SA"/>
        </w:rPr>
        <w:t>万元，占</w:t>
      </w:r>
      <w:r>
        <w:rPr>
          <w:rFonts w:hint="default" w:ascii="Times New Roman" w:hAnsi="Times New Roman" w:eastAsia="仿宋_GB2312" w:cs="Times New Roman"/>
          <w:kern w:val="2"/>
          <w:sz w:val="32"/>
          <w:szCs w:val="32"/>
          <w:lang w:val="en-US" w:eastAsia="zh-CN" w:bidi="ar-SA"/>
        </w:rPr>
        <w:t>99.33</w:t>
      </w:r>
      <w:r>
        <w:rPr>
          <w:rFonts w:hint="default" w:ascii="Times New Roman" w:hAnsi="Times New Roman" w:eastAsia="仿宋_GB2312" w:cs="Times New Roman"/>
          <w:color w:val="auto"/>
          <w:kern w:val="2"/>
          <w:sz w:val="32"/>
          <w:szCs w:val="32"/>
          <w:highlight w:val="none"/>
          <w:lang w:val="en-US" w:eastAsia="zh-CN" w:bidi="ar-SA"/>
        </w:rPr>
        <w:t>%；政府性基金预算财政拨款收入</w:t>
      </w:r>
      <w:r>
        <w:rPr>
          <w:rFonts w:hint="default" w:ascii="Times New Roman" w:hAnsi="Times New Roman" w:eastAsia="仿宋_GB2312" w:cs="Times New Roman"/>
          <w:kern w:val="2"/>
          <w:sz w:val="32"/>
          <w:szCs w:val="32"/>
          <w:lang w:val="en-US" w:eastAsia="zh-CN" w:bidi="ar-SA"/>
        </w:rPr>
        <w:t>269.84</w:t>
      </w:r>
      <w:r>
        <w:rPr>
          <w:rFonts w:hint="default" w:ascii="Times New Roman" w:hAnsi="Times New Roman" w:eastAsia="仿宋_GB2312" w:cs="Times New Roman"/>
          <w:color w:val="auto"/>
          <w:kern w:val="2"/>
          <w:sz w:val="32"/>
          <w:szCs w:val="32"/>
          <w:highlight w:val="none"/>
          <w:lang w:val="en-US" w:eastAsia="zh-CN" w:bidi="ar-SA"/>
        </w:rPr>
        <w:t>万元，占</w:t>
      </w:r>
      <w:r>
        <w:rPr>
          <w:rFonts w:hint="default" w:ascii="Times New Roman" w:hAnsi="Times New Roman" w:eastAsia="仿宋_GB2312" w:cs="Times New Roman"/>
          <w:kern w:val="2"/>
          <w:sz w:val="32"/>
          <w:szCs w:val="32"/>
          <w:lang w:val="en-US" w:eastAsia="zh-CN" w:bidi="ar-SA"/>
        </w:rPr>
        <w:t>0.67</w:t>
      </w:r>
      <w:r>
        <w:rPr>
          <w:rFonts w:hint="default" w:ascii="Times New Roman" w:hAnsi="Times New Roman" w:eastAsia="仿宋_GB2312" w:cs="Times New Roman"/>
          <w:color w:val="auto"/>
          <w:kern w:val="2"/>
          <w:sz w:val="32"/>
          <w:szCs w:val="32"/>
          <w:highlight w:val="none"/>
          <w:lang w:val="en-US" w:eastAsia="zh-CN" w:bidi="ar-SA"/>
        </w:rPr>
        <w:t>%。</w:t>
      </w:r>
    </w:p>
    <w:p w14:paraId="08A7FE13">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bCs/>
          <w:color w:val="000000"/>
          <w:kern w:val="0"/>
          <w:sz w:val="32"/>
          <w:szCs w:val="32"/>
          <w:shd w:val="clear" w:color="auto" w:fill="FFFFFF"/>
          <w:lang w:val="zh-CN"/>
        </w:rPr>
        <w:t>（二）支出情况。</w:t>
      </w:r>
      <w:r>
        <w:rPr>
          <w:rFonts w:hint="default" w:ascii="Times New Roman" w:hAnsi="Times New Roman" w:eastAsia="仿宋_GB2312" w:cs="Times New Roman"/>
          <w:color w:val="auto"/>
          <w:kern w:val="2"/>
          <w:sz w:val="32"/>
          <w:szCs w:val="32"/>
          <w:highlight w:val="none"/>
          <w:lang w:val="zh-CN" w:eastAsia="zh-CN" w:bidi="ar-SA"/>
        </w:rPr>
        <w:t>2025年度本年支出合计40667.14万元，其中：基本支出351.31万元，占0.86%；项目支出40315.83万元，占99.14</w:t>
      </w:r>
      <w:r>
        <w:rPr>
          <w:rFonts w:hint="default" w:ascii="Times New Roman" w:hAnsi="Times New Roman" w:eastAsia="仿宋_GB2312" w:cs="Times New Roman"/>
          <w:color w:val="auto"/>
          <w:kern w:val="2"/>
          <w:sz w:val="32"/>
          <w:szCs w:val="32"/>
          <w:highlight w:val="none"/>
          <w:lang w:val="en-US" w:eastAsia="zh-CN" w:bidi="ar-SA"/>
        </w:rPr>
        <w:t>%。</w:t>
      </w:r>
    </w:p>
    <w:p w14:paraId="0BD05996">
      <w:pPr>
        <w:keepNext w:val="0"/>
        <w:keepLines w:val="0"/>
        <w:pageBreakBefore w:val="0"/>
        <w:kinsoku/>
        <w:wordWrap/>
        <w:overflowPunct/>
        <w:topLinePunct w:val="0"/>
        <w:autoSpaceDN/>
        <w:bidi w:val="0"/>
        <w:spacing w:line="600" w:lineRule="exact"/>
        <w:ind w:firstLine="643"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color w:val="000000"/>
          <w:kern w:val="0"/>
          <w:sz w:val="32"/>
          <w:szCs w:val="32"/>
          <w:shd w:val="clear" w:color="auto" w:fill="FFFFFF"/>
          <w:lang w:val="zh-CN"/>
        </w:rPr>
        <w:t>（三）结余分配和结转结余情况。</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年年初结转和结余27890.60万元，年末结转和结余27890.</w:t>
      </w:r>
      <w:r>
        <w:rPr>
          <w:rFonts w:hint="default" w:ascii="Times New Roman" w:hAnsi="Times New Roman" w:eastAsia="仿宋_GB2312" w:cs="Times New Roman"/>
          <w:sz w:val="32"/>
          <w:szCs w:val="32"/>
          <w:lang w:eastAsia="zh-CN"/>
        </w:rPr>
        <w:t>60</w:t>
      </w:r>
      <w:r>
        <w:rPr>
          <w:rFonts w:hint="default" w:ascii="Times New Roman" w:hAnsi="Times New Roman" w:eastAsia="仿宋_GB2312" w:cs="Times New Roman"/>
          <w:sz w:val="32"/>
          <w:szCs w:val="32"/>
        </w:rPr>
        <w:t>万元。</w:t>
      </w:r>
    </w:p>
    <w:p w14:paraId="43964491">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三、</w:t>
      </w:r>
      <w:r>
        <w:rPr>
          <w:rFonts w:hint="default" w:ascii="Times New Roman" w:hAnsi="Times New Roman" w:eastAsia="黑体" w:cs="Times New Roman"/>
          <w:color w:val="000000"/>
          <w:kern w:val="0"/>
          <w:sz w:val="32"/>
          <w:szCs w:val="32"/>
          <w:shd w:val="clear" w:color="auto" w:fill="FFFFFF"/>
          <w:lang w:val="en-US" w:eastAsia="zh-CN"/>
        </w:rPr>
        <w:t>单位</w:t>
      </w:r>
      <w:r>
        <w:rPr>
          <w:rFonts w:hint="default" w:ascii="Times New Roman" w:hAnsi="Times New Roman" w:eastAsia="黑体" w:cs="Times New Roman"/>
          <w:color w:val="000000"/>
          <w:kern w:val="0"/>
          <w:sz w:val="32"/>
          <w:szCs w:val="32"/>
          <w:shd w:val="clear" w:color="auto" w:fill="FFFFFF"/>
          <w:lang w:val="zh-CN"/>
        </w:rPr>
        <w:t>预算绩效分析</w:t>
      </w:r>
    </w:p>
    <w:p w14:paraId="0D1E70BF">
      <w:pPr>
        <w:keepNext w:val="0"/>
        <w:keepLines w:val="0"/>
        <w:pageBreakBefore w:val="0"/>
        <w:kinsoku/>
        <w:wordWrap/>
        <w:overflowPunct/>
        <w:topLinePunct w:val="0"/>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bCs/>
          <w:color w:val="000000"/>
          <w:kern w:val="0"/>
          <w:sz w:val="32"/>
          <w:szCs w:val="32"/>
          <w:shd w:val="clear" w:color="auto" w:fill="FFFFFF"/>
          <w:lang w:val="zh-CN"/>
        </w:rPr>
        <w:t>（一）</w:t>
      </w:r>
      <w:r>
        <w:rPr>
          <w:rFonts w:hint="default" w:ascii="Times New Roman" w:hAnsi="Times New Roman" w:eastAsia="楷体_GB2312" w:cs="Times New Roman"/>
          <w:b/>
          <w:bCs/>
          <w:color w:val="000000"/>
          <w:kern w:val="0"/>
          <w:sz w:val="32"/>
          <w:szCs w:val="32"/>
          <w:shd w:val="clear" w:color="auto" w:fill="FFFFFF"/>
          <w:lang w:val="en-US" w:eastAsia="zh-CN"/>
        </w:rPr>
        <w:t>单位</w:t>
      </w:r>
      <w:r>
        <w:rPr>
          <w:rFonts w:hint="default" w:ascii="Times New Roman" w:hAnsi="Times New Roman" w:eastAsia="楷体_GB2312" w:cs="Times New Roman"/>
          <w:b/>
          <w:bCs/>
          <w:color w:val="000000"/>
          <w:kern w:val="0"/>
          <w:sz w:val="32"/>
          <w:szCs w:val="32"/>
          <w:shd w:val="clear" w:color="auto" w:fill="FFFFFF"/>
          <w:lang w:val="zh-CN"/>
        </w:rPr>
        <w:t>预算总体绩效分析。</w:t>
      </w:r>
    </w:p>
    <w:p w14:paraId="31030520">
      <w:pPr>
        <w:keepNext w:val="0"/>
        <w:keepLines w:val="0"/>
        <w:pageBreakBefore w:val="0"/>
        <w:kinsoku/>
        <w:wordWrap/>
        <w:overflowPunct/>
        <w:topLinePunct w:val="0"/>
        <w:autoSpaceDN/>
        <w:bidi w:val="0"/>
        <w:snapToGrid w:val="0"/>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lang w:val="zh-CN"/>
        </w:rPr>
        <w:t>履职效能。</w:t>
      </w:r>
      <w:r>
        <w:rPr>
          <w:rFonts w:hint="default" w:ascii="Times New Roman" w:hAnsi="Times New Roman" w:eastAsia="仿宋_GB2312" w:cs="Times New Roman"/>
          <w:sz w:val="32"/>
          <w:szCs w:val="32"/>
        </w:rPr>
        <w:t>2025年以来工作开展情况如下：</w:t>
      </w:r>
    </w:p>
    <w:p w14:paraId="5C2B4897">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一是专项债券与土地储备管理成效显著</w:t>
      </w:r>
    </w:p>
    <w:p w14:paraId="1BF750C5">
      <w:pPr>
        <w:keepNext w:val="0"/>
        <w:keepLines w:val="0"/>
        <w:pageBreakBefore w:val="0"/>
        <w:numPr>
          <w:ilvl w:val="0"/>
          <w:numId w:val="4"/>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项债券推进：完成6个拟使用专项债券的土地储备项目入库，推动4个项目发行专项债券1.35亿元；组织各县（区）、国家钒钛高新区土地储备机构开展2026年度第1批次债券项目申报，收集8个项目入库需求报市政府审核批准并录入财政穿透式债务系统，目前5个项目已通过省级联评联审。</w:t>
      </w:r>
    </w:p>
    <w:p w14:paraId="2AA59C76">
      <w:pPr>
        <w:keepNext w:val="0"/>
        <w:keepLines w:val="0"/>
        <w:pageBreakBefore w:val="0"/>
        <w:numPr>
          <w:ilvl w:val="0"/>
          <w:numId w:val="4"/>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储备土地管理：按《攀枝花市土地储备中心2025年储备土地安全检查工作方案》，每季度对市级储备土地及地面资产的地质灾害、消防、森林防灭火等安全隐患开展全覆盖检查；与西区土地储备中心完成“文化岛”四期储备土地移交管护协议签订，并函告督促将租金缴入市级财政；配合完成三区、国家钒钛高新区拟出让土地涉及市级储备土地的产权注销；阶段性完成未确定使用权人国有建设用地（储备土地）资产专项清查。</w:t>
      </w:r>
    </w:p>
    <w:p w14:paraId="14228E8C">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二是统征遗留问题与信访维稳扎实处置</w:t>
      </w:r>
    </w:p>
    <w:p w14:paraId="5AEC90DA">
      <w:pPr>
        <w:keepNext w:val="0"/>
        <w:keepLines w:val="0"/>
        <w:pageBreakBefore w:val="0"/>
        <w:numPr>
          <w:ilvl w:val="0"/>
          <w:numId w:val="5"/>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遗留问题化解：完成凤凰乡情苑11＃楼房屋安全性鉴定、房产测绘，目前该楼消防改造工程进入财政投资评审；经与市不动产登记中心、东</w:t>
      </w:r>
      <w:r>
        <w:rPr>
          <w:rFonts w:hint="eastAsia" w:eastAsia="仿宋_GB2312" w:cs="Times New Roman"/>
          <w:sz w:val="32"/>
          <w:szCs w:val="32"/>
          <w:lang w:eastAsia="zh-CN"/>
        </w:rPr>
        <w:t>区委政法委</w:t>
      </w:r>
      <w:r>
        <w:rPr>
          <w:rFonts w:hint="default" w:ascii="Times New Roman" w:hAnsi="Times New Roman" w:eastAsia="仿宋_GB2312" w:cs="Times New Roman"/>
          <w:sz w:val="32"/>
          <w:szCs w:val="32"/>
        </w:rPr>
        <w:t>、凤凰社区居委会对接，理清联谊大厦1＃楼产权办理思路，待铂金大厦产权分配及不动产权办理完成后启动。</w:t>
      </w:r>
    </w:p>
    <w:p w14:paraId="083CF75B">
      <w:pPr>
        <w:keepNext w:val="0"/>
        <w:keepLines w:val="0"/>
        <w:pageBreakBefore w:val="0"/>
        <w:numPr>
          <w:ilvl w:val="0"/>
          <w:numId w:val="5"/>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信访与信息公开：按月向“有事找纪检”工作领导小组办公室报告凤凰社区安置房房产证办理情况；完成“12345”便民服务平台转交的8件服务单回复；完成闵登伟反映金华小区老熊箐社征地安置事项调查回复；代拟《政府信息公开告知书》（攀自然资公开告知〔2025〕24号），按程序完成信息公开。</w:t>
      </w:r>
    </w:p>
    <w:p w14:paraId="265C2CC1">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sz w:val="32"/>
          <w:szCs w:val="32"/>
        </w:rPr>
        <w:t>三是</w:t>
      </w:r>
      <w:r>
        <w:rPr>
          <w:rFonts w:hint="default" w:ascii="Times New Roman" w:hAnsi="Times New Roman" w:eastAsia="仿宋_GB2312" w:cs="Times New Roman"/>
          <w:sz w:val="32"/>
          <w:szCs w:val="32"/>
        </w:rPr>
        <w:t>依据市政府对《攀枝花市财政局 攀枝花市机关事务服务中心关于对市级行政事业单位闲置低效国有资产资源盘活利用处置的请示》（攀财政〔2025〕92号）（以下简称请示）的批示意见，在2025年11月底前，我中心需要将西贵金沙、锦绣豪庭小区66套经济适用房协议转让给西区人民政府。转让前，由市自然资源和规划局委托中介机构对西贵金沙、锦绣豪庭小区66套经济适用房进行资产评估，以评估价为基础，商西区人民政府联合向市政府请示。</w:t>
      </w:r>
    </w:p>
    <w:p w14:paraId="58D98A24">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四是资金管理规范高效</w:t>
      </w:r>
    </w:p>
    <w:p w14:paraId="434DFDD9">
      <w:pPr>
        <w:keepNext w:val="0"/>
        <w:keepLines w:val="0"/>
        <w:pageBreakBefore w:val="0"/>
        <w:numPr>
          <w:ilvl w:val="0"/>
          <w:numId w:val="6"/>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项资金保障：2025年红格南矿征地补偿安置市级资金收支情况：一是四川省钒钛产业投资发展有限公司向市级财政缴入红格南钒钛磁铁矿开发建设用（征）地补偿安置费缴存非税收入5亿元。二是按照《盐边县红格南钒钛磁铁矿项目用（征）地补偿安置费缴存使用管理协议》，根据盐边县资金需求及市财政资金安排，向盐边县政府拨付红格南钒钛磁铁矿开发建设用（征）地补偿安置市级资金4亿元。</w:t>
      </w:r>
    </w:p>
    <w:p w14:paraId="43A6132E">
      <w:pPr>
        <w:keepNext w:val="0"/>
        <w:keepLines w:val="0"/>
        <w:pageBreakBefore w:val="0"/>
        <w:numPr>
          <w:ilvl w:val="0"/>
          <w:numId w:val="6"/>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资金争取：一是为解决凤凰小区历史遗留问题，积极争取解决凤凰小区乡情苑11号安置住宅楼遗留问题资金50万元，为后续工作开展提供资金保障。二是按照攀枝花市清理拖欠企业账款工作安排，有序开展清欠台账梳理工作，争取市级清欠资金278.05万元，完成10笔欠款清偿工作。</w:t>
      </w:r>
    </w:p>
    <w:p w14:paraId="0604F63D">
      <w:pPr>
        <w:keepNext w:val="0"/>
        <w:keepLines w:val="0"/>
        <w:pageBreakBefore w:val="0"/>
        <w:numPr>
          <w:ilvl w:val="0"/>
          <w:numId w:val="6"/>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财务专项工作：完成2024年度单位财务决算报告、行政事业性国有资产报告、政府财务报告和内控报告编制上报；完成2025年度单位预算公开、市本级预算绩效自评、代管资金清查等工作。</w:t>
      </w:r>
    </w:p>
    <w:p w14:paraId="073327AD">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五是办公室综合管理保障有力</w:t>
      </w:r>
    </w:p>
    <w:p w14:paraId="0CDA356C">
      <w:pPr>
        <w:keepNext w:val="0"/>
        <w:keepLines w:val="0"/>
        <w:pageBreakBefore w:val="0"/>
        <w:numPr>
          <w:ilvl w:val="0"/>
          <w:numId w:val="7"/>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人事劳资与办文办会：完成月度工资核算、五险二金缴纳、保险基数调整、绩效工资计算、薪级工资增加、年金做实、劳动工资统计、基金填报、编制系统清理、工资年报、退休补助计算等工作；2025年归档文件74份，其中组织中心例会24次、主任办公会10次，印发通知2份、请示9份、函19份；完成领导临时交办的汇报材料、会议讲话、总结等文稿撰写。</w:t>
      </w:r>
    </w:p>
    <w:p w14:paraId="5E099566">
      <w:pPr>
        <w:keepNext w:val="0"/>
        <w:keepLines w:val="0"/>
        <w:pageBreakBefore w:val="0"/>
        <w:numPr>
          <w:ilvl w:val="0"/>
          <w:numId w:val="7"/>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重点事项跟踪：专项跟踪办公楼诉讼</w:t>
      </w:r>
      <w:r>
        <w:rPr>
          <w:rFonts w:hint="eastAsia" w:ascii="Times New Roman" w:hAnsi="Times New Roman" w:eastAsia="仿宋_GB2312" w:cs="Times New Roman"/>
          <w:sz w:val="32"/>
          <w:szCs w:val="32"/>
          <w:lang w:eastAsia="zh-CN"/>
        </w:rPr>
        <w:t>案件</w:t>
      </w:r>
      <w:r>
        <w:rPr>
          <w:rFonts w:hint="default" w:ascii="Times New Roman" w:hAnsi="Times New Roman" w:eastAsia="仿宋_GB2312" w:cs="Times New Roman"/>
          <w:sz w:val="32"/>
          <w:szCs w:val="32"/>
        </w:rPr>
        <w:t>执行，截至目前，东区法院已陆续出具裁决和判决，至少1套住房、3个车位、7万元车位款项具备执行条件。</w:t>
      </w:r>
    </w:p>
    <w:p w14:paraId="5EBAE044">
      <w:pPr>
        <w:keepNext w:val="0"/>
        <w:keepLines w:val="0"/>
        <w:pageBreakBefore w:val="0"/>
        <w:numPr>
          <w:ilvl w:val="0"/>
          <w:numId w:val="7"/>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市局交办任务：完成2025攀枝花土地发布会承办工作；完成“花城土地云”小程序运营及关停申报；参与全市建设用地批次线上联审、政务信息系统清查等工作。</w:t>
      </w:r>
    </w:p>
    <w:p w14:paraId="1708703D">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六是工程结算与清欠工作</w:t>
      </w:r>
    </w:p>
    <w:p w14:paraId="2BA3463B">
      <w:pPr>
        <w:keepNext w:val="0"/>
        <w:keepLines w:val="0"/>
        <w:pageBreakBefore w:val="0"/>
        <w:kinsoku/>
        <w:wordWrap/>
        <w:overflowPunct/>
        <w:topLinePunct w:val="0"/>
        <w:autoSpaceDN/>
        <w:bidi w:val="0"/>
        <w:snapToGrid w:val="0"/>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完成炳三区二期道路工程O线延长线、炳二区四号线次干路工程（一期）、攀枝花市实验学校北校门和完善周边市政设施建设项目待摊费用编制，待会审后提请局党组会审议；完成中心及市土地开发有限责任公司组织实施的“炳二区主干路A标段”等10个项目清欠，清欠金额278.05万元。</w:t>
      </w:r>
    </w:p>
    <w:p w14:paraId="7F920CF3">
      <w:pPr>
        <w:keepNext w:val="0"/>
        <w:keepLines w:val="0"/>
        <w:pageBreakBefore w:val="0"/>
        <w:kinsoku/>
        <w:wordWrap/>
        <w:overflowPunct/>
        <w:topLinePunct w:val="0"/>
        <w:autoSpaceDN/>
        <w:bidi w:val="0"/>
        <w:snapToGrid w:val="0"/>
        <w:spacing w:line="600" w:lineRule="exact"/>
        <w:ind w:firstLine="643" w:firstLineChars="200"/>
        <w:textAlignment w:val="auto"/>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七是2025年度工作亮点</w:t>
      </w:r>
    </w:p>
    <w:p w14:paraId="4BE6001E">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土地推介工作荣获各界广泛认可及市领导肯定。2025攀枝花城市价值暨土地资源发布会于9月25日圆满落幕，作为承办单位核心力量，市土储中心在市局领导下，高标准完成组织筹备、资源推介等重点工作，获领导肯定与各界广泛认可。在筹备阶段，中心通过细化6大环节流程，协调市财政局、住建局等多部门联动，对接40余家开发企业、19家媒体及自媒体直播平台，实现参会主体全覆盖；本次发布会推出的2821.62亩优质地块获企业高度关注。范继跃市长作出“很好！要到周边去，到目标城市去推荐”的肯定批示，对本次发布会组织筹备及成效高度认可。</w:t>
      </w:r>
    </w:p>
    <w:p w14:paraId="1F687358">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实现红格南钒钛磁铁矿开发建设用（征）地补偿安置资金“零差错、零延误”。2025年，中心严格执行《攀枝花市自然资源和规划局红格南矿用（征）地补偿安置市级资金收支管理规定》，实现缴存红格南钒钛磁铁矿开发建设用（征）地补偿安置费非税收入5亿元，拨付红格南钒钛磁铁矿开发建设用（征）地补偿安置市级资金4亿元。自2024年6月启动以来，中心累计办理缴存非税收入9亿元，拨付资金4亿元。中心作为资金收支工作实施单位，严格规范资金收支、精准高效落实拨付，实现资金保障“零差错、零延误”，为项目顺利推进筑牢坚实财务根基。中心精准对接盐边县资金需求，第一时间向市财政局申请资金，确保资金计划科学合理，限时完成4亿元资金拨付工作，以精细化财务工作为红格南钒钛磁铁矿开发建设提供持续稳定的资金支撑。</w:t>
      </w:r>
    </w:p>
    <w:p w14:paraId="548A6AFD">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推动4个土储债券项目发行，为土储发展注入金融活水。中心在市局的领导下，精准发力、高效推进相关工作，实现“项目入库有质量、债券发行有成效、后续申报有衔接”，为全市土地储备和城市发展注入强劲金融动力。中心精准筛选，严格对照专项债券申报标准，2025年成功完成6个拟使用专项债券的土地储备项目入库工作，加强与财政、发改等部门联动协调，2025年顺利推动4个土地储备专项债券项目发行，累计争取资金1.35亿元。</w:t>
      </w:r>
    </w:p>
    <w:p w14:paraId="3CCEB3FB">
      <w:pPr>
        <w:keepNext w:val="0"/>
        <w:keepLines w:val="0"/>
        <w:pageBreakBefore w:val="0"/>
        <w:numPr>
          <w:ilvl w:val="0"/>
          <w:numId w:val="8"/>
        </w:numPr>
        <w:kinsoku/>
        <w:wordWrap/>
        <w:overflowPunct/>
        <w:topLinePunct w:val="0"/>
        <w:autoSpaceDN/>
        <w:bidi w:val="0"/>
        <w:snapToGrid w:val="0"/>
        <w:spacing w:line="600" w:lineRule="exact"/>
        <w:ind w:left="0" w:leftChars="0" w:firstLine="640" w:firstLineChars="20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成功争取资金，推动统征遗留问题处置工程落地实施。2025年4月，经市政府同意，在市财政局大力支持下，专项拨款50万元，用于凤凰小区11号安置楼产权办理工作。目前已完成大部分工作，待消防整改完成后，即可</w:t>
      </w:r>
      <w:r>
        <w:rPr>
          <w:rFonts w:hint="eastAsia" w:ascii="Times New Roman" w:hAnsi="Times New Roman" w:eastAsia="仿宋_GB2312" w:cs="Times New Roman"/>
          <w:sz w:val="32"/>
          <w:szCs w:val="32"/>
          <w:lang w:eastAsia="zh-CN"/>
        </w:rPr>
        <w:t>办理</w:t>
      </w:r>
      <w:r>
        <w:rPr>
          <w:rFonts w:hint="default" w:ascii="Times New Roman" w:hAnsi="Times New Roman" w:eastAsia="仿宋_GB2312" w:cs="Times New Roman"/>
          <w:sz w:val="32"/>
          <w:szCs w:val="32"/>
        </w:rPr>
        <w:t>产权登记。</w:t>
      </w:r>
    </w:p>
    <w:p w14:paraId="75092F47">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sz w:val="32"/>
          <w:szCs w:val="32"/>
          <w:lang w:val="zh-CN"/>
        </w:rPr>
        <w:t>预算管理。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攀枝花市土地储备中心严格预算编制，从单位实际出发，按照部门预算编制方法和口径科学编制年度预算。在预算执行过程中，市土地储备中心始终坚持预算刚性约束，严格预算监督，厉行节约，根据中心年度工作计划的执行情况和</w:t>
      </w:r>
      <w:r>
        <w:rPr>
          <w:rFonts w:hint="default" w:ascii="Times New Roman" w:hAnsi="Times New Roman" w:eastAsia="仿宋_GB2312" w:cs="Times New Roman"/>
          <w:sz w:val="32"/>
          <w:szCs w:val="32"/>
          <w:lang w:eastAsia="zh-CN"/>
        </w:rPr>
        <w:t>轻重缓急</w:t>
      </w:r>
      <w:r>
        <w:rPr>
          <w:rFonts w:hint="default" w:ascii="Times New Roman" w:hAnsi="Times New Roman" w:eastAsia="仿宋_GB2312" w:cs="Times New Roman"/>
          <w:sz w:val="32"/>
          <w:szCs w:val="32"/>
        </w:rPr>
        <w:t>合理安排资金支付进度，及时开展预算执行分析研判和绩效分析工作，确保资金使用效率。</w:t>
      </w:r>
    </w:p>
    <w:p w14:paraId="2F523E06">
      <w:pPr>
        <w:keepNext w:val="0"/>
        <w:keepLines w:val="0"/>
        <w:pageBreakBefore w:val="0"/>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3.</w:t>
      </w:r>
      <w:r>
        <w:rPr>
          <w:rFonts w:hint="default" w:ascii="Times New Roman" w:hAnsi="Times New Roman" w:eastAsia="仿宋_GB2312" w:cs="Times New Roman"/>
          <w:sz w:val="32"/>
          <w:szCs w:val="32"/>
          <w:lang w:val="zh-CN"/>
        </w:rPr>
        <w:t>财务管理。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市土地储备中心在严格执行中央、省、市和上级主管部门财务管理制度的基础上，依据中心财务管理办法和各项内控制度开展财务工作。财务负责人由中心副主任担任，并设会计岗和出纳岗。中心财务管理制度健全，资金使用规范。</w:t>
      </w:r>
    </w:p>
    <w:p w14:paraId="09F086A1">
      <w:pPr>
        <w:keepNext w:val="0"/>
        <w:keepLines w:val="0"/>
        <w:pageBreakBefore w:val="0"/>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4.</w:t>
      </w:r>
      <w:r>
        <w:rPr>
          <w:rFonts w:hint="default" w:ascii="Times New Roman" w:hAnsi="Times New Roman" w:eastAsia="仿宋_GB2312" w:cs="Times New Roman"/>
          <w:sz w:val="32"/>
          <w:szCs w:val="32"/>
          <w:lang w:val="zh-CN"/>
        </w:rPr>
        <w:t>资产管理。202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zh-CN"/>
        </w:rPr>
        <w:t>年，市土地储备中心厉行节约，无新购入固定资产，通过对现有固定资产进行必要维护维修，维持机构正常运转。同时，定期开展固定资产盘点、应收账款催收等相关工作，确保中心资产管理安全、有效、可控。</w:t>
      </w:r>
    </w:p>
    <w:p w14:paraId="7498B9A4">
      <w:pPr>
        <w:keepNext w:val="0"/>
        <w:keepLines w:val="0"/>
        <w:pageBreakBefore w:val="0"/>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5.</w:t>
      </w:r>
      <w:r>
        <w:rPr>
          <w:rFonts w:hint="default" w:ascii="Times New Roman" w:hAnsi="Times New Roman" w:eastAsia="仿宋_GB2312" w:cs="Times New Roman"/>
          <w:sz w:val="32"/>
          <w:szCs w:val="32"/>
          <w:lang w:val="zh-CN"/>
        </w:rPr>
        <w:t>采购管理。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年，市土地储备中心无采购支出。</w:t>
      </w:r>
    </w:p>
    <w:p w14:paraId="2304632B">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3" w:firstLineChars="200"/>
        <w:contextualSpacing/>
        <w:jc w:val="both"/>
        <w:textAlignment w:val="auto"/>
        <w:outlineLvl w:val="9"/>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（二）单位预算项目绩效分析。</w:t>
      </w:r>
    </w:p>
    <w:p w14:paraId="67EE6DBE">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rPr>
        <w:t>常年项目绩效分析。</w:t>
      </w:r>
      <w:r>
        <w:rPr>
          <w:rFonts w:hint="default" w:ascii="Times New Roman" w:hAnsi="Times New Roman" w:eastAsia="仿宋_GB2312" w:cs="Times New Roman"/>
          <w:sz w:val="32"/>
          <w:szCs w:val="32"/>
          <w:lang w:val="zh-CN"/>
        </w:rPr>
        <w:t>该类项目总数</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val="zh-CN"/>
        </w:rPr>
        <w:t>个，涉及预算总金额</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val="zh-CN"/>
        </w:rPr>
        <w:t>万元。</w:t>
      </w:r>
    </w:p>
    <w:p w14:paraId="406912DA">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contextualSpacing/>
        <w:jc w:val="both"/>
        <w:textAlignment w:val="auto"/>
        <w:outlineLvl w:val="9"/>
        <w:rPr>
          <w:rFonts w:hint="default" w:ascii="Times New Roman" w:hAnsi="Times New Roman" w:eastAsia="仿宋_GB2312" w:cs="Times New Roman"/>
          <w:color w:val="auto"/>
          <w:kern w:val="2"/>
          <w:sz w:val="32"/>
          <w:szCs w:val="32"/>
          <w:highlight w:val="none"/>
          <w:lang w:val="zh-CN" w:eastAsia="zh-CN" w:bidi="ar-SA"/>
        </w:rPr>
      </w:pPr>
      <w:r>
        <w:rPr>
          <w:rFonts w:hint="default" w:ascii="Times New Roman" w:hAnsi="Times New Roman" w:eastAsia="仿宋_GB2312" w:cs="Times New Roman"/>
          <w:color w:val="auto"/>
          <w:kern w:val="2"/>
          <w:sz w:val="32"/>
          <w:szCs w:val="32"/>
          <w:highlight w:val="none"/>
          <w:lang w:val="en-US" w:eastAsia="zh-CN" w:bidi="ar-SA"/>
        </w:rPr>
        <w:t>阶段（一次性）项目绩效分析。</w:t>
      </w:r>
      <w:r>
        <w:rPr>
          <w:rFonts w:hint="default" w:ascii="Times New Roman" w:hAnsi="Times New Roman" w:eastAsia="仿宋_GB2312" w:cs="Times New Roman"/>
          <w:color w:val="auto"/>
          <w:kern w:val="2"/>
          <w:sz w:val="32"/>
          <w:szCs w:val="32"/>
          <w:highlight w:val="none"/>
          <w:lang w:val="zh-CN" w:eastAsia="zh-CN" w:bidi="ar-SA"/>
        </w:rPr>
        <w:t>该类项目总数</w:t>
      </w:r>
      <w:r>
        <w:rPr>
          <w:rFonts w:hint="default" w:ascii="Times New Roman" w:hAnsi="Times New Roman" w:eastAsia="仿宋_GB2312" w:cs="Times New Roman"/>
          <w:color w:val="auto"/>
          <w:kern w:val="2"/>
          <w:sz w:val="32"/>
          <w:szCs w:val="32"/>
          <w:highlight w:val="none"/>
          <w:lang w:val="en-US" w:eastAsia="zh-CN" w:bidi="ar-SA"/>
        </w:rPr>
        <w:t>1</w:t>
      </w:r>
      <w:r>
        <w:rPr>
          <w:rFonts w:hint="eastAsia" w:ascii="Times New Roman" w:hAnsi="Times New Roman" w:eastAsia="仿宋_GB2312" w:cs="Times New Roman"/>
          <w:color w:val="auto"/>
          <w:kern w:val="2"/>
          <w:sz w:val="32"/>
          <w:szCs w:val="32"/>
          <w:highlight w:val="none"/>
          <w:lang w:val="en-US" w:eastAsia="zh-CN" w:bidi="ar-SA"/>
        </w:rPr>
        <w:t>1</w:t>
      </w:r>
      <w:r>
        <w:rPr>
          <w:rFonts w:hint="default" w:ascii="Times New Roman" w:hAnsi="Times New Roman" w:eastAsia="仿宋_GB2312" w:cs="Times New Roman"/>
          <w:color w:val="auto"/>
          <w:kern w:val="2"/>
          <w:sz w:val="32"/>
          <w:szCs w:val="32"/>
          <w:highlight w:val="none"/>
          <w:lang w:val="zh-CN" w:eastAsia="zh-CN" w:bidi="ar-SA"/>
        </w:rPr>
        <w:t>个，涉及预算总金额40315.83万元，1—1</w:t>
      </w:r>
      <w:r>
        <w:rPr>
          <w:rFonts w:hint="default" w:ascii="Times New Roman" w:hAnsi="Times New Roman" w:eastAsia="仿宋_GB2312" w:cs="Times New Roman"/>
          <w:color w:val="auto"/>
          <w:kern w:val="2"/>
          <w:sz w:val="32"/>
          <w:szCs w:val="32"/>
          <w:highlight w:val="none"/>
          <w:lang w:val="en-US" w:eastAsia="zh-CN" w:bidi="ar-SA"/>
        </w:rPr>
        <w:t>2</w:t>
      </w:r>
      <w:r>
        <w:rPr>
          <w:rFonts w:hint="default" w:ascii="Times New Roman" w:hAnsi="Times New Roman" w:eastAsia="仿宋_GB2312" w:cs="Times New Roman"/>
          <w:color w:val="auto"/>
          <w:kern w:val="2"/>
          <w:sz w:val="32"/>
          <w:szCs w:val="32"/>
          <w:highlight w:val="none"/>
          <w:lang w:val="zh-CN" w:eastAsia="zh-CN" w:bidi="ar-SA"/>
        </w:rPr>
        <w:t>月预算执行总体进度为</w:t>
      </w:r>
      <w:r>
        <w:rPr>
          <w:rFonts w:hint="default" w:ascii="Times New Roman" w:hAnsi="Times New Roman" w:eastAsia="仿宋_GB2312" w:cs="Times New Roman"/>
          <w:color w:val="auto"/>
          <w:kern w:val="2"/>
          <w:sz w:val="32"/>
          <w:szCs w:val="32"/>
          <w:highlight w:val="none"/>
          <w:lang w:val="en-US" w:eastAsia="zh-CN" w:bidi="ar-SA"/>
        </w:rPr>
        <w:t>100</w:t>
      </w:r>
      <w:r>
        <w:rPr>
          <w:rFonts w:hint="default" w:ascii="Times New Roman" w:hAnsi="Times New Roman" w:eastAsia="仿宋_GB2312" w:cs="Times New Roman"/>
          <w:color w:val="auto"/>
          <w:kern w:val="2"/>
          <w:sz w:val="32"/>
          <w:szCs w:val="32"/>
          <w:highlight w:val="none"/>
          <w:lang w:val="zh-CN" w:eastAsia="zh-CN" w:bidi="ar-SA"/>
        </w:rPr>
        <w:t>%，其中：预算结余率大于</w:t>
      </w:r>
      <w:r>
        <w:rPr>
          <w:rFonts w:hint="default" w:ascii="Times New Roman" w:hAnsi="Times New Roman" w:eastAsia="仿宋_GB2312" w:cs="Times New Roman"/>
          <w:color w:val="auto"/>
          <w:kern w:val="2"/>
          <w:sz w:val="32"/>
          <w:szCs w:val="32"/>
          <w:highlight w:val="none"/>
          <w:lang w:val="en-US" w:eastAsia="zh-CN" w:bidi="ar-SA"/>
        </w:rPr>
        <w:t>10%</w:t>
      </w:r>
      <w:r>
        <w:rPr>
          <w:rFonts w:hint="default" w:ascii="Times New Roman" w:hAnsi="Times New Roman" w:eastAsia="仿宋_GB2312" w:cs="Times New Roman"/>
          <w:color w:val="auto"/>
          <w:kern w:val="2"/>
          <w:sz w:val="32"/>
          <w:szCs w:val="32"/>
          <w:highlight w:val="none"/>
          <w:lang w:val="zh-CN" w:eastAsia="zh-CN" w:bidi="ar-SA"/>
        </w:rPr>
        <w:t>的项目</w:t>
      </w:r>
      <w:r>
        <w:rPr>
          <w:rFonts w:hint="default" w:ascii="Times New Roman" w:hAnsi="Times New Roman" w:eastAsia="仿宋_GB2312" w:cs="Times New Roman"/>
          <w:color w:val="auto"/>
          <w:kern w:val="2"/>
          <w:sz w:val="32"/>
          <w:szCs w:val="32"/>
          <w:highlight w:val="none"/>
          <w:lang w:val="en-US" w:eastAsia="zh-CN" w:bidi="ar-SA"/>
        </w:rPr>
        <w:t>共计0</w:t>
      </w:r>
      <w:r>
        <w:rPr>
          <w:rFonts w:hint="default" w:ascii="Times New Roman" w:hAnsi="Times New Roman" w:eastAsia="仿宋_GB2312" w:cs="Times New Roman"/>
          <w:color w:val="auto"/>
          <w:kern w:val="2"/>
          <w:sz w:val="32"/>
          <w:szCs w:val="32"/>
          <w:highlight w:val="none"/>
          <w:lang w:val="zh-CN" w:eastAsia="zh-CN" w:bidi="ar-SA"/>
        </w:rPr>
        <w:t>个。</w:t>
      </w:r>
    </w:p>
    <w:p w14:paraId="6C184166">
      <w:pPr>
        <w:keepNext w:val="0"/>
        <w:keepLines w:val="0"/>
        <w:pageBreakBefore w:val="0"/>
        <w:kinsoku/>
        <w:wordWrap/>
        <w:overflowPunct/>
        <w:topLinePunct w:val="0"/>
        <w:autoSpaceDN/>
        <w:bidi w:val="0"/>
        <w:adjustRightInd w:val="0"/>
        <w:snapToGrid w:val="0"/>
        <w:spacing w:line="600" w:lineRule="exact"/>
        <w:ind w:firstLine="640" w:firstLineChars="200"/>
        <w:contextualSpacing/>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1.51040022Y000000408973</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储备土地管护（含空置房管护）经费</w:t>
      </w:r>
    </w:p>
    <w:p w14:paraId="2B7A0132">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2025年，该项目预算下达资金4.5万元；支付办公楼诉讼费0.18万元，支付湖光综合楼测绘费0.6万元，支付凤凰西街11号楼电梯年检维修维保费2.2万元，支付西贵金沙、锦绣豪庭物业费1.32万元。本项目的实施确保</w:t>
      </w:r>
      <w:r>
        <w:rPr>
          <w:rFonts w:hint="eastAsia" w:ascii="Times New Roman" w:hAnsi="Times New Roman" w:eastAsia="仿宋_GB2312" w:cs="Times New Roman"/>
          <w:sz w:val="32"/>
          <w:szCs w:val="32"/>
          <w:lang w:val="en-US" w:eastAsia="zh-CN"/>
        </w:rPr>
        <w:t>市</w:t>
      </w:r>
      <w:r>
        <w:rPr>
          <w:rFonts w:hint="default" w:ascii="Times New Roman" w:hAnsi="Times New Roman" w:eastAsia="仿宋_GB2312" w:cs="Times New Roman"/>
          <w:sz w:val="32"/>
          <w:szCs w:val="32"/>
          <w:lang w:val="en-US" w:eastAsia="zh-CN"/>
        </w:rPr>
        <w:t>土地储备中心按时完成2025年攀枝花市土地储备计划编制工作，完成2025年度储备土地及地面资产管理，确保市级储备土地环境卫生整洁、及时排查并消除各类安全隐患；完成2025年度全民所有土地资产管理信息系统信息填报工作，完成2025年度空置安置房日常维护管理，并缴纳物业管理费。</w:t>
      </w:r>
      <w:r>
        <w:rPr>
          <w:rFonts w:hint="default" w:ascii="Times New Roman" w:hAnsi="Times New Roman" w:eastAsia="仿宋_GB2312" w:cs="Times New Roman"/>
          <w:sz w:val="32"/>
          <w:szCs w:val="32"/>
          <w:lang w:val="zh-CN"/>
        </w:rPr>
        <w:t>按时支付率100%，资金支付率100%，无资金结余，无违规记录。</w:t>
      </w:r>
    </w:p>
    <w:p w14:paraId="40A61580">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2.51040023T000009215555</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退休“中人”一次性退休补贴</w:t>
      </w:r>
    </w:p>
    <w:p w14:paraId="478154FC">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val="0"/>
          <w:bCs w:val="0"/>
          <w:color w:val="000000"/>
          <w:kern w:val="0"/>
          <w:sz w:val="32"/>
          <w:szCs w:val="32"/>
          <w:shd w:val="clear" w:color="auto" w:fill="FFFFFF"/>
          <w:lang w:val="en-US" w:eastAsia="zh-CN"/>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4.19</w:t>
      </w:r>
      <w:r>
        <w:rPr>
          <w:rFonts w:hint="default" w:ascii="Times New Roman" w:hAnsi="Times New Roman" w:eastAsia="仿宋_GB2312" w:cs="Times New Roman"/>
          <w:sz w:val="32"/>
          <w:szCs w:val="32"/>
          <w:lang w:val="zh-CN"/>
        </w:rPr>
        <w:t>万元。市土地储备中心及时、足额、准确发放退休“中人”一次性退休补贴</w:t>
      </w:r>
      <w:r>
        <w:rPr>
          <w:rFonts w:hint="default" w:ascii="Times New Roman" w:hAnsi="Times New Roman" w:eastAsia="仿宋_GB2312" w:cs="Times New Roman"/>
          <w:sz w:val="32"/>
          <w:szCs w:val="32"/>
          <w:lang w:val="en-US" w:eastAsia="zh-CN"/>
        </w:rPr>
        <w:t>4.19</w:t>
      </w:r>
      <w:r>
        <w:rPr>
          <w:rFonts w:hint="default" w:ascii="Times New Roman" w:hAnsi="Times New Roman" w:eastAsia="仿宋_GB2312" w:cs="Times New Roman"/>
          <w:sz w:val="32"/>
          <w:szCs w:val="32"/>
          <w:lang w:val="zh-CN"/>
        </w:rPr>
        <w:t>万元。按时支付率100%，资金支付率100%，无资金结余，无违规记录。</w:t>
      </w:r>
    </w:p>
    <w:p w14:paraId="05E06C41">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3.51040023Y000009206458</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攀枝花市21条道路雨污水窨井盖加装防坠网工程</w:t>
      </w:r>
    </w:p>
    <w:p w14:paraId="4C141F36">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0.4</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0.4</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502D3F4F">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4.51040025T000013337219</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红格南钒钛磁铁矿开发建设用（征）地补偿安置工作（市级）</w:t>
      </w:r>
    </w:p>
    <w:p w14:paraId="14519399">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40000</w:t>
      </w:r>
      <w:r>
        <w:rPr>
          <w:rFonts w:hint="default" w:ascii="Times New Roman" w:hAnsi="Times New Roman" w:eastAsia="仿宋_GB2312" w:cs="Times New Roman"/>
          <w:sz w:val="32"/>
          <w:szCs w:val="32"/>
          <w:lang w:val="zh-CN"/>
        </w:rPr>
        <w:t>万元。市土地储备中心根据盐边县资金需求及市财政资金安排，拨付红格南钒钛磁铁矿开发建设用（征）地补偿安置市级资金</w:t>
      </w:r>
      <w:r>
        <w:rPr>
          <w:rFonts w:hint="default" w:ascii="Times New Roman" w:hAnsi="Times New Roman" w:eastAsia="仿宋_GB2312" w:cs="Times New Roman"/>
          <w:sz w:val="32"/>
          <w:szCs w:val="32"/>
          <w:lang w:val="en-US" w:eastAsia="zh-CN"/>
        </w:rPr>
        <w:t>40000万元</w:t>
      </w:r>
      <w:r>
        <w:rPr>
          <w:rFonts w:hint="default" w:ascii="Times New Roman" w:hAnsi="Times New Roman" w:eastAsia="仿宋_GB2312" w:cs="Times New Roman"/>
          <w:sz w:val="32"/>
          <w:szCs w:val="32"/>
          <w:lang w:val="zh-CN"/>
        </w:rPr>
        <w:t>。按时支付率100%，资金支付率100%，无资金结余，无违规记录。</w:t>
      </w:r>
    </w:p>
    <w:p w14:paraId="79CCB393">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5.51040025Y000013752047</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解决凤凰小区乡情苑11号安置住宅楼遗留问题所需资金</w:t>
      </w:r>
    </w:p>
    <w:p w14:paraId="331D0296">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8.26</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8.26</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本项目完成乡情苑11号安置住宅楼房屋安全结构鉴定、房产测绘工作，完成消防整改实施前期工作。按合同约定支付合同款，</w:t>
      </w:r>
      <w:r>
        <w:rPr>
          <w:rFonts w:hint="default" w:ascii="Times New Roman" w:hAnsi="Times New Roman" w:eastAsia="仿宋_GB2312" w:cs="Times New Roman"/>
          <w:sz w:val="32"/>
          <w:szCs w:val="32"/>
          <w:lang w:val="zh-CN"/>
        </w:rPr>
        <w:t>按时支付率100%，资金支付率100%，无资金结余，无违规记录。</w:t>
      </w:r>
    </w:p>
    <w:p w14:paraId="541E8769">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6.51040026Y000014135605</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炳二区主干路A标段</w:t>
      </w:r>
    </w:p>
    <w:p w14:paraId="15EAEBE6">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216.51</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216.51</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703F3CEF">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7.51040026Y000014135623</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炳三区二期城市基础设施道路照明工程</w:t>
      </w:r>
    </w:p>
    <w:p w14:paraId="1D056AFA">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42.52</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42.52</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2E3B6308">
      <w:pPr>
        <w:keepNext w:val="0"/>
        <w:keepLines w:val="0"/>
        <w:pageBreakBefore w:val="0"/>
        <w:kinsoku/>
        <w:wordWrap/>
        <w:overflowPunct/>
        <w:topLinePunct w:val="0"/>
        <w:autoSpaceDE w:val="0"/>
        <w:autoSpaceDN/>
        <w:bidi w:val="0"/>
        <w:spacing w:line="600" w:lineRule="exact"/>
        <w:ind w:firstLine="640" w:firstLineChars="200"/>
        <w:jc w:val="both"/>
        <w:textAlignment w:val="auto"/>
        <w:rPr>
          <w:rFonts w:hint="default" w:ascii="Times New Roman" w:hAnsi="Times New Roman" w:eastAsia="楷体_GB2312" w:cs="Times New Roman"/>
          <w:b w:val="0"/>
          <w:bCs w:val="0"/>
          <w:color w:val="000000"/>
          <w:kern w:val="0"/>
          <w:sz w:val="32"/>
          <w:szCs w:val="32"/>
          <w:shd w:val="clear" w:color="auto" w:fill="FFFFFF"/>
          <w:lang w:val="en-US" w:eastAsia="zh-CN"/>
        </w:rPr>
      </w:pPr>
      <w:r>
        <w:rPr>
          <w:rFonts w:hint="default" w:ascii="Times New Roman" w:hAnsi="Times New Roman" w:eastAsia="楷体_GB2312" w:cs="Times New Roman"/>
          <w:b w:val="0"/>
          <w:bCs w:val="0"/>
          <w:color w:val="000000"/>
          <w:kern w:val="0"/>
          <w:sz w:val="32"/>
          <w:szCs w:val="32"/>
          <w:shd w:val="clear" w:color="auto" w:fill="FFFFFF"/>
          <w:lang w:val="en-US" w:eastAsia="zh-CN"/>
        </w:rPr>
        <w:t>8.51040026Y000014135640</w:t>
      </w:r>
      <w:r>
        <w:rPr>
          <w:rFonts w:hint="eastAsia" w:eastAsia="楷体_GB2312" w:cs="Times New Roman"/>
          <w:b w:val="0"/>
          <w:bCs w:val="0"/>
          <w:color w:val="000000"/>
          <w:kern w:val="0"/>
          <w:sz w:val="32"/>
          <w:szCs w:val="32"/>
          <w:shd w:val="clear" w:color="auto" w:fill="FFFFFF"/>
          <w:lang w:val="en-US" w:eastAsia="zh-CN"/>
        </w:rPr>
        <w:t>－</w:t>
      </w:r>
      <w:r>
        <w:rPr>
          <w:rFonts w:hint="default" w:ascii="Times New Roman" w:hAnsi="Times New Roman" w:eastAsia="楷体_GB2312" w:cs="Times New Roman"/>
          <w:b w:val="0"/>
          <w:bCs w:val="0"/>
          <w:color w:val="000000"/>
          <w:kern w:val="0"/>
          <w:sz w:val="32"/>
          <w:szCs w:val="32"/>
          <w:shd w:val="clear" w:color="auto" w:fill="FFFFFF"/>
          <w:lang w:val="en-US" w:eastAsia="zh-CN"/>
        </w:rPr>
        <w:t>炳二区堰塞湖应急处置原有临时排污系统清理工程</w:t>
      </w:r>
    </w:p>
    <w:p w14:paraId="30BBC737">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3.19</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3.19</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254658A6">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9.51040026Y000014135649</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炳三区标线、标牌施工</w:t>
      </w:r>
    </w:p>
    <w:p w14:paraId="505CB450">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1.41</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1.41</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65E784DB">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10.51040026Y000014135655-110指挥中心至学府花园之间人行梯步及道路安全防护工程</w:t>
      </w:r>
    </w:p>
    <w:p w14:paraId="2D3FCDC1">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5.8</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5.8</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02C6EB92">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11.51040026Y000014285455-2025年清理拖欠企业欠款（市级）50万元以下）</w:t>
      </w:r>
    </w:p>
    <w:p w14:paraId="77DD5F27">
      <w:pPr>
        <w:keepNext w:val="0"/>
        <w:keepLines w:val="0"/>
        <w:pageBreakBefore w:val="0"/>
        <w:kinsoku/>
        <w:wordWrap/>
        <w:overflowPunct/>
        <w:topLinePunct w:val="0"/>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2"/>
          <w:sz w:val="32"/>
          <w:szCs w:val="32"/>
          <w:highlight w:val="none"/>
          <w:lang w:val="en-US" w:eastAsia="zh-CN" w:bidi="ar-SA"/>
        </w:rPr>
        <w:t>2025年，</w:t>
      </w:r>
      <w:r>
        <w:rPr>
          <w:rFonts w:hint="default" w:ascii="Times New Roman" w:hAnsi="Times New Roman" w:eastAsia="仿宋_GB2312" w:cs="Times New Roman"/>
          <w:sz w:val="32"/>
          <w:szCs w:val="32"/>
          <w:lang w:val="zh-CN"/>
        </w:rPr>
        <w:t>该项目预算下达资金</w:t>
      </w:r>
      <w:r>
        <w:rPr>
          <w:rFonts w:hint="default" w:ascii="Times New Roman" w:hAnsi="Times New Roman" w:eastAsia="仿宋_GB2312" w:cs="Times New Roman"/>
          <w:sz w:val="32"/>
          <w:szCs w:val="32"/>
          <w:lang w:val="en-US" w:eastAsia="zh-CN"/>
        </w:rPr>
        <w:t>33.43</w:t>
      </w:r>
      <w:r>
        <w:rPr>
          <w:rFonts w:hint="default" w:ascii="Times New Roman" w:hAnsi="Times New Roman" w:eastAsia="仿宋_GB2312" w:cs="Times New Roman"/>
          <w:sz w:val="32"/>
          <w:szCs w:val="32"/>
          <w:lang w:val="zh-CN"/>
        </w:rPr>
        <w:t>万元。市土地储备中心按照合同约定支付工程款</w:t>
      </w:r>
      <w:r>
        <w:rPr>
          <w:rFonts w:hint="default" w:ascii="Times New Roman" w:hAnsi="Times New Roman" w:eastAsia="仿宋_GB2312" w:cs="Times New Roman"/>
          <w:sz w:val="32"/>
          <w:szCs w:val="32"/>
          <w:lang w:val="en-US" w:eastAsia="zh-CN"/>
        </w:rPr>
        <w:t>33.43</w:t>
      </w:r>
      <w:r>
        <w:rPr>
          <w:rFonts w:hint="default"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本项目按照市政府清偿中小企业欠款要求，及时支付拖欠工程款，</w:t>
      </w:r>
      <w:r>
        <w:rPr>
          <w:rFonts w:hint="default" w:ascii="Times New Roman" w:hAnsi="Times New Roman" w:eastAsia="仿宋_GB2312" w:cs="Times New Roman"/>
          <w:sz w:val="32"/>
          <w:szCs w:val="32"/>
          <w:lang w:val="zh-CN"/>
        </w:rPr>
        <w:t>按时支付率100%，资金支付率100%，无资金结余，无违规记录。</w:t>
      </w:r>
    </w:p>
    <w:p w14:paraId="06227B20">
      <w:pPr>
        <w:keepNext w:val="0"/>
        <w:keepLines w:val="0"/>
        <w:pageBreakBefore w:val="0"/>
        <w:kinsoku/>
        <w:wordWrap/>
        <w:overflowPunct/>
        <w:topLinePunct w:val="0"/>
        <w:autoSpaceDE w:val="0"/>
        <w:autoSpaceDN/>
        <w:bidi w:val="0"/>
        <w:spacing w:line="600" w:lineRule="exact"/>
        <w:ind w:firstLine="643" w:firstLineChars="200"/>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rPr>
        <w:t>三</w:t>
      </w:r>
      <w:r>
        <w:rPr>
          <w:rFonts w:hint="default" w:ascii="Times New Roman" w:hAnsi="Times New Roman" w:eastAsia="楷体_GB2312" w:cs="Times New Roman"/>
          <w:b/>
          <w:bCs/>
          <w:color w:val="000000"/>
          <w:kern w:val="0"/>
          <w:sz w:val="32"/>
          <w:szCs w:val="32"/>
          <w:shd w:val="clear" w:color="auto" w:fill="FFFFFF"/>
          <w:lang w:val="zh-CN"/>
        </w:rPr>
        <w:t>）绩效结果应用情况。</w:t>
      </w:r>
      <w:r>
        <w:rPr>
          <w:rFonts w:hint="default" w:ascii="Times New Roman" w:hAnsi="Times New Roman" w:eastAsia="仿宋_GB2312" w:cs="Times New Roman"/>
          <w:sz w:val="32"/>
          <w:szCs w:val="32"/>
          <w:lang w:val="zh-CN"/>
        </w:rPr>
        <w:t>市土地储备中心将绩效自评结果运用到次年工作，促进中心各项业务工作取得成效。绩效自评结果按照规定公开公示。</w:t>
      </w:r>
    </w:p>
    <w:p w14:paraId="3B67181D">
      <w:pPr>
        <w:keepNext w:val="0"/>
        <w:keepLines w:val="0"/>
        <w:pageBreakBefore w:val="0"/>
        <w:widowControl/>
        <w:kinsoku/>
        <w:wordWrap/>
        <w:overflowPunct/>
        <w:topLinePunct w:val="0"/>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rPr>
      </w:pPr>
      <w:r>
        <w:rPr>
          <w:rFonts w:hint="default" w:ascii="Times New Roman" w:hAnsi="Times New Roman" w:eastAsia="黑体" w:cs="Times New Roman"/>
          <w:color w:val="000000"/>
          <w:kern w:val="0"/>
          <w:sz w:val="32"/>
          <w:szCs w:val="32"/>
          <w:shd w:val="clear" w:color="auto" w:fill="FFFFFF"/>
          <w:lang w:val="zh-CN"/>
        </w:rPr>
        <w:t>四、评价结论及建议</w:t>
      </w:r>
    </w:p>
    <w:p w14:paraId="242AA258">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default" w:ascii="Times New Roman" w:hAnsi="Times New Roman" w:eastAsia="仿宋_GB2312" w:cs="Times New Roman"/>
          <w:sz w:val="32"/>
          <w:szCs w:val="32"/>
          <w:lang w:bidi="ar"/>
        </w:rPr>
        <w:t>202</w:t>
      </w:r>
      <w:r>
        <w:rPr>
          <w:rFonts w:hint="default" w:ascii="Times New Roman" w:hAnsi="Times New Roman" w:eastAsia="仿宋_GB2312" w:cs="Times New Roman"/>
          <w:sz w:val="32"/>
          <w:szCs w:val="32"/>
          <w:lang w:val="en-US" w:eastAsia="zh-CN" w:bidi="ar"/>
        </w:rPr>
        <w:t>5</w:t>
      </w:r>
      <w:r>
        <w:rPr>
          <w:rFonts w:hint="default" w:ascii="Times New Roman" w:hAnsi="Times New Roman" w:eastAsia="仿宋_GB2312" w:cs="Times New Roman"/>
          <w:sz w:val="32"/>
          <w:szCs w:val="32"/>
          <w:lang w:bidi="ar"/>
        </w:rPr>
        <w:t>年，市土地储备中心严格执行部门预算，积极争取资金支持，强化资金使用与管理，全力保障部门正常运转、确保各项业务工作顺利开展，自评得分95分。</w:t>
      </w:r>
    </w:p>
    <w:p w14:paraId="7484A72F">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default" w:ascii="Times New Roman" w:hAnsi="Times New Roman" w:eastAsia="仿宋_GB2312" w:cs="Times New Roman"/>
          <w:sz w:val="32"/>
          <w:szCs w:val="32"/>
          <w:lang w:bidi="ar"/>
        </w:rPr>
        <w:t>预算安排项目资金与实际需求存在较大差距</w:t>
      </w:r>
      <w:r>
        <w:rPr>
          <w:rFonts w:hint="default" w:ascii="Times New Roman" w:hAnsi="Times New Roman" w:eastAsia="仿宋_GB2312" w:cs="Times New Roman"/>
          <w:sz w:val="32"/>
          <w:szCs w:val="32"/>
          <w:lang w:eastAsia="zh-CN" w:bidi="ar"/>
        </w:rPr>
        <w:t>。</w:t>
      </w:r>
    </w:p>
    <w:p w14:paraId="5C2FB6AE">
      <w:pPr>
        <w:keepNext w:val="0"/>
        <w:keepLines w:val="0"/>
        <w:pageBreakBefore w:val="0"/>
        <w:widowControl/>
        <w:kinsoku/>
        <w:wordWrap/>
        <w:overflowPunct/>
        <w:topLinePunct w:val="0"/>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sz w:val="32"/>
          <w:szCs w:val="32"/>
          <w:lang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default" w:ascii="Times New Roman" w:hAnsi="Times New Roman" w:eastAsia="仿宋_GB2312" w:cs="Times New Roman"/>
          <w:sz w:val="32"/>
          <w:szCs w:val="32"/>
          <w:lang w:bidi="ar"/>
        </w:rPr>
        <w:t>市土地储备中心将持续做好预算执行工作，严控各项开支，确保依法依规使用预算资金。</w:t>
      </w:r>
    </w:p>
    <w:p w14:paraId="4DE995B8">
      <w:pPr>
        <w:widowControl w:val="0"/>
        <w:spacing w:line="578" w:lineRule="exact"/>
        <w:jc w:val="both"/>
        <w:rPr>
          <w:rFonts w:hint="default" w:ascii="Times New Roman" w:hAnsi="Times New Roman" w:eastAsia="方正小标宋简体" w:cs="Times New Roman"/>
          <w:color w:val="auto"/>
          <w:kern w:val="2"/>
          <w:sz w:val="44"/>
          <w:szCs w:val="44"/>
          <w:lang w:val="en-US" w:eastAsia="zh-CN" w:bidi="ar-SA"/>
        </w:rPr>
      </w:pPr>
    </w:p>
    <w:p w14:paraId="77F420F2">
      <w:pPr>
        <w:spacing w:line="600" w:lineRule="exact"/>
        <w:jc w:val="center"/>
        <w:rPr>
          <w:rFonts w:hint="default" w:ascii="Times New Roman" w:hAnsi="Times New Roman" w:eastAsia="方正小标宋简体" w:cs="Times New Roman"/>
          <w:sz w:val="40"/>
          <w:szCs w:val="40"/>
          <w:lang w:val="zh-CN"/>
        </w:rPr>
      </w:pPr>
      <w:r>
        <w:rPr>
          <w:rFonts w:hint="default" w:ascii="Times New Roman" w:hAnsi="Times New Roman" w:eastAsia="方正小标宋简体" w:cs="Times New Roman"/>
          <w:sz w:val="40"/>
          <w:szCs w:val="40"/>
          <w:lang w:val="zh-CN"/>
        </w:rPr>
        <w:t>专项预算项目支出绩效自评报告</w:t>
      </w:r>
    </w:p>
    <w:p w14:paraId="50F2171C">
      <w:pPr>
        <w:widowControl w:val="0"/>
        <w:spacing w:line="578" w:lineRule="exact"/>
        <w:jc w:val="center"/>
        <w:rPr>
          <w:rFonts w:hint="default" w:ascii="Times New Roman" w:hAnsi="Times New Roman" w:eastAsia="宋体" w:cs="Times New Roman"/>
          <w:color w:val="auto"/>
          <w:kern w:val="2"/>
          <w:sz w:val="32"/>
          <w:szCs w:val="32"/>
          <w:lang w:val="zh-CN" w:eastAsia="zh-CN" w:bidi="ar-SA"/>
        </w:rPr>
      </w:pPr>
      <w:r>
        <w:rPr>
          <w:rFonts w:hint="default" w:ascii="Times New Roman" w:hAnsi="Times New Roman" w:eastAsia="宋体" w:cs="Times New Roman"/>
          <w:color w:val="auto"/>
          <w:kern w:val="2"/>
          <w:sz w:val="32"/>
          <w:szCs w:val="32"/>
          <w:lang w:val="zh-CN" w:eastAsia="zh-CN" w:bidi="ar-SA"/>
        </w:rPr>
        <w:t>（</w:t>
      </w:r>
      <w:r>
        <w:rPr>
          <w:rFonts w:hint="default" w:ascii="Times New Roman" w:hAnsi="Times New Roman" w:eastAsia="仿宋_GB2312" w:cs="Times New Roman"/>
          <w:color w:val="auto"/>
          <w:kern w:val="2"/>
          <w:sz w:val="32"/>
          <w:szCs w:val="32"/>
          <w:highlight w:val="none"/>
          <w:lang w:val="en-US" w:eastAsia="zh-CN" w:bidi="ar-SA"/>
        </w:rPr>
        <w:t>解决凤凰小区乡情苑11号安置住宅楼遗留问题所需资金</w:t>
      </w:r>
      <w:r>
        <w:rPr>
          <w:rFonts w:hint="default" w:ascii="Times New Roman" w:hAnsi="Times New Roman" w:eastAsia="宋体" w:cs="Times New Roman"/>
          <w:color w:val="auto"/>
          <w:kern w:val="2"/>
          <w:sz w:val="32"/>
          <w:szCs w:val="32"/>
          <w:lang w:val="zh-CN" w:eastAsia="zh-CN" w:bidi="ar-SA"/>
        </w:rPr>
        <w:t>）</w:t>
      </w:r>
    </w:p>
    <w:p w14:paraId="639CA744">
      <w:pPr>
        <w:spacing w:line="600" w:lineRule="exact"/>
        <w:ind w:firstLine="640"/>
        <w:jc w:val="center"/>
        <w:rPr>
          <w:rFonts w:hint="default" w:ascii="Times New Roman" w:hAnsi="Times New Roman" w:eastAsia="宋体" w:cs="Times New Roman"/>
          <w:sz w:val="32"/>
          <w:szCs w:val="32"/>
          <w:lang w:val="zh-CN"/>
        </w:rPr>
      </w:pPr>
    </w:p>
    <w:p w14:paraId="39B6F314">
      <w:pPr>
        <w:adjustRightInd w:val="0"/>
        <w:snapToGrid w:val="0"/>
        <w:spacing w:line="600" w:lineRule="exact"/>
        <w:ind w:firstLine="720"/>
        <w:rPr>
          <w:rFonts w:hint="default" w:ascii="Times New Roman" w:hAnsi="Times New Roman" w:eastAsia="黑体" w:cs="Times New Roman"/>
          <w:sz w:val="32"/>
          <w:szCs w:val="32"/>
          <w:lang w:val="zh-CN"/>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val="zh-CN"/>
        </w:rPr>
        <w:t>项目概况</w:t>
      </w:r>
    </w:p>
    <w:p w14:paraId="0E7C36BE">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（一）项目基本情况。</w:t>
      </w:r>
    </w:p>
    <w:p w14:paraId="59B4187E">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1.</w:t>
      </w:r>
      <w:r>
        <w:rPr>
          <w:rFonts w:hint="default" w:ascii="Times New Roman" w:hAnsi="Times New Roman" w:eastAsia="仿宋_GB2312" w:cs="Times New Roman"/>
          <w:sz w:val="32"/>
          <w:szCs w:val="32"/>
          <w:lang w:val="en-US" w:eastAsia="zh-CN"/>
        </w:rPr>
        <w:t>为尽快解决凤凰小区风情苑11号安置住宅楼遗留问题，办理安置</w:t>
      </w:r>
      <w:r>
        <w:rPr>
          <w:rFonts w:hint="eastAsia" w:eastAsia="仿宋_GB2312" w:cs="Times New Roman"/>
          <w:sz w:val="32"/>
          <w:szCs w:val="32"/>
          <w:lang w:val="en-US" w:eastAsia="zh-CN"/>
        </w:rPr>
        <w:t>群众急难愁盼</w:t>
      </w:r>
      <w:r>
        <w:rPr>
          <w:rFonts w:hint="default" w:ascii="Times New Roman" w:hAnsi="Times New Roman" w:eastAsia="仿宋_GB2312" w:cs="Times New Roman"/>
          <w:sz w:val="32"/>
          <w:szCs w:val="32"/>
          <w:lang w:val="en-US" w:eastAsia="zh-CN"/>
        </w:rPr>
        <w:t>的产权证相关事宜，维护社会稳定，经市政府批示同意，市土地储备中心组织实施凤凰小区风情苑11号安置住宅楼消防整改、房屋结构安全鉴定工作。</w:t>
      </w:r>
    </w:p>
    <w:p w14:paraId="3A42F88D">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2. 项目立项、资金申报的依据：</w:t>
      </w:r>
      <w:r>
        <w:rPr>
          <w:rFonts w:hint="default" w:ascii="Times New Roman" w:hAnsi="Times New Roman" w:eastAsia="仿宋_GB2312" w:cs="Times New Roman"/>
          <w:sz w:val="32"/>
          <w:szCs w:val="32"/>
          <w:lang w:val="en-US" w:eastAsia="zh-CN"/>
        </w:rPr>
        <w:t>市政府对《攀枝花市财政局关于解决凤凰小区风情苑11号安置住宅楼遗留问题所需资金的请示》批示</w:t>
      </w:r>
      <w:r>
        <w:rPr>
          <w:rFonts w:hint="default" w:ascii="Times New Roman" w:hAnsi="Times New Roman" w:eastAsia="仿宋_GB2312" w:cs="Times New Roman"/>
          <w:sz w:val="32"/>
          <w:szCs w:val="32"/>
          <w:lang w:val="zh-CN"/>
        </w:rPr>
        <w:t>。</w:t>
      </w:r>
    </w:p>
    <w:p w14:paraId="0E6ABECE">
      <w:pPr>
        <w:adjustRightInd w:val="0"/>
        <w:snapToGrid w:val="0"/>
        <w:spacing w:line="600" w:lineRule="exact"/>
        <w:ind w:firstLine="720"/>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sz w:val="32"/>
          <w:szCs w:val="32"/>
          <w:lang w:val="zh-CN"/>
        </w:rPr>
        <w:t>3.资金管理情况：</w:t>
      </w:r>
      <w:r>
        <w:rPr>
          <w:rFonts w:hint="default" w:ascii="Times New Roman" w:hAnsi="Times New Roman" w:eastAsia="仿宋_GB2312" w:cs="Times New Roman"/>
          <w:b w:val="0"/>
          <w:bCs w:val="0"/>
          <w:kern w:val="0"/>
          <w:position w:val="0"/>
          <w:sz w:val="32"/>
          <w:szCs w:val="32"/>
          <w:highlight w:val="none"/>
          <w:lang w:val="zh-CN" w:eastAsia="zh-CN" w:bidi="ar-SA"/>
        </w:rPr>
        <w:t>本项目按照</w:t>
      </w:r>
      <w:r>
        <w:rPr>
          <w:rFonts w:hint="eastAsia" w:eastAsia="仿宋_GB2312" w:cs="Times New Roman"/>
          <w:b w:val="0"/>
          <w:bCs w:val="0"/>
          <w:kern w:val="0"/>
          <w:position w:val="0"/>
          <w:sz w:val="32"/>
          <w:szCs w:val="32"/>
          <w:highlight w:val="none"/>
          <w:lang w:val="zh-CN" w:eastAsia="zh-CN" w:bidi="ar-SA"/>
        </w:rPr>
        <w:t>《攀枝花市土地储备中心财务管理办法（试行）》</w:t>
      </w:r>
      <w:r>
        <w:rPr>
          <w:rFonts w:hint="default" w:ascii="Times New Roman" w:hAnsi="Times New Roman" w:eastAsia="仿宋_GB2312" w:cs="Times New Roman"/>
          <w:b w:val="0"/>
          <w:bCs w:val="0"/>
          <w:kern w:val="0"/>
          <w:position w:val="0"/>
          <w:sz w:val="32"/>
          <w:szCs w:val="32"/>
          <w:highlight w:val="none"/>
          <w:lang w:val="zh-CN" w:eastAsia="zh-CN" w:bidi="ar-SA"/>
        </w:rPr>
        <w:t>开展资金管理工作。</w:t>
      </w:r>
      <w:r>
        <w:rPr>
          <w:rFonts w:hint="default" w:ascii="Times New Roman" w:hAnsi="Times New Roman" w:eastAsia="仿宋_GB2312" w:cs="Times New Roman"/>
          <w:b w:val="0"/>
          <w:bCs w:val="0"/>
          <w:kern w:val="0"/>
          <w:position w:val="0"/>
          <w:sz w:val="32"/>
          <w:szCs w:val="32"/>
          <w:highlight w:val="none"/>
          <w:lang w:val="en-US" w:eastAsia="zh-CN" w:bidi="ar-SA"/>
        </w:rPr>
        <w:t>2025年，支付</w:t>
      </w:r>
      <w:r>
        <w:rPr>
          <w:rFonts w:hint="default" w:ascii="Times New Roman" w:hAnsi="Times New Roman" w:eastAsia="仿宋_GB2312" w:cs="Times New Roman"/>
          <w:sz w:val="32"/>
          <w:szCs w:val="32"/>
          <w:lang w:val="en-US" w:eastAsia="zh-CN"/>
        </w:rPr>
        <w:t>凤凰小区风情苑11号安置住宅楼消防通风改造工程设计费5.4万元，结构安全鉴定费2万元，房产测绘费0.86万元。</w:t>
      </w:r>
    </w:p>
    <w:p w14:paraId="5A35F5E3">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4. 资金分配的原则及考虑因素。</w:t>
      </w:r>
      <w:r>
        <w:rPr>
          <w:rFonts w:hint="default" w:ascii="Times New Roman" w:hAnsi="Times New Roman" w:eastAsia="仿宋_GB2312" w:cs="Times New Roman"/>
          <w:sz w:val="32"/>
          <w:szCs w:val="32"/>
          <w:lang w:val="en-US" w:eastAsia="zh-CN"/>
        </w:rPr>
        <w:t>2025年，市财政下达资金8.26万元，根据项目进展情况支付设计费5.4万元，结构安全鉴定费2万元，房产测绘费0.86万元。</w:t>
      </w:r>
    </w:p>
    <w:p w14:paraId="2FCC782C">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（二）项目绩效目标。</w:t>
      </w:r>
    </w:p>
    <w:p w14:paraId="79198BD4">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1. 项目主要内容：</w:t>
      </w:r>
      <w:r>
        <w:rPr>
          <w:rFonts w:hint="default" w:ascii="Times New Roman" w:hAnsi="Times New Roman" w:eastAsia="仿宋_GB2312" w:cs="Times New Roman"/>
          <w:sz w:val="32"/>
          <w:szCs w:val="32"/>
          <w:lang w:val="en-US" w:eastAsia="zh-CN"/>
        </w:rPr>
        <w:t>完成凤凰小区乡情苑11号安置住宅楼消防整改、房屋安全结构鉴定、房产测绘等工作，办理房产证。</w:t>
      </w:r>
    </w:p>
    <w:p w14:paraId="2B41FD64">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2. 项目应实现的具体绩效目标：</w:t>
      </w:r>
      <w:r>
        <w:rPr>
          <w:rFonts w:hint="default" w:ascii="Times New Roman" w:hAnsi="Times New Roman" w:eastAsia="仿宋_GB2312" w:cs="Times New Roman"/>
          <w:sz w:val="32"/>
          <w:szCs w:val="32"/>
          <w:lang w:val="en-US" w:eastAsia="zh-CN"/>
        </w:rPr>
        <w:t>按照施工图完成相应施工内容并通过消防验收，完成房屋安全结构鉴定、房产测绘等工作，最终办理房产证。</w:t>
      </w:r>
    </w:p>
    <w:p w14:paraId="46EB8CD4">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 xml:space="preserve">3. </w:t>
      </w:r>
      <w:r>
        <w:rPr>
          <w:rFonts w:hint="default" w:ascii="Times New Roman" w:hAnsi="Times New Roman" w:eastAsia="仿宋_GB2312" w:cs="Times New Roman"/>
          <w:sz w:val="32"/>
          <w:szCs w:val="32"/>
          <w:lang w:val="en-US" w:eastAsia="zh-CN"/>
        </w:rPr>
        <w:t>本项目申报内容与实际内容相符，但是对项目实施过程中消防整改工作的财评、施工单位确定等前期环节所需时间考虑不充分。</w:t>
      </w:r>
    </w:p>
    <w:p w14:paraId="24472AF6">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（三）项目自评步骤及方法。</w:t>
      </w:r>
    </w:p>
    <w:p w14:paraId="13634C04">
      <w:pPr>
        <w:keepNext w:val="0"/>
        <w:keepLines w:val="0"/>
        <w:pageBreakBefore w:val="0"/>
        <w:kinsoku/>
        <w:wordWrap/>
        <w:overflowPunct/>
        <w:topLinePunct w:val="0"/>
        <w:autoSpaceDE/>
        <w:autoSpaceDN/>
        <w:bidi w:val="0"/>
        <w:adjustRightInd w:val="0"/>
        <w:snapToGrid w:val="0"/>
        <w:spacing w:line="578" w:lineRule="exact"/>
        <w:ind w:firstLine="640" w:firstLineChars="200"/>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kern w:val="0"/>
          <w:sz w:val="32"/>
          <w:szCs w:val="32"/>
          <w:lang w:val="en-US" w:eastAsia="zh-CN"/>
        </w:rPr>
        <w:t>项目</w:t>
      </w:r>
      <w:r>
        <w:rPr>
          <w:rFonts w:hint="default" w:ascii="Times New Roman" w:hAnsi="Times New Roman" w:eastAsia="仿宋_GB2312" w:cs="Times New Roman"/>
          <w:kern w:val="0"/>
          <w:sz w:val="32"/>
          <w:szCs w:val="32"/>
          <w:lang w:val="zh-CN"/>
        </w:rPr>
        <w:t>评价组人员由</w:t>
      </w:r>
      <w:r>
        <w:rPr>
          <w:rFonts w:hint="default" w:ascii="Times New Roman" w:hAnsi="Times New Roman" w:eastAsia="仿宋_GB2312" w:cs="Times New Roman"/>
          <w:kern w:val="0"/>
          <w:sz w:val="32"/>
          <w:szCs w:val="32"/>
          <w:lang w:val="en-US" w:eastAsia="zh-CN"/>
        </w:rPr>
        <w:t>储备科</w:t>
      </w:r>
      <w:r>
        <w:rPr>
          <w:rFonts w:hint="default" w:ascii="Times New Roman" w:hAnsi="Times New Roman" w:eastAsia="仿宋_GB2312" w:cs="Times New Roman"/>
          <w:kern w:val="0"/>
          <w:sz w:val="32"/>
          <w:szCs w:val="32"/>
          <w:lang w:val="zh-CN"/>
        </w:rPr>
        <w:t>牵头，办公室、资金科相关人员参与；</w:t>
      </w:r>
      <w:r>
        <w:rPr>
          <w:rFonts w:hint="default" w:ascii="Times New Roman" w:hAnsi="Times New Roman" w:eastAsia="仿宋_GB2312" w:cs="Times New Roman"/>
          <w:kern w:val="0"/>
          <w:sz w:val="32"/>
          <w:szCs w:val="32"/>
          <w:lang w:val="en-US" w:eastAsia="zh-CN"/>
        </w:rPr>
        <w:t>采取</w:t>
      </w:r>
      <w:r>
        <w:rPr>
          <w:rFonts w:hint="default" w:ascii="Times New Roman" w:hAnsi="Times New Roman" w:eastAsia="仿宋_GB2312" w:cs="Times New Roman"/>
          <w:kern w:val="0"/>
          <w:sz w:val="32"/>
          <w:szCs w:val="32"/>
          <w:lang w:val="zh-CN"/>
        </w:rPr>
        <w:t>单位自评法。</w:t>
      </w:r>
    </w:p>
    <w:p w14:paraId="553768AD">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二、项目资金申报及使用情况</w:t>
      </w:r>
    </w:p>
    <w:p w14:paraId="16B78E0F">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（一）项目资金申报及批复情况。</w:t>
      </w:r>
    </w:p>
    <w:p w14:paraId="6E2816F7">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为尽快解决凤凰小区风情苑11号安置住宅楼遗留问题，办理安置</w:t>
      </w:r>
      <w:r>
        <w:rPr>
          <w:rFonts w:hint="eastAsia" w:eastAsia="仿宋_GB2312" w:cs="Times New Roman"/>
          <w:sz w:val="32"/>
          <w:szCs w:val="32"/>
          <w:lang w:val="en-US" w:eastAsia="zh-CN"/>
        </w:rPr>
        <w:t>群众急难愁盼</w:t>
      </w:r>
      <w:r>
        <w:rPr>
          <w:rFonts w:hint="default" w:ascii="Times New Roman" w:hAnsi="Times New Roman" w:eastAsia="仿宋_GB2312" w:cs="Times New Roman"/>
          <w:sz w:val="32"/>
          <w:szCs w:val="32"/>
          <w:lang w:val="en-US" w:eastAsia="zh-CN"/>
        </w:rPr>
        <w:t>的产权证相关事宜，维护社会稳定，经市政府批示同意，安排解决凤凰小区风情苑11号安置住宅楼遗留问题资金50万元，后根据项目进展调整后预算为8.26万元。</w:t>
      </w:r>
    </w:p>
    <w:p w14:paraId="49E93C61">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（二）资金计划、到位及使用情况（可用表格形式反映）。</w:t>
      </w:r>
    </w:p>
    <w:p w14:paraId="15E1F3F4">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sz w:val="32"/>
          <w:szCs w:val="32"/>
          <w:lang w:val="zh-CN"/>
        </w:rPr>
        <w:t>1.资金计划。</w:t>
      </w:r>
      <w:r>
        <w:rPr>
          <w:rFonts w:hint="default" w:ascii="Times New Roman" w:hAnsi="Times New Roman" w:eastAsia="仿宋_GB2312" w:cs="Times New Roman"/>
          <w:sz w:val="32"/>
          <w:szCs w:val="32"/>
          <w:lang w:val="en-US" w:eastAsia="zh-CN"/>
        </w:rPr>
        <w:t>市级</w:t>
      </w:r>
      <w:r>
        <w:rPr>
          <w:rFonts w:hint="default" w:ascii="Times New Roman" w:hAnsi="Times New Roman" w:eastAsia="仿宋_GB2312" w:cs="Times New Roman"/>
          <w:sz w:val="32"/>
          <w:szCs w:val="32"/>
          <w:lang w:val="zh-CN"/>
        </w:rPr>
        <w:t>财政资金</w:t>
      </w:r>
      <w:r>
        <w:rPr>
          <w:rFonts w:hint="default" w:ascii="Times New Roman" w:hAnsi="Times New Roman" w:eastAsia="仿宋_GB2312" w:cs="Times New Roman"/>
          <w:sz w:val="32"/>
          <w:szCs w:val="32"/>
          <w:lang w:val="en-US" w:eastAsia="zh-CN"/>
        </w:rPr>
        <w:t>8.26万元</w:t>
      </w:r>
      <w:r>
        <w:rPr>
          <w:rFonts w:hint="default" w:ascii="Times New Roman" w:hAnsi="Times New Roman" w:eastAsia="仿宋_GB2312" w:cs="Times New Roman"/>
          <w:sz w:val="32"/>
          <w:szCs w:val="32"/>
          <w:lang w:val="zh-CN"/>
        </w:rPr>
        <w:t>。</w:t>
      </w:r>
    </w:p>
    <w:p w14:paraId="487D79EE">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sz w:val="32"/>
          <w:szCs w:val="32"/>
          <w:lang w:val="zh-CN"/>
        </w:rPr>
        <w:t>2.资金到位。</w:t>
      </w:r>
      <w:r>
        <w:rPr>
          <w:rFonts w:hint="default" w:ascii="Times New Roman" w:hAnsi="Times New Roman" w:eastAsia="仿宋_GB2312" w:cs="Times New Roman"/>
          <w:sz w:val="32"/>
          <w:szCs w:val="32"/>
          <w:lang w:val="en-US" w:eastAsia="zh-CN"/>
        </w:rPr>
        <w:t>到位市级财政资金8.26万元</w:t>
      </w:r>
      <w:r>
        <w:rPr>
          <w:rFonts w:hint="default" w:ascii="Times New Roman" w:hAnsi="Times New Roman" w:eastAsia="仿宋_GB2312" w:cs="Times New Roman"/>
          <w:sz w:val="32"/>
          <w:szCs w:val="32"/>
          <w:lang w:val="zh-CN" w:eastAsia="zh-CN"/>
        </w:rPr>
        <w:t>。</w:t>
      </w:r>
    </w:p>
    <w:p w14:paraId="636476B8">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sz w:val="32"/>
          <w:szCs w:val="32"/>
          <w:lang w:val="zh-CN"/>
        </w:rPr>
        <w:t>3.资金使用。</w:t>
      </w:r>
      <w:r>
        <w:rPr>
          <w:rFonts w:hint="default" w:ascii="Times New Roman" w:hAnsi="Times New Roman" w:eastAsia="仿宋_GB2312" w:cs="Times New Roman"/>
          <w:sz w:val="32"/>
          <w:szCs w:val="32"/>
          <w:lang w:val="en-US" w:eastAsia="zh-CN"/>
        </w:rPr>
        <w:t>2025年，根据项目进展情况支付设计费5.4万元，结构安全鉴定费2万元，房产测绘费0.86万元。</w:t>
      </w:r>
    </w:p>
    <w:p w14:paraId="6FB3DF69">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（三）项目财务管理情况。</w:t>
      </w:r>
    </w:p>
    <w:p w14:paraId="5C0C3C17">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市土地储备中心</w:t>
      </w:r>
      <w:r>
        <w:rPr>
          <w:rFonts w:hint="default" w:ascii="Times New Roman" w:hAnsi="Times New Roman" w:eastAsia="仿宋_GB2312" w:cs="Times New Roman"/>
          <w:sz w:val="32"/>
          <w:szCs w:val="32"/>
          <w:lang w:val="zh-CN"/>
        </w:rPr>
        <w:t>财务管理制度健全，严格执行财务管理制度，账务处理及时，会计核算规范。</w:t>
      </w:r>
    </w:p>
    <w:p w14:paraId="70AAED75">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三、项目实施及管理情况</w:t>
      </w:r>
    </w:p>
    <w:p w14:paraId="3AD19AD6">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（一）项目组织架构及实施流程。</w:t>
      </w:r>
    </w:p>
    <w:p w14:paraId="6C8EB4F4">
      <w:pPr>
        <w:adjustRightInd w:val="0"/>
        <w:snapToGrid w:val="0"/>
        <w:spacing w:line="600" w:lineRule="exact"/>
        <w:ind w:firstLine="720"/>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lang w:val="en-US" w:eastAsia="zh-CN"/>
        </w:rPr>
        <w:t>该项目于2025年4月追加，市土地储备中心严格执行相关项目管理规定，开展了财评工作，并通过竞争性谈判方式确定施工单位。2025年12月底完成房屋安全结构鉴定、测绘、消防整改财评及确定施工单位等前期工作。</w:t>
      </w:r>
    </w:p>
    <w:p w14:paraId="7A9AB6D7">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（二）项目管理情况。</w:t>
      </w:r>
      <w:r>
        <w:rPr>
          <w:rFonts w:hint="default" w:ascii="Times New Roman" w:hAnsi="Times New Roman" w:eastAsia="仿宋_GB2312" w:cs="Times New Roman"/>
          <w:kern w:val="0"/>
          <w:sz w:val="32"/>
          <w:szCs w:val="32"/>
          <w:lang w:val="zh-CN"/>
        </w:rPr>
        <w:t>严格执行</w:t>
      </w:r>
      <w:r>
        <w:rPr>
          <w:rFonts w:hint="default" w:ascii="Times New Roman" w:hAnsi="Times New Roman" w:eastAsia="仿宋_GB2312" w:cs="Times New Roman"/>
          <w:kern w:val="0"/>
          <w:sz w:val="32"/>
          <w:szCs w:val="32"/>
          <w:lang w:val="en-US" w:eastAsia="zh-CN"/>
        </w:rPr>
        <w:t>预算</w:t>
      </w:r>
      <w:r>
        <w:rPr>
          <w:rFonts w:hint="default" w:ascii="Times New Roman" w:hAnsi="Times New Roman" w:eastAsia="仿宋_GB2312" w:cs="Times New Roman"/>
          <w:kern w:val="0"/>
          <w:sz w:val="32"/>
          <w:szCs w:val="32"/>
          <w:lang w:val="zh-CN"/>
        </w:rPr>
        <w:t>管理制度、财务管理制度，确保资金使用规范。</w:t>
      </w:r>
    </w:p>
    <w:p w14:paraId="0DB7835D">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（三）项目监管情况。</w:t>
      </w:r>
      <w:r>
        <w:rPr>
          <w:rFonts w:hint="default" w:ascii="Times New Roman" w:hAnsi="Times New Roman" w:eastAsia="仿宋_GB2312" w:cs="Times New Roman"/>
          <w:kern w:val="0"/>
          <w:sz w:val="32"/>
          <w:szCs w:val="32"/>
          <w:lang w:val="zh-CN"/>
        </w:rPr>
        <w:t>严格执行</w:t>
      </w:r>
      <w:r>
        <w:rPr>
          <w:rFonts w:hint="default" w:ascii="Times New Roman" w:hAnsi="Times New Roman" w:eastAsia="仿宋_GB2312" w:cs="Times New Roman"/>
          <w:kern w:val="0"/>
          <w:sz w:val="32"/>
          <w:szCs w:val="32"/>
          <w:lang w:val="en-US" w:eastAsia="zh-CN"/>
        </w:rPr>
        <w:t>预算</w:t>
      </w:r>
      <w:r>
        <w:rPr>
          <w:rFonts w:hint="default" w:ascii="Times New Roman" w:hAnsi="Times New Roman" w:eastAsia="仿宋_GB2312" w:cs="Times New Roman"/>
          <w:kern w:val="0"/>
          <w:sz w:val="32"/>
          <w:szCs w:val="32"/>
          <w:lang w:val="zh-CN"/>
        </w:rPr>
        <w:t>管理制度、财务管理制度，</w:t>
      </w:r>
      <w:r>
        <w:rPr>
          <w:rFonts w:hint="default" w:ascii="Times New Roman" w:hAnsi="Times New Roman" w:eastAsia="仿宋_GB2312" w:cs="Times New Roman"/>
          <w:kern w:val="0"/>
          <w:sz w:val="32"/>
          <w:szCs w:val="32"/>
          <w:lang w:val="en-US" w:eastAsia="zh-CN"/>
        </w:rPr>
        <w:t>严格落实项目绩效监控工作</w:t>
      </w:r>
      <w:r>
        <w:rPr>
          <w:rFonts w:hint="default" w:ascii="Times New Roman" w:hAnsi="Times New Roman" w:eastAsia="仿宋_GB2312" w:cs="Times New Roman"/>
          <w:kern w:val="0"/>
          <w:sz w:val="32"/>
          <w:szCs w:val="32"/>
          <w:lang w:val="zh-CN"/>
        </w:rPr>
        <w:t>。</w:t>
      </w:r>
    </w:p>
    <w:p w14:paraId="61A9C044">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黑体" w:cs="Times New Roman"/>
          <w:sz w:val="32"/>
          <w:szCs w:val="32"/>
        </w:rPr>
        <w:t>四、项目绩效情况</w:t>
      </w:r>
      <w:r>
        <w:rPr>
          <w:rFonts w:hint="default" w:ascii="Times New Roman" w:hAnsi="Times New Roman" w:eastAsia="仿宋_GB2312" w:cs="Times New Roman"/>
          <w:sz w:val="32"/>
          <w:szCs w:val="32"/>
          <w:lang w:val="zh-CN"/>
        </w:rPr>
        <w:tab/>
      </w:r>
    </w:p>
    <w:p w14:paraId="6DAD8790">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（一）项目完成情况。</w:t>
      </w:r>
    </w:p>
    <w:p w14:paraId="33873D49">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2025年，该项目完成房屋安全结构鉴定、测绘、消防整改财评及确定施工单位等前期工作。</w:t>
      </w:r>
    </w:p>
    <w:p w14:paraId="48C2075B">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（二）项目效益情况。</w:t>
      </w:r>
    </w:p>
    <w:p w14:paraId="0BAA43E6">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eastAsia="zh-CN"/>
        </w:rPr>
        <w:t>2025年，该项目完成房屋安全结构鉴定、房产测绘及消防整改实施前期工作，并支付设计费5.4万元，结构安全鉴定费2万元，房产测绘费0.86万元。</w:t>
      </w:r>
    </w:p>
    <w:p w14:paraId="44C583C5">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五、评价结论及建议</w:t>
      </w:r>
    </w:p>
    <w:p w14:paraId="6670AD09">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（一）评价结论。</w:t>
      </w:r>
    </w:p>
    <w:p w14:paraId="18F5F418">
      <w:pPr>
        <w:widowControl w:val="0"/>
        <w:tabs>
          <w:tab w:val="left" w:pos="2160"/>
        </w:tabs>
        <w:spacing w:beforeLines="30" w:line="600" w:lineRule="exact"/>
        <w:ind w:firstLine="640" w:firstLineChars="200"/>
        <w:jc w:val="both"/>
        <w:rPr>
          <w:rFonts w:hint="default" w:ascii="Times New Roman" w:hAnsi="Times New Roman" w:eastAsia="仿宋_GB2312" w:cs="Times New Roman"/>
          <w:kern w:val="0"/>
          <w:sz w:val="32"/>
          <w:szCs w:val="32"/>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解决凤凰小区乡情苑11号安置住宅楼遗留问题所需资金</w:t>
      </w:r>
      <w:r>
        <w:rPr>
          <w:rFonts w:hint="default" w:ascii="Times New Roman" w:hAnsi="Times New Roman" w:eastAsia="仿宋_GB2312" w:cs="Times New Roman"/>
          <w:kern w:val="0"/>
          <w:sz w:val="32"/>
          <w:szCs w:val="32"/>
          <w:lang w:val="en-US" w:eastAsia="zh-CN" w:bidi="ar-SA"/>
        </w:rPr>
        <w:t>项目绩效自评总分75分，</w:t>
      </w:r>
      <w:r>
        <w:rPr>
          <w:rFonts w:hint="default" w:ascii="Times New Roman" w:hAnsi="Times New Roman" w:eastAsia="仿宋_GB2312" w:cs="Times New Roman"/>
          <w:kern w:val="0"/>
          <w:sz w:val="32"/>
          <w:szCs w:val="32"/>
          <w:lang w:val="zh-CN" w:eastAsia="zh-CN" w:bidi="ar-SA"/>
        </w:rPr>
        <w:t>项目</w:t>
      </w:r>
      <w:r>
        <w:rPr>
          <w:rFonts w:hint="default" w:ascii="Times New Roman" w:hAnsi="Times New Roman" w:eastAsia="仿宋_GB2312" w:cs="Times New Roman"/>
          <w:kern w:val="0"/>
          <w:sz w:val="32"/>
          <w:szCs w:val="32"/>
          <w:lang w:val="en-US" w:eastAsia="zh-CN" w:bidi="ar-SA"/>
        </w:rPr>
        <w:t>部分</w:t>
      </w:r>
      <w:r>
        <w:rPr>
          <w:rFonts w:hint="default" w:ascii="Times New Roman" w:hAnsi="Times New Roman" w:eastAsia="仿宋_GB2312" w:cs="Times New Roman"/>
          <w:kern w:val="0"/>
          <w:sz w:val="32"/>
          <w:szCs w:val="32"/>
          <w:lang w:val="zh-CN" w:eastAsia="zh-CN" w:bidi="ar-SA"/>
        </w:rPr>
        <w:t>实现年初设定的目标。</w:t>
      </w:r>
    </w:p>
    <w:p w14:paraId="7DA33BBA">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（二）存在的问题。</w:t>
      </w:r>
    </w:p>
    <w:p w14:paraId="0612CE0D">
      <w:pPr>
        <w:adjustRightInd w:val="0"/>
        <w:snapToGrid w:val="0"/>
        <w:spacing w:line="600" w:lineRule="exact"/>
        <w:ind w:firstLine="640" w:firstLineChars="200"/>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eastAsia="zh-CN"/>
        </w:rPr>
        <w:t>因项目自身的复杂性，在实施过程中的财评、施工单位确定等环节进展缓慢，导致年初设定的部分目标未实现。</w:t>
      </w:r>
    </w:p>
    <w:p w14:paraId="45D28DB2">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（三）相关建议。</w:t>
      </w:r>
    </w:p>
    <w:p w14:paraId="15ED639A">
      <w:pPr>
        <w:adjustRightInd w:val="0"/>
        <w:snapToGrid w:val="0"/>
        <w:spacing w:line="600" w:lineRule="exact"/>
        <w:ind w:firstLine="640" w:firstLineChars="20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一是强化项目前期研判论证，充分评估项目复杂程度，做实前期谋划降低实施阶段不确定性；二是压实项目管理责任，开展项目复盘总结，科学设定后续项目年度目标，提升项目管理水平</w:t>
      </w:r>
      <w:r>
        <w:rPr>
          <w:rFonts w:hint="default" w:ascii="Times New Roman" w:hAnsi="Times New Roman" w:eastAsia="仿宋_GB2312" w:cs="Times New Roman"/>
          <w:sz w:val="32"/>
          <w:szCs w:val="32"/>
          <w:lang w:val="zh-CN"/>
        </w:rPr>
        <w:t>。</w:t>
      </w:r>
    </w:p>
    <w:p w14:paraId="3E0262D0">
      <w:pPr>
        <w:spacing w:line="578" w:lineRule="exact"/>
        <w:ind w:firstLine="640"/>
        <w:rPr>
          <w:rFonts w:hint="default" w:ascii="Times New Roman" w:hAnsi="Times New Roman" w:eastAsia="仿宋_GB2312" w:cs="Times New Roman"/>
          <w:kern w:val="0"/>
          <w:sz w:val="32"/>
          <w:szCs w:val="32"/>
        </w:rPr>
      </w:pPr>
    </w:p>
    <w:p w14:paraId="09F57DD7">
      <w:pPr>
        <w:spacing w:line="578" w:lineRule="exact"/>
        <w:ind w:firstLine="640"/>
        <w:rPr>
          <w:rFonts w:hint="default" w:ascii="Times New Roman" w:hAnsi="Times New Roman" w:eastAsia="仿宋_GB2312" w:cs="Times New Roman"/>
          <w:kern w:val="0"/>
          <w:sz w:val="32"/>
          <w:szCs w:val="32"/>
        </w:rPr>
      </w:pPr>
    </w:p>
    <w:p w14:paraId="19FA8AE5">
      <w:pPr>
        <w:spacing w:line="578" w:lineRule="exact"/>
        <w:rPr>
          <w:rFonts w:hint="default" w:ascii="Times New Roman" w:hAnsi="Times New Roman" w:eastAsia="仿宋_GB2312" w:cs="Times New Roman"/>
          <w:kern w:val="0"/>
          <w:sz w:val="32"/>
          <w:szCs w:val="32"/>
        </w:rPr>
      </w:pPr>
    </w:p>
    <w:p w14:paraId="33799680">
      <w:pPr>
        <w:keepNext w:val="0"/>
        <w:keepLines w:val="0"/>
        <w:pageBreakBefore w:val="0"/>
        <w:widowControl w:val="0"/>
        <w:kinsoku/>
        <w:wordWrap/>
        <w:overflowPunct/>
        <w:topLinePunct w:val="0"/>
        <w:autoSpaceDN/>
        <w:bidi w:val="0"/>
        <w:spacing w:after="120" w:line="600" w:lineRule="exact"/>
        <w:ind w:left="0" w:leftChars="0" w:firstLine="640" w:firstLineChars="200"/>
        <w:jc w:val="both"/>
        <w:textAlignment w:val="auto"/>
        <w:rPr>
          <w:rFonts w:hint="default" w:ascii="Times New Roman" w:hAnsi="Times New Roman" w:eastAsia="仿宋_GB2312" w:cs="Times New Roman"/>
          <w:kern w:val="2"/>
          <w:sz w:val="32"/>
          <w:szCs w:val="32"/>
          <w:lang w:val="zh-CN" w:eastAsia="zh-CN" w:bidi="ar"/>
        </w:rPr>
      </w:pPr>
    </w:p>
    <w:p w14:paraId="0EF28A39">
      <w:pPr>
        <w:keepNext w:val="0"/>
        <w:keepLines w:val="0"/>
        <w:pageBreakBefore w:val="0"/>
        <w:widowControl w:val="0"/>
        <w:kinsoku/>
        <w:wordWrap/>
        <w:overflowPunct/>
        <w:topLinePunct w:val="0"/>
        <w:autoSpaceDN/>
        <w:bidi w:val="0"/>
        <w:spacing w:after="120" w:line="600" w:lineRule="exact"/>
        <w:ind w:left="0" w:leftChars="0" w:firstLine="0" w:firstLineChars="0"/>
        <w:jc w:val="both"/>
        <w:textAlignment w:val="auto"/>
        <w:rPr>
          <w:rFonts w:hint="default" w:ascii="Times New Roman" w:hAnsi="Times New Roman" w:eastAsia="宋体" w:cs="Times New Roman"/>
          <w:kern w:val="2"/>
          <w:sz w:val="32"/>
          <w:szCs w:val="32"/>
          <w:highlight w:val="yellow"/>
          <w:lang w:val="zh-CN" w:eastAsia="zh-CN" w:bidi="ar-SA"/>
        </w:rPr>
      </w:pPr>
    </w:p>
    <w:p w14:paraId="28918C30">
      <w:pPr>
        <w:rPr>
          <w:rFonts w:hint="default" w:ascii="Times New Roman" w:hAnsi="Times New Roman" w:eastAsia="仿宋_GB2312" w:cs="Times New Roman"/>
          <w:color w:val="FF0000"/>
          <w:kern w:val="0"/>
          <w:sz w:val="32"/>
          <w:szCs w:val="32"/>
          <w:highlight w:val="yellow"/>
          <w:shd w:val="clear" w:color="auto" w:fill="FFFFFF"/>
          <w:lang w:val="zh-CN" w:eastAsia="zh-CN" w:bidi="ar-SA"/>
        </w:rPr>
      </w:pPr>
      <w:r>
        <w:rPr>
          <w:rFonts w:hint="default" w:ascii="Times New Roman" w:hAnsi="Times New Roman" w:eastAsia="仿宋_GB2312" w:cs="Times New Roman"/>
          <w:color w:val="FF0000"/>
          <w:kern w:val="0"/>
          <w:sz w:val="32"/>
          <w:szCs w:val="32"/>
          <w:highlight w:val="yellow"/>
          <w:shd w:val="clear" w:color="auto" w:fill="FFFFFF"/>
          <w:lang w:val="zh-CN" w:eastAsia="zh-CN" w:bidi="ar-SA"/>
        </w:rPr>
        <w:br w:type="page"/>
      </w:r>
    </w:p>
    <w:p w14:paraId="25352F7C">
      <w:pPr>
        <w:pStyle w:val="8"/>
        <w:spacing w:line="560" w:lineRule="exact"/>
        <w:ind w:firstLine="1760" w:firstLineChars="400"/>
        <w:rPr>
          <w:rFonts w:hint="eastAsia" w:ascii="Times New Roman" w:hAnsi="Times New Roman" w:eastAsia="方正小标宋简体"/>
          <w:bCs/>
          <w:sz w:val="44"/>
          <w:szCs w:val="44"/>
          <w:shd w:val="clear" w:color="auto" w:fill="FFFFFF"/>
        </w:rPr>
      </w:pPr>
    </w:p>
    <w:p w14:paraId="376EB0F5">
      <w:pPr>
        <w:pStyle w:val="8"/>
        <w:spacing w:line="560" w:lineRule="exact"/>
        <w:ind w:firstLine="1760" w:firstLineChars="400"/>
        <w:rPr>
          <w:rFonts w:hint="eastAsia" w:ascii="Times New Roman" w:hAnsi="Times New Roman" w:eastAsia="方正小标宋简体"/>
          <w:bCs/>
          <w:sz w:val="44"/>
          <w:szCs w:val="44"/>
          <w:shd w:val="clear" w:color="auto" w:fill="FFFFFF"/>
          <w:lang w:val="zh-CN"/>
        </w:rPr>
      </w:pPr>
      <w:r>
        <w:rPr>
          <w:rFonts w:hint="eastAsia" w:ascii="Times New Roman" w:hAnsi="Times New Roman" w:eastAsia="方正小标宋简体"/>
          <w:bCs/>
          <w:sz w:val="44"/>
          <w:szCs w:val="44"/>
          <w:shd w:val="clear" w:color="auto" w:fill="FFFFFF"/>
        </w:rPr>
        <w:t>部门</w:t>
      </w:r>
      <w:r>
        <w:rPr>
          <w:rFonts w:hint="eastAsia" w:ascii="Times New Roman" w:hAnsi="Times New Roman" w:eastAsia="方正小标宋简体"/>
          <w:bCs/>
          <w:sz w:val="44"/>
          <w:szCs w:val="44"/>
          <w:shd w:val="clear" w:color="auto" w:fill="FFFFFF"/>
          <w:lang w:val="zh-CN"/>
        </w:rPr>
        <w:t>预算绩效评</w:t>
      </w:r>
      <w:r>
        <w:rPr>
          <w:rFonts w:hint="eastAsia" w:ascii="Times New Roman" w:hAnsi="Times New Roman" w:eastAsia="方正小标宋简体"/>
          <w:bCs/>
          <w:sz w:val="44"/>
          <w:szCs w:val="44"/>
          <w:shd w:val="clear" w:color="auto" w:fill="FFFFFF"/>
        </w:rPr>
        <w:t>价</w:t>
      </w:r>
      <w:r>
        <w:rPr>
          <w:rFonts w:hint="eastAsia" w:ascii="Times New Roman" w:hAnsi="Times New Roman" w:eastAsia="方正小标宋简体"/>
          <w:bCs/>
          <w:sz w:val="44"/>
          <w:szCs w:val="44"/>
          <w:shd w:val="clear" w:color="auto" w:fill="FFFFFF"/>
          <w:lang w:val="zh-CN"/>
        </w:rPr>
        <w:t>报告</w:t>
      </w:r>
    </w:p>
    <w:p w14:paraId="45B9F994">
      <w:pPr>
        <w:pStyle w:val="8"/>
        <w:spacing w:line="560" w:lineRule="exact"/>
        <w:ind w:firstLine="1920" w:firstLineChars="600"/>
        <w:rPr>
          <w:rFonts w:hint="eastAsia" w:ascii="Times New Roman" w:hAnsi="Times New Roman" w:eastAsia="仿宋_GB2312"/>
          <w:sz w:val="32"/>
          <w:szCs w:val="32"/>
          <w:lang w:val="zh-CN" w:bidi="ar"/>
        </w:rPr>
      </w:pPr>
      <w:r>
        <w:rPr>
          <w:rFonts w:hint="eastAsia" w:ascii="Times New Roman" w:eastAsia="仿宋_GB2312"/>
          <w:sz w:val="32"/>
          <w:szCs w:val="32"/>
          <w:lang w:val="zh-CN" w:bidi="ar"/>
        </w:rPr>
        <w:t>（</w:t>
      </w:r>
      <w:r>
        <w:rPr>
          <w:rFonts w:hint="eastAsia" w:ascii="Times New Roman" w:hAnsi="Times New Roman" w:eastAsia="仿宋_GB2312"/>
          <w:sz w:val="32"/>
          <w:szCs w:val="32"/>
          <w:lang w:val="zh-CN" w:bidi="ar"/>
        </w:rPr>
        <w:t>攀枝花市不动产登记中心</w:t>
      </w:r>
      <w:r>
        <w:rPr>
          <w:rFonts w:hint="eastAsia" w:ascii="Times New Roman" w:eastAsia="仿宋_GB2312"/>
          <w:sz w:val="32"/>
          <w:szCs w:val="32"/>
          <w:lang w:val="zh-CN" w:bidi="ar"/>
        </w:rPr>
        <w:t>）</w:t>
      </w:r>
    </w:p>
    <w:p w14:paraId="74B810E5">
      <w:pPr>
        <w:pStyle w:val="8"/>
        <w:spacing w:line="560" w:lineRule="exact"/>
        <w:ind w:firstLine="640"/>
        <w:rPr>
          <w:rFonts w:hint="eastAsia" w:ascii="Times New Roman" w:hAnsi="Times New Roman" w:eastAsia="仿宋_GB2312"/>
          <w:sz w:val="32"/>
          <w:szCs w:val="32"/>
          <w:lang w:val="zh-CN" w:bidi="ar"/>
        </w:rPr>
      </w:pPr>
    </w:p>
    <w:p w14:paraId="1BFBE046">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一、部门（单位）基本情况</w:t>
      </w:r>
    </w:p>
    <w:p w14:paraId="02E9F061">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（一）机构组成。</w:t>
      </w:r>
      <w:r>
        <w:rPr>
          <w:rFonts w:hint="eastAsia" w:ascii="Times New Roman" w:hAnsi="Times New Roman" w:eastAsia="仿宋_GB2312"/>
          <w:sz w:val="32"/>
          <w:szCs w:val="32"/>
          <w:lang w:val="zh-CN" w:bidi="ar"/>
        </w:rPr>
        <w:t>攀枝花市不动产登记中心内设6个科（综合科、登记一科、登记二科、权籍科、信息科、档案科），3个分中心（东区分中心、西区分中心、仁和区分中心），除3个分中心以外，已整体入驻市政务服务中心开展工作。</w:t>
      </w:r>
    </w:p>
    <w:p w14:paraId="2FCB8934">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（二）机构职能。</w:t>
      </w:r>
      <w:r>
        <w:rPr>
          <w:rFonts w:hint="eastAsia" w:ascii="Times New Roman" w:hAnsi="Times New Roman" w:eastAsia="仿宋_GB2312"/>
          <w:sz w:val="32"/>
          <w:szCs w:val="32"/>
          <w:lang w:val="zh-CN" w:bidi="ar"/>
        </w:rPr>
        <w:t>攀枝花市不动产登记中心是由中共攀枝花市委机构编制委员会批准设立（攀编发〔2015〕48号），为攀枝花市自然资源和规划局所属公益一类事业单位。承担市自然资源和规划局职责范围内的土地、房屋、林地、草原等不动产登记具体经办工作</w:t>
      </w:r>
      <w:r>
        <w:rPr>
          <w:rFonts w:hint="default" w:ascii="Times New Roman" w:hAnsi="Times New Roman" w:eastAsia="仿宋_GB2312" w:cs="Times New Roman"/>
          <w:sz w:val="32"/>
          <w:szCs w:val="32"/>
        </w:rPr>
        <w:t>，负责国土资源档案管理工作，负责城乡规划档案管理工作</w:t>
      </w:r>
      <w:r>
        <w:rPr>
          <w:rFonts w:hint="eastAsia" w:ascii="Times New Roman" w:hAnsi="Times New Roman" w:eastAsia="仿宋_GB2312"/>
          <w:sz w:val="32"/>
          <w:szCs w:val="32"/>
          <w:lang w:val="zh-CN" w:bidi="ar"/>
        </w:rPr>
        <w:t>。</w:t>
      </w:r>
    </w:p>
    <w:p w14:paraId="58E27445">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（三）人员概况。</w:t>
      </w:r>
      <w:r>
        <w:rPr>
          <w:rFonts w:hint="eastAsia" w:ascii="Times New Roman" w:hAnsi="Times New Roman" w:eastAsia="仿宋_GB2312"/>
          <w:sz w:val="32"/>
          <w:szCs w:val="32"/>
          <w:lang w:val="zh-CN" w:bidi="ar"/>
        </w:rPr>
        <w:t>截至202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年末，事业编制54人，实有在职人数</w:t>
      </w:r>
      <w:r>
        <w:rPr>
          <w:rFonts w:hint="eastAsia" w:ascii="Times New Roman" w:hAnsi="Times New Roman" w:eastAsia="仿宋_GB2312"/>
          <w:sz w:val="32"/>
          <w:szCs w:val="32"/>
          <w:lang w:val="en-US" w:eastAsia="zh-CN" w:bidi="ar"/>
        </w:rPr>
        <w:t>52</w:t>
      </w:r>
      <w:r>
        <w:rPr>
          <w:rFonts w:hint="eastAsia" w:ascii="Times New Roman" w:hAnsi="Times New Roman" w:eastAsia="仿宋_GB2312"/>
          <w:sz w:val="32"/>
          <w:szCs w:val="32"/>
          <w:lang w:val="zh-CN" w:bidi="ar"/>
        </w:rPr>
        <w:t>人</w:t>
      </w:r>
      <w:r>
        <w:rPr>
          <w:rFonts w:hint="eastAsia" w:ascii="Times New Roman" w:eastAsia="仿宋_GB2312"/>
          <w:sz w:val="32"/>
          <w:szCs w:val="32"/>
          <w:lang w:val="zh-CN" w:bidi="ar"/>
        </w:rPr>
        <w:t>，</w:t>
      </w:r>
      <w:r>
        <w:rPr>
          <w:rFonts w:hint="eastAsia" w:ascii="Times New Roman" w:hAnsi="Times New Roman" w:eastAsia="仿宋_GB2312"/>
          <w:sz w:val="32"/>
          <w:szCs w:val="32"/>
          <w:lang w:val="zh-CN" w:bidi="ar"/>
        </w:rPr>
        <w:t>退休职工1</w:t>
      </w:r>
      <w:r>
        <w:rPr>
          <w:rFonts w:hint="eastAsia" w:ascii="Times New Roman" w:hAnsi="Times New Roman" w:eastAsia="仿宋_GB2312"/>
          <w:sz w:val="32"/>
          <w:szCs w:val="32"/>
          <w:lang w:val="en-US" w:eastAsia="zh-CN" w:bidi="ar"/>
        </w:rPr>
        <w:t>8</w:t>
      </w:r>
      <w:r>
        <w:rPr>
          <w:rFonts w:hint="eastAsia" w:ascii="Times New Roman" w:hAnsi="Times New Roman" w:eastAsia="仿宋_GB2312"/>
          <w:sz w:val="32"/>
          <w:szCs w:val="32"/>
          <w:lang w:val="zh-CN" w:bidi="ar"/>
        </w:rPr>
        <w:t>人。</w:t>
      </w:r>
    </w:p>
    <w:p w14:paraId="14F71C2F">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二、部门资金收支情况</w:t>
      </w:r>
    </w:p>
    <w:p w14:paraId="72EC03FA">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（一）收入情况。</w:t>
      </w:r>
      <w:r>
        <w:rPr>
          <w:rFonts w:hint="eastAsia" w:ascii="Times New Roman" w:hAnsi="Times New Roman" w:eastAsia="仿宋_GB2312"/>
          <w:sz w:val="32"/>
          <w:szCs w:val="32"/>
          <w:lang w:val="zh-CN" w:bidi="ar"/>
        </w:rPr>
        <w:t>攀枝花市不动产登记中心202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w:t>
      </w:r>
      <w:r>
        <w:rPr>
          <w:rFonts w:hint="eastAsia" w:ascii="Times New Roman" w:eastAsia="仿宋_GB2312"/>
          <w:sz w:val="32"/>
          <w:szCs w:val="32"/>
          <w:lang w:bidi="ar"/>
        </w:rPr>
        <w:t>收</w:t>
      </w:r>
      <w:r>
        <w:rPr>
          <w:rFonts w:hint="eastAsia" w:ascii="Times New Roman" w:eastAsia="仿宋_GB2312"/>
          <w:sz w:val="32"/>
          <w:szCs w:val="32"/>
          <w:lang w:eastAsia="zh-CN" w:bidi="ar"/>
        </w:rPr>
        <w:t>入</w:t>
      </w:r>
      <w:r>
        <w:rPr>
          <w:rFonts w:hint="eastAsia" w:ascii="Times New Roman" w:hAnsi="Times New Roman" w:eastAsia="仿宋_GB2312"/>
          <w:sz w:val="32"/>
          <w:szCs w:val="32"/>
          <w:lang w:val="en-US" w:eastAsia="zh-CN" w:bidi="ar"/>
        </w:rPr>
        <w:t>1443.57</w:t>
      </w:r>
      <w:r>
        <w:rPr>
          <w:rFonts w:hint="eastAsia" w:ascii="Times New Roman" w:hAnsi="Times New Roman" w:eastAsia="仿宋_GB2312"/>
          <w:sz w:val="32"/>
          <w:szCs w:val="32"/>
          <w:lang w:val="zh-CN" w:bidi="ar"/>
        </w:rPr>
        <w:t>万元。</w:t>
      </w:r>
    </w:p>
    <w:p w14:paraId="08E0D723">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（二）支出情况。</w:t>
      </w:r>
      <w:r>
        <w:rPr>
          <w:rFonts w:hint="eastAsia" w:ascii="Times New Roman" w:hAnsi="Times New Roman" w:eastAsia="仿宋_GB2312"/>
          <w:sz w:val="32"/>
          <w:szCs w:val="32"/>
          <w:lang w:val="zh-CN" w:bidi="ar"/>
        </w:rPr>
        <w:t>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年度支出1</w:t>
      </w:r>
      <w:r>
        <w:rPr>
          <w:rFonts w:hint="eastAsia" w:ascii="Times New Roman" w:hAnsi="Times New Roman" w:eastAsia="仿宋_GB2312"/>
          <w:sz w:val="32"/>
          <w:szCs w:val="32"/>
          <w:lang w:val="en-US" w:eastAsia="zh-CN" w:bidi="ar"/>
        </w:rPr>
        <w:t>443.57</w:t>
      </w:r>
      <w:r>
        <w:rPr>
          <w:rFonts w:hint="eastAsia" w:ascii="Times New Roman" w:hAnsi="Times New Roman" w:eastAsia="仿宋_GB2312"/>
          <w:sz w:val="32"/>
          <w:szCs w:val="32"/>
          <w:lang w:val="zh-CN" w:bidi="ar"/>
        </w:rPr>
        <w:t>万元，主要包括人员工资、五险一金、不动产登记成本支出等。较</w:t>
      </w:r>
      <w:r>
        <w:rPr>
          <w:rFonts w:hint="eastAsia" w:ascii="Times New Roman" w:eastAsia="仿宋_GB2312"/>
          <w:sz w:val="32"/>
          <w:szCs w:val="32"/>
          <w:lang w:val="zh-CN" w:bidi="ar"/>
        </w:rPr>
        <w:t>好地</w:t>
      </w:r>
      <w:r>
        <w:rPr>
          <w:rFonts w:hint="eastAsia" w:ascii="Times New Roman" w:hAnsi="Times New Roman" w:eastAsia="仿宋_GB2312"/>
          <w:sz w:val="32"/>
          <w:szCs w:val="32"/>
          <w:lang w:val="zh-CN" w:bidi="ar"/>
        </w:rPr>
        <w:t>完成了202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职责范围内的自然资源、不动产登记发证工作，较好地开展了与本级登记发证工作权限相应的权籍查验工作，承担市自然资源和规划档案及确权登记发证资料的归档、保管、利用工作，保障了市级自然资源、不动产登记数据整合建库和社会查询服务等的顺利开展。</w:t>
      </w:r>
    </w:p>
    <w:p w14:paraId="7903F549">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（三）结余分配和结转结余情况。</w:t>
      </w:r>
      <w:r>
        <w:rPr>
          <w:rFonts w:hint="eastAsia" w:ascii="Times New Roman" w:hAnsi="Times New Roman" w:eastAsia="仿宋_GB2312"/>
          <w:sz w:val="32"/>
          <w:szCs w:val="32"/>
          <w:lang w:val="zh-CN" w:bidi="ar"/>
        </w:rPr>
        <w:t>攀枝花市不动产登记中心202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年度决算报表结转结余0元。</w:t>
      </w:r>
    </w:p>
    <w:p w14:paraId="7AEFE673">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三、部门预算绩效分析</w:t>
      </w:r>
    </w:p>
    <w:p w14:paraId="0202C589">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（一）部门预算总体绩效分析。</w:t>
      </w:r>
      <w:r>
        <w:rPr>
          <w:rFonts w:hint="eastAsia" w:ascii="Times New Roman" w:hAnsi="Times New Roman" w:eastAsia="仿宋_GB2312"/>
          <w:sz w:val="32"/>
          <w:szCs w:val="32"/>
          <w:lang w:val="zh-CN" w:bidi="ar"/>
        </w:rPr>
        <w:t>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年度收入预算</w:t>
      </w:r>
      <w:r>
        <w:rPr>
          <w:rFonts w:hint="eastAsia" w:ascii="Times New Roman" w:hAnsi="Times New Roman" w:eastAsia="仿宋_GB2312"/>
          <w:sz w:val="32"/>
          <w:szCs w:val="32"/>
          <w:lang w:val="en-US" w:eastAsia="zh-CN" w:bidi="ar"/>
        </w:rPr>
        <w:t>1443.57</w:t>
      </w:r>
      <w:r>
        <w:rPr>
          <w:rFonts w:hint="eastAsia" w:ascii="Times New Roman" w:hAnsi="Times New Roman" w:eastAsia="仿宋_GB2312"/>
          <w:sz w:val="32"/>
          <w:szCs w:val="32"/>
          <w:lang w:val="zh-CN" w:bidi="ar"/>
        </w:rPr>
        <w:t>万元，支出</w:t>
      </w:r>
      <w:r>
        <w:rPr>
          <w:rFonts w:hint="eastAsia" w:ascii="Times New Roman" w:hAnsi="Times New Roman" w:eastAsia="仿宋_GB2312"/>
          <w:sz w:val="32"/>
          <w:szCs w:val="32"/>
          <w:lang w:val="en-US" w:eastAsia="zh-CN" w:bidi="ar"/>
        </w:rPr>
        <w:t>1443.57</w:t>
      </w:r>
      <w:r>
        <w:rPr>
          <w:rFonts w:hint="eastAsia" w:ascii="Times New Roman" w:hAnsi="Times New Roman" w:eastAsia="仿宋_GB2312"/>
          <w:sz w:val="32"/>
          <w:szCs w:val="32"/>
          <w:lang w:val="zh-CN" w:bidi="ar"/>
        </w:rPr>
        <w:t>万元，预算执行率100%。完成了202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职责范围内的自然资源、不动产登记发证工作，较好地开展了与本级登记发证工作权限相应的权籍查验工作，承担市自然资源和规划档案及确权登记发证资料的归档、保管、利用工作，保障了市级自然资源、不动产登记数据整合建库和社会查询服务等的顺利开展。</w:t>
      </w:r>
    </w:p>
    <w:p w14:paraId="3DBE6856">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（二）部门预算项目绩效分析。</w:t>
      </w:r>
      <w:r>
        <w:rPr>
          <w:rFonts w:hint="eastAsia" w:ascii="Times New Roman" w:hAnsi="Times New Roman" w:eastAsia="仿宋_GB2312"/>
          <w:sz w:val="32"/>
          <w:szCs w:val="32"/>
          <w:lang w:val="zh-CN" w:bidi="ar"/>
        </w:rPr>
        <w:t>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年一般公共预算安排项目，入驻政务中心单位租金物业费及水电费1</w:t>
      </w:r>
      <w:r>
        <w:rPr>
          <w:rFonts w:hint="eastAsia" w:ascii="Times New Roman" w:hAnsi="Times New Roman" w:eastAsia="仿宋_GB2312"/>
          <w:sz w:val="32"/>
          <w:szCs w:val="32"/>
          <w:lang w:val="en-US" w:eastAsia="zh-CN" w:bidi="ar"/>
        </w:rPr>
        <w:t>33.82</w:t>
      </w:r>
      <w:r>
        <w:rPr>
          <w:rFonts w:hint="eastAsia" w:ascii="Times New Roman" w:hAnsi="Times New Roman" w:eastAsia="仿宋_GB2312"/>
          <w:sz w:val="32"/>
          <w:szCs w:val="32"/>
          <w:lang w:val="zh-CN" w:bidi="ar"/>
        </w:rPr>
        <w:t>万元，不动产登记成本费用5</w:t>
      </w:r>
      <w:r>
        <w:rPr>
          <w:rFonts w:hint="eastAsia" w:ascii="Times New Roman" w:hAnsi="Times New Roman" w:eastAsia="仿宋_GB2312"/>
          <w:sz w:val="32"/>
          <w:szCs w:val="32"/>
          <w:lang w:val="en-US" w:eastAsia="zh-CN" w:bidi="ar"/>
        </w:rPr>
        <w:t>4.8</w:t>
      </w:r>
      <w:r>
        <w:rPr>
          <w:rFonts w:hint="eastAsia" w:ascii="Times New Roman" w:hAnsi="Times New Roman" w:eastAsia="仿宋_GB2312"/>
          <w:sz w:val="32"/>
          <w:szCs w:val="32"/>
          <w:lang w:val="zh-CN" w:bidi="ar"/>
        </w:rPr>
        <w:t>万元，2024年度不动产权籍调查与测绘服务项目</w:t>
      </w:r>
      <w:r>
        <w:rPr>
          <w:rFonts w:hint="eastAsia" w:ascii="Times New Roman" w:hAnsi="Times New Roman" w:eastAsia="仿宋_GB2312"/>
          <w:sz w:val="32"/>
          <w:szCs w:val="32"/>
          <w:lang w:val="en-US" w:eastAsia="zh-CN" w:bidi="ar"/>
        </w:rPr>
        <w:t>26.88</w:t>
      </w:r>
      <w:r>
        <w:rPr>
          <w:rFonts w:hint="eastAsia" w:ascii="Times New Roman" w:hAnsi="Times New Roman" w:eastAsia="仿宋_GB2312"/>
          <w:sz w:val="32"/>
          <w:szCs w:val="32"/>
          <w:lang w:val="zh-CN" w:bidi="ar"/>
        </w:rPr>
        <w:t>万元。以上项目均完成了目标任务，不存在目标偏离和项目调整情况；项目执行和资金使用都达到预期目标。</w:t>
      </w:r>
    </w:p>
    <w:p w14:paraId="6C2BB444">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（三）绩效结果应用情况。</w:t>
      </w:r>
      <w:r>
        <w:rPr>
          <w:rFonts w:hint="eastAsia" w:ascii="Times New Roman" w:hAnsi="Times New Roman" w:eastAsia="仿宋_GB2312"/>
          <w:sz w:val="32"/>
          <w:szCs w:val="32"/>
          <w:lang w:val="zh-CN" w:bidi="ar"/>
        </w:rPr>
        <w:t>绩效自评结果主要用于业务科室对专项工作检验，发现项目绩效评价工作中的不足和做得好的地方，用于改进工作和指导制定下一个项目绩效评价中的年度指标。绩效自评结果将在市局的公示栏中进行公示。</w:t>
      </w:r>
    </w:p>
    <w:p w14:paraId="59C9E8EF">
      <w:pPr>
        <w:widowControl/>
        <w:adjustRightInd w:val="0"/>
        <w:snapToGrid w:val="0"/>
        <w:spacing w:line="578" w:lineRule="exact"/>
        <w:ind w:firstLine="640" w:firstLineChars="200"/>
        <w:contextualSpacing/>
        <w:jc w:val="left"/>
        <w:rPr>
          <w:rFonts w:hint="eastAsia" w:ascii="Times New Roman" w:hAnsi="Times New Roman" w:eastAsia="黑体"/>
          <w:color w:val="000000"/>
          <w:kern w:val="0"/>
          <w:sz w:val="32"/>
          <w:szCs w:val="32"/>
          <w:shd w:val="clear" w:color="auto" w:fill="FFFFFF"/>
          <w:lang w:val="zh-CN"/>
        </w:rPr>
      </w:pPr>
      <w:r>
        <w:rPr>
          <w:rFonts w:hint="eastAsia" w:ascii="Times New Roman" w:hAnsi="Times New Roman" w:eastAsia="黑体"/>
          <w:color w:val="000000"/>
          <w:kern w:val="0"/>
          <w:sz w:val="32"/>
          <w:szCs w:val="32"/>
          <w:shd w:val="clear" w:color="auto" w:fill="FFFFFF"/>
          <w:lang w:val="zh-CN"/>
        </w:rPr>
        <w:t>四、评价结论及建议</w:t>
      </w:r>
    </w:p>
    <w:p w14:paraId="2E1C971F">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（一）评价结论。</w:t>
      </w:r>
      <w:r>
        <w:rPr>
          <w:rFonts w:hint="eastAsia" w:ascii="Times New Roman" w:hAnsi="Times New Roman" w:eastAsia="仿宋_GB2312"/>
          <w:sz w:val="32"/>
          <w:szCs w:val="32"/>
          <w:lang w:val="zh-CN" w:bidi="ar"/>
        </w:rPr>
        <w:t>绩效目标要素完整、进行了细化、量化。单位绩效目标实际实现程度与预期目标的偏离度小。开展绩效运行监控，及时将绩效监控结果应用到预算调整中。202</w:t>
      </w:r>
      <w:r>
        <w:rPr>
          <w:rFonts w:hint="eastAsia" w:ascii="Times New Roman" w:hAnsi="Times New Roman" w:eastAsia="仿宋_GB2312"/>
          <w:sz w:val="32"/>
          <w:szCs w:val="32"/>
          <w:lang w:val="en-US" w:eastAsia="zh-CN" w:bidi="ar"/>
        </w:rPr>
        <w:t>5</w:t>
      </w:r>
      <w:r>
        <w:rPr>
          <w:rFonts w:hint="eastAsia" w:ascii="Times New Roman" w:hAnsi="Times New Roman" w:eastAsia="仿宋_GB2312"/>
          <w:sz w:val="32"/>
          <w:szCs w:val="32"/>
          <w:lang w:val="zh-CN" w:bidi="ar"/>
        </w:rPr>
        <w:t>年度预算执行情况完成较好，整体支出绩效自评得分</w:t>
      </w:r>
      <w:r>
        <w:rPr>
          <w:rFonts w:hint="eastAsia" w:ascii="Times New Roman" w:hAnsi="Times New Roman" w:eastAsia="仿宋_GB2312"/>
          <w:sz w:val="32"/>
          <w:szCs w:val="32"/>
          <w:lang w:val="en-US" w:eastAsia="zh-CN" w:bidi="ar"/>
        </w:rPr>
        <w:t>95</w:t>
      </w:r>
      <w:r>
        <w:rPr>
          <w:rFonts w:hint="eastAsia" w:ascii="Times New Roman" w:hAnsi="Times New Roman" w:eastAsia="仿宋_GB2312"/>
          <w:sz w:val="32"/>
          <w:szCs w:val="32"/>
          <w:lang w:val="zh-CN" w:bidi="ar"/>
        </w:rPr>
        <w:t>分。</w:t>
      </w:r>
    </w:p>
    <w:p w14:paraId="11F4B481">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（二）存在问题。</w:t>
      </w:r>
      <w:r>
        <w:rPr>
          <w:rFonts w:hint="eastAsia" w:ascii="Times New Roman" w:hAnsi="Times New Roman" w:eastAsia="仿宋_GB2312"/>
          <w:sz w:val="32"/>
          <w:szCs w:val="32"/>
          <w:lang w:val="zh-CN" w:bidi="ar"/>
        </w:rPr>
        <w:t>预算编制精细化存在差距。进一步严格按照预算编制文件规定，科学精细编制预算，切实提高单位预算管理水平。</w:t>
      </w:r>
    </w:p>
    <w:p w14:paraId="164E916D">
      <w:pPr>
        <w:pStyle w:val="8"/>
        <w:spacing w:line="560" w:lineRule="exact"/>
        <w:ind w:firstLine="643"/>
        <w:rPr>
          <w:rFonts w:hint="eastAsia" w:ascii="Times New Roman" w:hAnsi="Times New Roman" w:eastAsia="仿宋_GB2312"/>
          <w:sz w:val="32"/>
          <w:szCs w:val="32"/>
          <w:lang w:val="zh-CN" w:bidi="ar"/>
        </w:rPr>
      </w:pPr>
      <w:r>
        <w:rPr>
          <w:rFonts w:hint="eastAsia" w:ascii="Times New Roman" w:hAnsi="Times New Roman" w:eastAsia="楷体_GB2312"/>
          <w:b/>
          <w:bCs/>
          <w:color w:val="000000"/>
          <w:kern w:val="0"/>
          <w:sz w:val="32"/>
          <w:szCs w:val="32"/>
          <w:shd w:val="clear" w:color="auto" w:fill="FFFFFF"/>
          <w:lang w:val="zh-CN"/>
        </w:rPr>
        <w:t>（三）改进建议。</w:t>
      </w:r>
      <w:r>
        <w:rPr>
          <w:rFonts w:hint="eastAsia" w:ascii="Times New Roman" w:hAnsi="Times New Roman" w:eastAsia="仿宋_GB2312"/>
          <w:sz w:val="32"/>
          <w:szCs w:val="32"/>
          <w:lang w:val="zh-CN" w:bidi="ar"/>
        </w:rPr>
        <w:t>加强单位预算编制工作，逐项作出预算计划，合理编制预算，预算财务分析常态化，定期做好预算支出财务分析，做好单位整体支出预算评价工作。</w:t>
      </w:r>
    </w:p>
    <w:p w14:paraId="67F1134E">
      <w:pPr>
        <w:pStyle w:val="8"/>
        <w:spacing w:line="560" w:lineRule="exact"/>
        <w:ind w:firstLine="640"/>
        <w:rPr>
          <w:rFonts w:hint="eastAsia" w:ascii="Times New Roman" w:hAnsi="Times New Roman" w:eastAsia="仿宋_GB2312"/>
          <w:sz w:val="32"/>
          <w:szCs w:val="32"/>
          <w:lang w:val="zh-CN" w:bidi="ar"/>
        </w:rPr>
      </w:pPr>
    </w:p>
    <w:p w14:paraId="4334A0AB">
      <w:pPr>
        <w:pStyle w:val="8"/>
        <w:spacing w:line="560" w:lineRule="exact"/>
        <w:ind w:firstLine="640"/>
        <w:rPr>
          <w:rFonts w:hint="eastAsia" w:ascii="Times New Roman" w:hAnsi="Times New Roman" w:eastAsia="仿宋_GB2312"/>
          <w:sz w:val="32"/>
          <w:szCs w:val="32"/>
          <w:lang w:val="zh-CN" w:bidi="ar"/>
        </w:rPr>
      </w:pPr>
    </w:p>
    <w:p w14:paraId="5C2DC951">
      <w:pPr>
        <w:pStyle w:val="8"/>
        <w:spacing w:line="560" w:lineRule="exact"/>
        <w:ind w:firstLine="640"/>
        <w:rPr>
          <w:rFonts w:hint="eastAsia" w:ascii="Times New Roman" w:hAnsi="Times New Roman" w:eastAsia="仿宋_GB2312"/>
          <w:sz w:val="32"/>
          <w:szCs w:val="32"/>
          <w:lang w:val="zh-CN" w:bidi="ar"/>
        </w:rPr>
      </w:pPr>
    </w:p>
    <w:p w14:paraId="2EB71DA2">
      <w:pPr>
        <w:pStyle w:val="8"/>
        <w:spacing w:line="560" w:lineRule="exact"/>
        <w:ind w:firstLine="640"/>
        <w:rPr>
          <w:rFonts w:hint="eastAsia" w:ascii="Times New Roman" w:hAnsi="Times New Roman" w:eastAsia="仿宋_GB2312"/>
          <w:sz w:val="32"/>
          <w:szCs w:val="32"/>
          <w:lang w:val="zh-CN" w:bidi="ar"/>
        </w:rPr>
      </w:pPr>
    </w:p>
    <w:p w14:paraId="4E576386">
      <w:pPr>
        <w:pStyle w:val="8"/>
        <w:spacing w:line="560" w:lineRule="exact"/>
        <w:ind w:firstLine="640"/>
        <w:rPr>
          <w:rFonts w:hint="eastAsia" w:ascii="Times New Roman" w:hAnsi="Times New Roman" w:eastAsia="仿宋_GB2312"/>
          <w:sz w:val="32"/>
          <w:szCs w:val="32"/>
          <w:lang w:val="zh-CN" w:bidi="ar"/>
        </w:rPr>
      </w:pPr>
    </w:p>
    <w:p w14:paraId="73B25672">
      <w:pPr>
        <w:pStyle w:val="8"/>
        <w:spacing w:line="560" w:lineRule="exact"/>
        <w:ind w:firstLine="640"/>
        <w:rPr>
          <w:rFonts w:hint="eastAsia" w:ascii="Times New Roman" w:hAnsi="Times New Roman" w:eastAsia="仿宋_GB2312"/>
          <w:sz w:val="32"/>
          <w:szCs w:val="32"/>
          <w:lang w:val="zh-CN" w:bidi="ar"/>
        </w:rPr>
      </w:pPr>
    </w:p>
    <w:p w14:paraId="70FE5DE7">
      <w:pPr>
        <w:pStyle w:val="8"/>
        <w:spacing w:line="560" w:lineRule="exact"/>
        <w:ind w:firstLine="640"/>
        <w:rPr>
          <w:rFonts w:hint="eastAsia" w:ascii="Times New Roman" w:hAnsi="Times New Roman" w:eastAsia="仿宋_GB2312"/>
          <w:sz w:val="32"/>
          <w:szCs w:val="32"/>
          <w:lang w:val="zh-CN" w:bidi="ar"/>
        </w:rPr>
      </w:pPr>
    </w:p>
    <w:p w14:paraId="3A97AA1F">
      <w:pPr>
        <w:pStyle w:val="8"/>
        <w:spacing w:line="560" w:lineRule="exact"/>
        <w:ind w:firstLine="640"/>
        <w:rPr>
          <w:rFonts w:hint="eastAsia" w:ascii="Times New Roman" w:hAnsi="Times New Roman" w:eastAsia="仿宋_GB2312"/>
          <w:sz w:val="32"/>
          <w:szCs w:val="32"/>
          <w:lang w:val="zh-CN" w:bidi="ar"/>
        </w:rPr>
      </w:pPr>
    </w:p>
    <w:p w14:paraId="19E01785">
      <w:pPr>
        <w:spacing w:line="600" w:lineRule="exact"/>
        <w:jc w:val="center"/>
        <w:rPr>
          <w:rFonts w:hint="default" w:ascii="Times New Roman" w:hAnsi="Times New Roman" w:eastAsia="方正小标宋简体" w:cs="Times New Roman"/>
          <w:sz w:val="40"/>
          <w:szCs w:val="40"/>
          <w:lang w:val="zh-CN"/>
        </w:rPr>
      </w:pPr>
    </w:p>
    <w:p w14:paraId="7EE2D5C6">
      <w:pPr>
        <w:spacing w:line="600" w:lineRule="exact"/>
        <w:jc w:val="center"/>
        <w:rPr>
          <w:rFonts w:hint="default" w:ascii="Times New Roman" w:hAnsi="Times New Roman" w:eastAsia="方正小标宋简体" w:cs="Times New Roman"/>
          <w:sz w:val="40"/>
          <w:szCs w:val="40"/>
          <w:lang w:val="zh-CN"/>
        </w:rPr>
      </w:pPr>
      <w:r>
        <w:rPr>
          <w:rFonts w:hint="default" w:ascii="Times New Roman" w:hAnsi="Times New Roman" w:eastAsia="方正小标宋简体" w:cs="Times New Roman"/>
          <w:sz w:val="40"/>
          <w:szCs w:val="40"/>
          <w:lang w:val="zh-CN"/>
        </w:rPr>
        <w:t>专项预算项目支出绩效自评报告</w:t>
      </w:r>
    </w:p>
    <w:p w14:paraId="65179D54">
      <w:pPr>
        <w:widowControl w:val="0"/>
        <w:spacing w:line="578" w:lineRule="exact"/>
        <w:jc w:val="center"/>
        <w:outlineLvl w:val="3"/>
        <w:rPr>
          <w:rFonts w:hint="default" w:ascii="Times New Roman" w:hAnsi="Times New Roman" w:eastAsia="宋体" w:cs="Times New Roman"/>
          <w:color w:val="auto"/>
          <w:kern w:val="2"/>
          <w:sz w:val="32"/>
          <w:szCs w:val="32"/>
          <w:lang w:val="zh-CN" w:eastAsia="zh-CN" w:bidi="ar-SA"/>
        </w:rPr>
      </w:pPr>
      <w:r>
        <w:rPr>
          <w:rFonts w:hint="default" w:ascii="Times New Roman" w:hAnsi="Times New Roman" w:eastAsia="宋体" w:cs="Times New Roman"/>
          <w:color w:val="auto"/>
          <w:kern w:val="2"/>
          <w:sz w:val="32"/>
          <w:szCs w:val="32"/>
          <w:lang w:val="zh-CN" w:eastAsia="zh-CN" w:bidi="ar-SA"/>
        </w:rPr>
        <w:t>（</w:t>
      </w:r>
      <w:r>
        <w:rPr>
          <w:rFonts w:hint="default" w:ascii="Times New Roman" w:hAnsi="Times New Roman" w:eastAsia="仿宋_GB2312" w:cs="Times New Roman"/>
          <w:color w:val="auto"/>
          <w:kern w:val="2"/>
          <w:sz w:val="32"/>
          <w:szCs w:val="32"/>
          <w:highlight w:val="none"/>
          <w:lang w:val="en-US" w:eastAsia="zh-CN" w:bidi="ar-SA"/>
        </w:rPr>
        <w:t>解决凤凰小区乡情苑11号安置住宅楼遗留问题所需资金</w:t>
      </w:r>
      <w:r>
        <w:rPr>
          <w:rFonts w:hint="default" w:ascii="Times New Roman" w:hAnsi="Times New Roman" w:eastAsia="宋体" w:cs="Times New Roman"/>
          <w:color w:val="auto"/>
          <w:kern w:val="2"/>
          <w:sz w:val="32"/>
          <w:szCs w:val="32"/>
          <w:lang w:val="zh-CN" w:eastAsia="zh-CN" w:bidi="ar-SA"/>
        </w:rPr>
        <w:t>）</w:t>
      </w:r>
    </w:p>
    <w:p w14:paraId="70EA7729">
      <w:pPr>
        <w:spacing w:line="600" w:lineRule="exact"/>
        <w:ind w:firstLine="640"/>
        <w:jc w:val="center"/>
        <w:rPr>
          <w:rFonts w:hint="default" w:ascii="Times New Roman" w:hAnsi="Times New Roman" w:eastAsia="宋体" w:cs="Times New Roman"/>
          <w:sz w:val="32"/>
          <w:szCs w:val="32"/>
          <w:lang w:val="zh-CN"/>
        </w:rPr>
      </w:pPr>
    </w:p>
    <w:p w14:paraId="2E4A1DC5">
      <w:pPr>
        <w:adjustRightInd w:val="0"/>
        <w:snapToGrid w:val="0"/>
        <w:spacing w:line="600" w:lineRule="exact"/>
        <w:ind w:firstLine="720"/>
        <w:rPr>
          <w:rFonts w:hint="default" w:ascii="Times New Roman" w:hAnsi="Times New Roman" w:eastAsia="黑体" w:cs="Times New Roman"/>
          <w:sz w:val="32"/>
          <w:szCs w:val="32"/>
          <w:lang w:val="zh-CN"/>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val="zh-CN"/>
        </w:rPr>
        <w:t>项目概况</w:t>
      </w:r>
    </w:p>
    <w:p w14:paraId="0AB1C444">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（一）项目基本情况。</w:t>
      </w:r>
    </w:p>
    <w:p w14:paraId="3A8263BB">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1.</w:t>
      </w:r>
      <w:r>
        <w:rPr>
          <w:rFonts w:hint="default" w:ascii="Times New Roman" w:hAnsi="Times New Roman" w:eastAsia="仿宋_GB2312" w:cs="Times New Roman"/>
          <w:sz w:val="32"/>
          <w:szCs w:val="32"/>
          <w:lang w:val="en-US" w:eastAsia="zh-CN"/>
        </w:rPr>
        <w:t>为尽快解决凤凰小区风情苑11号安置住宅楼遗留问题，办理安置</w:t>
      </w:r>
      <w:r>
        <w:rPr>
          <w:rFonts w:hint="eastAsia" w:eastAsia="仿宋_GB2312" w:cs="Times New Roman"/>
          <w:sz w:val="32"/>
          <w:szCs w:val="32"/>
          <w:lang w:val="en-US" w:eastAsia="zh-CN"/>
        </w:rPr>
        <w:t>群众急难愁盼</w:t>
      </w:r>
      <w:r>
        <w:rPr>
          <w:rFonts w:hint="default" w:ascii="Times New Roman" w:hAnsi="Times New Roman" w:eastAsia="仿宋_GB2312" w:cs="Times New Roman"/>
          <w:sz w:val="32"/>
          <w:szCs w:val="32"/>
          <w:lang w:val="en-US" w:eastAsia="zh-CN"/>
        </w:rPr>
        <w:t>的产权证相关事宜，维护社会稳定，经市政府批示同意，市土地储备中心组织实施凤凰小区风情苑11号安置住宅楼消防整改、房屋结构安全鉴定工作。</w:t>
      </w:r>
    </w:p>
    <w:p w14:paraId="32CBDC77">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2. 项目立项、资金申报的依据：</w:t>
      </w:r>
      <w:r>
        <w:rPr>
          <w:rFonts w:hint="default" w:ascii="Times New Roman" w:hAnsi="Times New Roman" w:eastAsia="仿宋_GB2312" w:cs="Times New Roman"/>
          <w:sz w:val="32"/>
          <w:szCs w:val="32"/>
          <w:lang w:val="en-US" w:eastAsia="zh-CN"/>
        </w:rPr>
        <w:t>市政府对《攀枝花市财政局关于解决凤凰小区风情苑11号安置住宅楼遗留问题所需资金的请示》批示</w:t>
      </w:r>
      <w:r>
        <w:rPr>
          <w:rFonts w:hint="default" w:ascii="Times New Roman" w:hAnsi="Times New Roman" w:eastAsia="仿宋_GB2312" w:cs="Times New Roman"/>
          <w:sz w:val="32"/>
          <w:szCs w:val="32"/>
          <w:lang w:val="zh-CN"/>
        </w:rPr>
        <w:t>。</w:t>
      </w:r>
    </w:p>
    <w:p w14:paraId="28F2A979">
      <w:pPr>
        <w:adjustRightInd w:val="0"/>
        <w:snapToGrid w:val="0"/>
        <w:spacing w:line="600" w:lineRule="exact"/>
        <w:ind w:firstLine="720"/>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sz w:val="32"/>
          <w:szCs w:val="32"/>
          <w:lang w:val="zh-CN"/>
        </w:rPr>
        <w:t>3.资金管理情况：</w:t>
      </w:r>
      <w:r>
        <w:rPr>
          <w:rFonts w:hint="default" w:ascii="Times New Roman" w:hAnsi="Times New Roman" w:eastAsia="仿宋_GB2312" w:cs="Times New Roman"/>
          <w:b w:val="0"/>
          <w:bCs w:val="0"/>
          <w:kern w:val="0"/>
          <w:position w:val="0"/>
          <w:sz w:val="32"/>
          <w:szCs w:val="32"/>
          <w:highlight w:val="none"/>
          <w:lang w:val="zh-CN" w:eastAsia="zh-CN" w:bidi="ar-SA"/>
        </w:rPr>
        <w:t>本项目按照</w:t>
      </w:r>
      <w:r>
        <w:rPr>
          <w:rFonts w:hint="eastAsia" w:eastAsia="仿宋_GB2312" w:cs="Times New Roman"/>
          <w:b w:val="0"/>
          <w:bCs w:val="0"/>
          <w:kern w:val="0"/>
          <w:position w:val="0"/>
          <w:sz w:val="32"/>
          <w:szCs w:val="32"/>
          <w:highlight w:val="none"/>
          <w:lang w:val="zh-CN" w:eastAsia="zh-CN" w:bidi="ar-SA"/>
        </w:rPr>
        <w:t>《攀枝花市土地储备中心财务管理办法（试行）》</w:t>
      </w:r>
      <w:r>
        <w:rPr>
          <w:rFonts w:hint="default" w:ascii="Times New Roman" w:hAnsi="Times New Roman" w:eastAsia="仿宋_GB2312" w:cs="Times New Roman"/>
          <w:b w:val="0"/>
          <w:bCs w:val="0"/>
          <w:kern w:val="0"/>
          <w:position w:val="0"/>
          <w:sz w:val="32"/>
          <w:szCs w:val="32"/>
          <w:highlight w:val="none"/>
          <w:lang w:val="zh-CN" w:eastAsia="zh-CN" w:bidi="ar-SA"/>
        </w:rPr>
        <w:t>开展资金管理工作。</w:t>
      </w:r>
      <w:r>
        <w:rPr>
          <w:rFonts w:hint="default" w:ascii="Times New Roman" w:hAnsi="Times New Roman" w:eastAsia="仿宋_GB2312" w:cs="Times New Roman"/>
          <w:b w:val="0"/>
          <w:bCs w:val="0"/>
          <w:kern w:val="0"/>
          <w:position w:val="0"/>
          <w:sz w:val="32"/>
          <w:szCs w:val="32"/>
          <w:highlight w:val="none"/>
          <w:lang w:val="en-US" w:eastAsia="zh-CN" w:bidi="ar-SA"/>
        </w:rPr>
        <w:t>2025年，支付</w:t>
      </w:r>
      <w:r>
        <w:rPr>
          <w:rFonts w:hint="default" w:ascii="Times New Roman" w:hAnsi="Times New Roman" w:eastAsia="仿宋_GB2312" w:cs="Times New Roman"/>
          <w:sz w:val="32"/>
          <w:szCs w:val="32"/>
          <w:lang w:val="en-US" w:eastAsia="zh-CN"/>
        </w:rPr>
        <w:t>凤凰小区风情苑11号安置住宅楼消防通风改造工程设计费5.4万元，结构安全鉴定费2万元，房产测绘费0.86万元。</w:t>
      </w:r>
    </w:p>
    <w:p w14:paraId="600E5F49">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4. 资金分配的原则及考虑因素。</w:t>
      </w:r>
      <w:r>
        <w:rPr>
          <w:rFonts w:hint="default" w:ascii="Times New Roman" w:hAnsi="Times New Roman" w:eastAsia="仿宋_GB2312" w:cs="Times New Roman"/>
          <w:sz w:val="32"/>
          <w:szCs w:val="32"/>
          <w:lang w:val="en-US" w:eastAsia="zh-CN"/>
        </w:rPr>
        <w:t>2025年，市财政下达资金8.26万元，根据项目进展情况支付设计费5.4万元，结构安全鉴定费2万元，房产测绘费0.86万元。</w:t>
      </w:r>
    </w:p>
    <w:p w14:paraId="4320BA31">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（二）项目绩效目标。</w:t>
      </w:r>
    </w:p>
    <w:p w14:paraId="3DBF8859">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1. 项目主要内容：</w:t>
      </w:r>
      <w:r>
        <w:rPr>
          <w:rFonts w:hint="default" w:ascii="Times New Roman" w:hAnsi="Times New Roman" w:eastAsia="仿宋_GB2312" w:cs="Times New Roman"/>
          <w:sz w:val="32"/>
          <w:szCs w:val="32"/>
          <w:lang w:val="en-US" w:eastAsia="zh-CN"/>
        </w:rPr>
        <w:t>完成凤凰小区乡情苑11号安置住宅楼消防整改、房屋安全结构鉴定、房产测绘等工作，办理房产证。</w:t>
      </w:r>
    </w:p>
    <w:p w14:paraId="6AD46E6B">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2. 项目应实现的具体绩效目标：</w:t>
      </w:r>
      <w:r>
        <w:rPr>
          <w:rFonts w:hint="default" w:ascii="Times New Roman" w:hAnsi="Times New Roman" w:eastAsia="仿宋_GB2312" w:cs="Times New Roman"/>
          <w:sz w:val="32"/>
          <w:szCs w:val="32"/>
          <w:lang w:val="en-US" w:eastAsia="zh-CN"/>
        </w:rPr>
        <w:t>按照施工图完成相应施工内容并通过消防验收，完成房屋安全结构鉴定、房产测绘等工作，最终办理房产证。</w:t>
      </w:r>
    </w:p>
    <w:p w14:paraId="72169ACA">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rPr>
        <w:t xml:space="preserve">3. </w:t>
      </w:r>
      <w:r>
        <w:rPr>
          <w:rFonts w:hint="default" w:ascii="Times New Roman" w:hAnsi="Times New Roman" w:eastAsia="仿宋_GB2312" w:cs="Times New Roman"/>
          <w:sz w:val="32"/>
          <w:szCs w:val="32"/>
          <w:lang w:val="en-US" w:eastAsia="zh-CN"/>
        </w:rPr>
        <w:t>本项目申报内容与实际内容相符，但是对项目实施过程中消防整改工作的财评、施工单位确定等前期环节所需时间考虑不充分。</w:t>
      </w:r>
    </w:p>
    <w:p w14:paraId="660D12C1">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（三）项目自评步骤及方法。</w:t>
      </w:r>
    </w:p>
    <w:p w14:paraId="00DAD98F">
      <w:pPr>
        <w:keepNext w:val="0"/>
        <w:keepLines w:val="0"/>
        <w:pageBreakBefore w:val="0"/>
        <w:kinsoku/>
        <w:wordWrap/>
        <w:overflowPunct/>
        <w:topLinePunct w:val="0"/>
        <w:autoSpaceDE/>
        <w:autoSpaceDN/>
        <w:bidi w:val="0"/>
        <w:adjustRightInd w:val="0"/>
        <w:snapToGrid w:val="0"/>
        <w:spacing w:line="578" w:lineRule="exact"/>
        <w:ind w:firstLine="640" w:firstLineChars="200"/>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kern w:val="0"/>
          <w:sz w:val="32"/>
          <w:szCs w:val="32"/>
          <w:lang w:val="en-US" w:eastAsia="zh-CN"/>
        </w:rPr>
        <w:t>项目</w:t>
      </w:r>
      <w:r>
        <w:rPr>
          <w:rFonts w:hint="default" w:ascii="Times New Roman" w:hAnsi="Times New Roman" w:eastAsia="仿宋_GB2312" w:cs="Times New Roman"/>
          <w:kern w:val="0"/>
          <w:sz w:val="32"/>
          <w:szCs w:val="32"/>
          <w:lang w:val="zh-CN"/>
        </w:rPr>
        <w:t>评价组人员由</w:t>
      </w:r>
      <w:r>
        <w:rPr>
          <w:rFonts w:hint="default" w:ascii="Times New Roman" w:hAnsi="Times New Roman" w:eastAsia="仿宋_GB2312" w:cs="Times New Roman"/>
          <w:kern w:val="0"/>
          <w:sz w:val="32"/>
          <w:szCs w:val="32"/>
          <w:lang w:val="en-US" w:eastAsia="zh-CN"/>
        </w:rPr>
        <w:t>储备科</w:t>
      </w:r>
      <w:r>
        <w:rPr>
          <w:rFonts w:hint="default" w:ascii="Times New Roman" w:hAnsi="Times New Roman" w:eastAsia="仿宋_GB2312" w:cs="Times New Roman"/>
          <w:kern w:val="0"/>
          <w:sz w:val="32"/>
          <w:szCs w:val="32"/>
          <w:lang w:val="zh-CN"/>
        </w:rPr>
        <w:t>牵头，办公室、资金科相关人员参与；</w:t>
      </w:r>
      <w:r>
        <w:rPr>
          <w:rFonts w:hint="default" w:ascii="Times New Roman" w:hAnsi="Times New Roman" w:eastAsia="仿宋_GB2312" w:cs="Times New Roman"/>
          <w:kern w:val="0"/>
          <w:sz w:val="32"/>
          <w:szCs w:val="32"/>
          <w:lang w:val="en-US" w:eastAsia="zh-CN"/>
        </w:rPr>
        <w:t>采取</w:t>
      </w:r>
      <w:r>
        <w:rPr>
          <w:rFonts w:hint="default" w:ascii="Times New Roman" w:hAnsi="Times New Roman" w:eastAsia="仿宋_GB2312" w:cs="Times New Roman"/>
          <w:kern w:val="0"/>
          <w:sz w:val="32"/>
          <w:szCs w:val="32"/>
          <w:lang w:val="zh-CN"/>
        </w:rPr>
        <w:t>单位自评法。</w:t>
      </w:r>
    </w:p>
    <w:p w14:paraId="3601CD5B">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二、项目资金申报及使用情况</w:t>
      </w:r>
    </w:p>
    <w:p w14:paraId="77AEC7CF">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（一）项目资金申报及批复情况。</w:t>
      </w:r>
    </w:p>
    <w:p w14:paraId="26399B99">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为尽快解决凤凰小区风情苑11号安置住宅楼遗留问题，办理安置</w:t>
      </w:r>
      <w:r>
        <w:rPr>
          <w:rFonts w:hint="eastAsia" w:eastAsia="仿宋_GB2312" w:cs="Times New Roman"/>
          <w:sz w:val="32"/>
          <w:szCs w:val="32"/>
          <w:lang w:val="en-US" w:eastAsia="zh-CN"/>
        </w:rPr>
        <w:t>群众急难愁盼</w:t>
      </w:r>
      <w:r>
        <w:rPr>
          <w:rFonts w:hint="default" w:ascii="Times New Roman" w:hAnsi="Times New Roman" w:eastAsia="仿宋_GB2312" w:cs="Times New Roman"/>
          <w:sz w:val="32"/>
          <w:szCs w:val="32"/>
          <w:lang w:val="en-US" w:eastAsia="zh-CN"/>
        </w:rPr>
        <w:t>的产权证相关事宜，维护社会稳定，经市政府批示同意，安排解决凤凰小区风情苑11号安置住宅楼遗留问题资金50万元，后根据项目进展调整后预算为8.26万元。</w:t>
      </w:r>
    </w:p>
    <w:p w14:paraId="66EEC305">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（二）资金计划、到位及使用情况（可用表格形式反映）。</w:t>
      </w:r>
    </w:p>
    <w:p w14:paraId="4B6E7EC5">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sz w:val="32"/>
          <w:szCs w:val="32"/>
          <w:lang w:val="zh-CN"/>
        </w:rPr>
        <w:t>1.资金计划。</w:t>
      </w:r>
      <w:r>
        <w:rPr>
          <w:rFonts w:hint="default" w:ascii="Times New Roman" w:hAnsi="Times New Roman" w:eastAsia="仿宋_GB2312" w:cs="Times New Roman"/>
          <w:sz w:val="32"/>
          <w:szCs w:val="32"/>
          <w:lang w:val="en-US" w:eastAsia="zh-CN"/>
        </w:rPr>
        <w:t>市级</w:t>
      </w:r>
      <w:r>
        <w:rPr>
          <w:rFonts w:hint="default" w:ascii="Times New Roman" w:hAnsi="Times New Roman" w:eastAsia="仿宋_GB2312" w:cs="Times New Roman"/>
          <w:sz w:val="32"/>
          <w:szCs w:val="32"/>
          <w:lang w:val="zh-CN"/>
        </w:rPr>
        <w:t>财政资金</w:t>
      </w:r>
      <w:r>
        <w:rPr>
          <w:rFonts w:hint="default" w:ascii="Times New Roman" w:hAnsi="Times New Roman" w:eastAsia="仿宋_GB2312" w:cs="Times New Roman"/>
          <w:sz w:val="32"/>
          <w:szCs w:val="32"/>
          <w:lang w:val="en-US" w:eastAsia="zh-CN"/>
        </w:rPr>
        <w:t>8.26万元</w:t>
      </w:r>
      <w:r>
        <w:rPr>
          <w:rFonts w:hint="default" w:ascii="Times New Roman" w:hAnsi="Times New Roman" w:eastAsia="仿宋_GB2312" w:cs="Times New Roman"/>
          <w:sz w:val="32"/>
          <w:szCs w:val="32"/>
          <w:lang w:val="zh-CN"/>
        </w:rPr>
        <w:t>。</w:t>
      </w:r>
    </w:p>
    <w:p w14:paraId="75C13581">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sz w:val="32"/>
          <w:szCs w:val="32"/>
          <w:lang w:val="zh-CN"/>
        </w:rPr>
        <w:t>2.资金到位。</w:t>
      </w:r>
      <w:r>
        <w:rPr>
          <w:rFonts w:hint="default" w:ascii="Times New Roman" w:hAnsi="Times New Roman" w:eastAsia="仿宋_GB2312" w:cs="Times New Roman"/>
          <w:sz w:val="32"/>
          <w:szCs w:val="32"/>
          <w:lang w:val="en-US" w:eastAsia="zh-CN"/>
        </w:rPr>
        <w:t>到位市级财政资金8.26万元</w:t>
      </w:r>
      <w:r>
        <w:rPr>
          <w:rFonts w:hint="default" w:ascii="Times New Roman" w:hAnsi="Times New Roman" w:eastAsia="仿宋_GB2312" w:cs="Times New Roman"/>
          <w:sz w:val="32"/>
          <w:szCs w:val="32"/>
          <w:lang w:val="zh-CN" w:eastAsia="zh-CN"/>
        </w:rPr>
        <w:t>。</w:t>
      </w:r>
    </w:p>
    <w:p w14:paraId="2EA39656">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sz w:val="32"/>
          <w:szCs w:val="32"/>
          <w:lang w:val="zh-CN"/>
        </w:rPr>
        <w:t>3.资金使用。</w:t>
      </w:r>
      <w:r>
        <w:rPr>
          <w:rFonts w:hint="default" w:ascii="Times New Roman" w:hAnsi="Times New Roman" w:eastAsia="仿宋_GB2312" w:cs="Times New Roman"/>
          <w:sz w:val="32"/>
          <w:szCs w:val="32"/>
          <w:lang w:val="en-US" w:eastAsia="zh-CN"/>
        </w:rPr>
        <w:t>2025年，根据项目进展情况支付设计费5.4万元，结构安全鉴定费2万元，房产测绘费0.86万元。</w:t>
      </w:r>
    </w:p>
    <w:p w14:paraId="1A9C0080">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（三）项目财务管理情况。</w:t>
      </w:r>
    </w:p>
    <w:p w14:paraId="55B6A3EC">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市土地储备中心</w:t>
      </w:r>
      <w:r>
        <w:rPr>
          <w:rFonts w:hint="default" w:ascii="Times New Roman" w:hAnsi="Times New Roman" w:eastAsia="仿宋_GB2312" w:cs="Times New Roman"/>
          <w:sz w:val="32"/>
          <w:szCs w:val="32"/>
          <w:lang w:val="zh-CN"/>
        </w:rPr>
        <w:t>财务管理制度健全，严格执行财务管理制度，账务处理及时，会计核算规范。</w:t>
      </w:r>
    </w:p>
    <w:p w14:paraId="1CDF2C18">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三、项目实施及管理情况</w:t>
      </w:r>
    </w:p>
    <w:p w14:paraId="1089DBAC">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（一）项目组织架构及实施流程。</w:t>
      </w:r>
    </w:p>
    <w:p w14:paraId="7794CFD6">
      <w:pPr>
        <w:adjustRightInd w:val="0"/>
        <w:snapToGrid w:val="0"/>
        <w:spacing w:line="600" w:lineRule="exact"/>
        <w:ind w:firstLine="720"/>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lang w:val="en-US" w:eastAsia="zh-CN"/>
        </w:rPr>
        <w:t>该项目于2025年4月追加，市土地储备中心严格执行相关项目管理规定，开展了财评工作，并通过竞争性谈判方式确定施工单位。2025年12月底完成房屋安全结构鉴定、测绘、消防整改财评及确定施工单位等前期工作。</w:t>
      </w:r>
    </w:p>
    <w:p w14:paraId="1A39032A">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楷体_GB2312" w:cs="Times New Roman"/>
          <w:b/>
          <w:sz w:val="32"/>
          <w:szCs w:val="32"/>
          <w:lang w:val="zh-CN"/>
        </w:rPr>
        <w:t>（二）项目管理情况。</w:t>
      </w:r>
      <w:r>
        <w:rPr>
          <w:rFonts w:hint="default" w:ascii="Times New Roman" w:hAnsi="Times New Roman" w:eastAsia="仿宋_GB2312" w:cs="Times New Roman"/>
          <w:kern w:val="0"/>
          <w:sz w:val="32"/>
          <w:szCs w:val="32"/>
          <w:lang w:val="zh-CN"/>
        </w:rPr>
        <w:t>严格执行</w:t>
      </w:r>
      <w:r>
        <w:rPr>
          <w:rFonts w:hint="default" w:ascii="Times New Roman" w:hAnsi="Times New Roman" w:eastAsia="仿宋_GB2312" w:cs="Times New Roman"/>
          <w:kern w:val="0"/>
          <w:sz w:val="32"/>
          <w:szCs w:val="32"/>
          <w:lang w:val="en-US" w:eastAsia="zh-CN"/>
        </w:rPr>
        <w:t>预算</w:t>
      </w:r>
      <w:r>
        <w:rPr>
          <w:rFonts w:hint="default" w:ascii="Times New Roman" w:hAnsi="Times New Roman" w:eastAsia="仿宋_GB2312" w:cs="Times New Roman"/>
          <w:kern w:val="0"/>
          <w:sz w:val="32"/>
          <w:szCs w:val="32"/>
          <w:lang w:val="zh-CN"/>
        </w:rPr>
        <w:t>管理制度、财务管理制度，确保资金使用规范。</w:t>
      </w:r>
    </w:p>
    <w:p w14:paraId="46B09094">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（三）项目监管情况。</w:t>
      </w:r>
      <w:r>
        <w:rPr>
          <w:rFonts w:hint="default" w:ascii="Times New Roman" w:hAnsi="Times New Roman" w:eastAsia="仿宋_GB2312" w:cs="Times New Roman"/>
          <w:kern w:val="0"/>
          <w:sz w:val="32"/>
          <w:szCs w:val="32"/>
          <w:lang w:val="zh-CN"/>
        </w:rPr>
        <w:t>严格执行</w:t>
      </w:r>
      <w:r>
        <w:rPr>
          <w:rFonts w:hint="default" w:ascii="Times New Roman" w:hAnsi="Times New Roman" w:eastAsia="仿宋_GB2312" w:cs="Times New Roman"/>
          <w:kern w:val="0"/>
          <w:sz w:val="32"/>
          <w:szCs w:val="32"/>
          <w:lang w:val="en-US" w:eastAsia="zh-CN"/>
        </w:rPr>
        <w:t>预算</w:t>
      </w:r>
      <w:r>
        <w:rPr>
          <w:rFonts w:hint="default" w:ascii="Times New Roman" w:hAnsi="Times New Roman" w:eastAsia="仿宋_GB2312" w:cs="Times New Roman"/>
          <w:kern w:val="0"/>
          <w:sz w:val="32"/>
          <w:szCs w:val="32"/>
          <w:lang w:val="zh-CN"/>
        </w:rPr>
        <w:t>管理制度、财务管理制度，</w:t>
      </w:r>
      <w:r>
        <w:rPr>
          <w:rFonts w:hint="default" w:ascii="Times New Roman" w:hAnsi="Times New Roman" w:eastAsia="仿宋_GB2312" w:cs="Times New Roman"/>
          <w:kern w:val="0"/>
          <w:sz w:val="32"/>
          <w:szCs w:val="32"/>
          <w:lang w:val="en-US" w:eastAsia="zh-CN"/>
        </w:rPr>
        <w:t>严格落实项目绩效监控工作</w:t>
      </w:r>
      <w:r>
        <w:rPr>
          <w:rFonts w:hint="default" w:ascii="Times New Roman" w:hAnsi="Times New Roman" w:eastAsia="仿宋_GB2312" w:cs="Times New Roman"/>
          <w:kern w:val="0"/>
          <w:sz w:val="32"/>
          <w:szCs w:val="32"/>
          <w:lang w:val="zh-CN"/>
        </w:rPr>
        <w:t>。</w:t>
      </w:r>
    </w:p>
    <w:p w14:paraId="674A519C">
      <w:pPr>
        <w:adjustRightInd w:val="0"/>
        <w:snapToGrid w:val="0"/>
        <w:spacing w:line="600" w:lineRule="exact"/>
        <w:ind w:firstLine="720"/>
        <w:rPr>
          <w:rFonts w:hint="default" w:ascii="Times New Roman" w:hAnsi="Times New Roman" w:eastAsia="仿宋_GB2312" w:cs="Times New Roman"/>
          <w:sz w:val="32"/>
          <w:szCs w:val="32"/>
          <w:lang w:val="zh-CN"/>
        </w:rPr>
      </w:pPr>
      <w:r>
        <w:rPr>
          <w:rFonts w:hint="default" w:ascii="Times New Roman" w:hAnsi="Times New Roman" w:eastAsia="黑体" w:cs="Times New Roman"/>
          <w:sz w:val="32"/>
          <w:szCs w:val="32"/>
        </w:rPr>
        <w:t>四、项目绩效情况</w:t>
      </w:r>
      <w:r>
        <w:rPr>
          <w:rFonts w:hint="default" w:ascii="Times New Roman" w:hAnsi="Times New Roman" w:eastAsia="仿宋_GB2312" w:cs="Times New Roman"/>
          <w:sz w:val="32"/>
          <w:szCs w:val="32"/>
          <w:lang w:val="zh-CN"/>
        </w:rPr>
        <w:tab/>
      </w:r>
    </w:p>
    <w:p w14:paraId="4F83FFF5">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（一）项目完成情况。</w:t>
      </w:r>
    </w:p>
    <w:p w14:paraId="1AE8261F">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2025年，该项目完成房屋安全结构鉴定、测绘、消防整改财评及确定施工单位等前期工作。</w:t>
      </w:r>
    </w:p>
    <w:p w14:paraId="726D1669">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（二）项目效益情况。</w:t>
      </w:r>
    </w:p>
    <w:p w14:paraId="1091A03D">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eastAsia="zh-CN"/>
        </w:rPr>
        <w:t>2025年，该项目完成房屋安全结构鉴定、房产测绘及消防整改实施前期工作，并支付设计费5.4万元，结构安全鉴定费2万元，房产测绘费0.86万元。</w:t>
      </w:r>
    </w:p>
    <w:p w14:paraId="7EFD0966">
      <w:pPr>
        <w:adjustRightInd w:val="0"/>
        <w:snapToGrid w:val="0"/>
        <w:spacing w:line="600" w:lineRule="exact"/>
        <w:ind w:firstLine="72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五、评价结论及建议</w:t>
      </w:r>
    </w:p>
    <w:p w14:paraId="18A10251">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（一）评价结论。</w:t>
      </w:r>
    </w:p>
    <w:p w14:paraId="5F165548">
      <w:pPr>
        <w:widowControl w:val="0"/>
        <w:tabs>
          <w:tab w:val="left" w:pos="2160"/>
        </w:tabs>
        <w:spacing w:beforeLines="30" w:line="600" w:lineRule="exact"/>
        <w:ind w:firstLine="640" w:firstLineChars="200"/>
        <w:jc w:val="both"/>
        <w:rPr>
          <w:rFonts w:hint="default" w:ascii="Times New Roman" w:hAnsi="Times New Roman" w:eastAsia="仿宋_GB2312" w:cs="Times New Roman"/>
          <w:kern w:val="0"/>
          <w:sz w:val="32"/>
          <w:szCs w:val="32"/>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解决凤凰小区乡情苑11号安置住宅楼遗留问题所需资金</w:t>
      </w:r>
      <w:r>
        <w:rPr>
          <w:rFonts w:hint="default" w:ascii="Times New Roman" w:hAnsi="Times New Roman" w:eastAsia="仿宋_GB2312" w:cs="Times New Roman"/>
          <w:kern w:val="0"/>
          <w:sz w:val="32"/>
          <w:szCs w:val="32"/>
          <w:lang w:val="en-US" w:eastAsia="zh-CN" w:bidi="ar-SA"/>
        </w:rPr>
        <w:t>项目绩效自评总分75分，</w:t>
      </w:r>
      <w:r>
        <w:rPr>
          <w:rFonts w:hint="default" w:ascii="Times New Roman" w:hAnsi="Times New Roman" w:eastAsia="仿宋_GB2312" w:cs="Times New Roman"/>
          <w:kern w:val="0"/>
          <w:sz w:val="32"/>
          <w:szCs w:val="32"/>
          <w:lang w:val="zh-CN" w:eastAsia="zh-CN" w:bidi="ar-SA"/>
        </w:rPr>
        <w:t>项目</w:t>
      </w:r>
      <w:r>
        <w:rPr>
          <w:rFonts w:hint="default" w:ascii="Times New Roman" w:hAnsi="Times New Roman" w:eastAsia="仿宋_GB2312" w:cs="Times New Roman"/>
          <w:kern w:val="0"/>
          <w:sz w:val="32"/>
          <w:szCs w:val="32"/>
          <w:lang w:val="en-US" w:eastAsia="zh-CN" w:bidi="ar-SA"/>
        </w:rPr>
        <w:t>部分</w:t>
      </w:r>
      <w:r>
        <w:rPr>
          <w:rFonts w:hint="default" w:ascii="Times New Roman" w:hAnsi="Times New Roman" w:eastAsia="仿宋_GB2312" w:cs="Times New Roman"/>
          <w:kern w:val="0"/>
          <w:sz w:val="32"/>
          <w:szCs w:val="32"/>
          <w:lang w:val="zh-CN" w:eastAsia="zh-CN" w:bidi="ar-SA"/>
        </w:rPr>
        <w:t>实现年初设定的目标。</w:t>
      </w:r>
    </w:p>
    <w:p w14:paraId="29D20A5B">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（二）存在的问题。</w:t>
      </w:r>
    </w:p>
    <w:p w14:paraId="40B1D8FF">
      <w:pPr>
        <w:adjustRightInd w:val="0"/>
        <w:snapToGrid w:val="0"/>
        <w:spacing w:line="600" w:lineRule="exact"/>
        <w:ind w:firstLine="640" w:firstLineChars="200"/>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eastAsia="zh-CN"/>
        </w:rPr>
        <w:t>因项目自身的复杂性，在实施过程中的财评、施工单位确定等环节进展缓慢，导致年初设定的部分目标未实现。</w:t>
      </w:r>
    </w:p>
    <w:p w14:paraId="6B7BE51C">
      <w:pPr>
        <w:adjustRightInd w:val="0"/>
        <w:snapToGrid w:val="0"/>
        <w:spacing w:line="600" w:lineRule="exact"/>
        <w:ind w:firstLine="720"/>
        <w:rPr>
          <w:rFonts w:hint="default" w:ascii="Times New Roman" w:hAnsi="Times New Roman" w:eastAsia="楷体_GB2312" w:cs="Times New Roman"/>
          <w:b/>
          <w:sz w:val="32"/>
          <w:szCs w:val="32"/>
          <w:lang w:val="zh-CN"/>
        </w:rPr>
      </w:pPr>
      <w:r>
        <w:rPr>
          <w:rFonts w:hint="default" w:ascii="Times New Roman" w:hAnsi="Times New Roman" w:eastAsia="楷体_GB2312" w:cs="Times New Roman"/>
          <w:b/>
          <w:sz w:val="32"/>
          <w:szCs w:val="32"/>
          <w:lang w:val="zh-CN"/>
        </w:rPr>
        <w:t>（三）相关建议。</w:t>
      </w:r>
    </w:p>
    <w:p w14:paraId="0CAE0A20">
      <w:pPr>
        <w:adjustRightInd w:val="0"/>
        <w:snapToGrid w:val="0"/>
        <w:spacing w:line="600" w:lineRule="exact"/>
        <w:ind w:firstLine="640" w:firstLineChars="200"/>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一是强化项目前期研判论证，充分评估项目复杂程度，做实前期谋划降低实施阶段不确定性；二是压实项目管理责任，开展项目复盘总结，科学设定后续项目年度目标，提升项目管理水平</w:t>
      </w:r>
      <w:r>
        <w:rPr>
          <w:rFonts w:hint="default" w:ascii="Times New Roman" w:hAnsi="Times New Roman" w:eastAsia="仿宋_GB2312" w:cs="Times New Roman"/>
          <w:sz w:val="32"/>
          <w:szCs w:val="32"/>
          <w:lang w:val="zh-CN"/>
        </w:rPr>
        <w:t>。</w:t>
      </w:r>
    </w:p>
    <w:p w14:paraId="5C495B92">
      <w:pPr>
        <w:spacing w:line="578" w:lineRule="exact"/>
        <w:ind w:firstLine="640"/>
        <w:rPr>
          <w:rFonts w:hint="default" w:ascii="Times New Roman" w:hAnsi="Times New Roman" w:eastAsia="仿宋_GB2312" w:cs="Times New Roman"/>
          <w:kern w:val="0"/>
          <w:sz w:val="32"/>
          <w:szCs w:val="32"/>
        </w:rPr>
      </w:pPr>
    </w:p>
    <w:p w14:paraId="13C32CFA">
      <w:pPr>
        <w:spacing w:line="578" w:lineRule="exact"/>
        <w:ind w:firstLine="640"/>
        <w:rPr>
          <w:rFonts w:hint="default" w:ascii="Times New Roman" w:hAnsi="Times New Roman" w:eastAsia="仿宋_GB2312" w:cs="Times New Roman"/>
          <w:kern w:val="0"/>
          <w:sz w:val="32"/>
          <w:szCs w:val="32"/>
        </w:rPr>
      </w:pPr>
    </w:p>
    <w:p w14:paraId="0C3C9B13">
      <w:pPr>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br w:type="page"/>
      </w:r>
    </w:p>
    <w:p w14:paraId="5B129630">
      <w:pPr>
        <w:keepNext w:val="0"/>
        <w:keepLines w:val="0"/>
        <w:pageBreakBefore w:val="0"/>
        <w:kinsoku/>
        <w:wordWrap/>
        <w:overflowPunct/>
        <w:topLinePunct w:val="0"/>
        <w:autoSpaceDN/>
        <w:bidi w:val="0"/>
        <w:spacing w:line="600" w:lineRule="exact"/>
        <w:textAlignment w:val="auto"/>
        <w:rPr>
          <w:rFonts w:hint="default" w:ascii="Times New Roman" w:hAnsi="Times New Roman" w:cs="Times New Roman"/>
        </w:rPr>
      </w:pPr>
    </w:p>
    <w:p w14:paraId="1EBE139F">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63EF6364">
      <w:pPr>
        <w:widowControl w:val="0"/>
        <w:spacing w:line="600" w:lineRule="exact"/>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en-US" w:eastAsia="zh-CN" w:bidi="ar-SA"/>
        </w:rPr>
        <w:t>专项地质灾害隐患排查项目</w:t>
      </w:r>
      <w:r>
        <w:rPr>
          <w:rFonts w:ascii="Times New Roman" w:hAnsi="Times New Roman" w:eastAsia="仿宋_GB2312" w:cs="Times New Roman"/>
          <w:color w:val="auto"/>
          <w:kern w:val="2"/>
          <w:sz w:val="32"/>
          <w:szCs w:val="32"/>
          <w:lang w:val="zh-CN" w:eastAsia="zh-CN" w:bidi="ar-SA"/>
        </w:rPr>
        <w:t>）</w:t>
      </w:r>
    </w:p>
    <w:p w14:paraId="3908F66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BF383BE">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13952F3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CF8682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攀枝花市自然资源和规划局东区分局</w:t>
      </w:r>
      <w:r>
        <w:rPr>
          <w:rFonts w:hint="eastAsia" w:ascii="Times New Roman" w:hAnsi="Times New Roman" w:eastAsia="仿宋_GB2312" w:cs="Times New Roman"/>
          <w:sz w:val="32"/>
          <w:szCs w:val="32"/>
          <w:lang w:val="zh-CN"/>
        </w:rPr>
        <w:t>作为</w:t>
      </w:r>
      <w:r>
        <w:rPr>
          <w:rFonts w:ascii="Times New Roman" w:hAnsi="Times New Roman" w:eastAsia="仿宋_GB2312" w:cs="Times New Roman"/>
          <w:sz w:val="32"/>
          <w:szCs w:val="32"/>
          <w:lang w:val="zh-CN"/>
        </w:rPr>
        <w:t>东区</w:t>
      </w:r>
      <w:r>
        <w:rPr>
          <w:rFonts w:hint="eastAsia" w:ascii="Times New Roman" w:hAnsi="Times New Roman" w:eastAsia="仿宋_GB2312" w:cs="Times New Roman"/>
          <w:sz w:val="32"/>
          <w:szCs w:val="32"/>
          <w:lang w:val="zh-CN"/>
        </w:rPr>
        <w:t>地质灾害防治工作的牵头单位，负责组织实施地质灾害隐患排查、风险评估等工作。项目依据《攀枝花市地质灾害隐患排查工作专项方案》立项，符合省、市关于地质灾害防治工作的统一部署。项目资金严格按照财政专项资金管理办法执行，采用竞争性磋商方式确定服务单位，合同金额明确，支付条件清晰。资金分配坚持“公开、公平、公正”原则，通过竞争性磋商确定中标单位。</w:t>
      </w:r>
    </w:p>
    <w:p w14:paraId="7FFF96B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F2F1CC1">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完成东区地质灾害风险隐患排查全覆盖</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提交正式成果报告1套，并通过专家评审</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项目实施周期内无安全事故</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项目经费控制在合同金额内</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成果资料完整、规范，满足合同要求</w:t>
      </w:r>
      <w:r>
        <w:rPr>
          <w:rFonts w:hint="eastAsia"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项目申报内容与实际实施内容一致，绩效目标设置科学、合理，具备可操作性和可评价性。</w:t>
      </w:r>
    </w:p>
    <w:p w14:paraId="049004D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7EA8566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本次自评由地灾办牵头，会同办公室等相关股室，对照合同约定、资金支付条件、成果验收情况等，采用资料核查、合同比对、专家意见复核等方式进行综合评价。</w:t>
      </w:r>
    </w:p>
    <w:p w14:paraId="0C0AD3BD">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5F644BC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1609773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项目资金计划为</w:t>
      </w:r>
      <w:r>
        <w:rPr>
          <w:rFonts w:hint="eastAsia" w:ascii="Times New Roman" w:hAnsi="Times New Roman" w:eastAsia="仿宋_GB2312" w:cs="Times New Roman"/>
          <w:sz w:val="32"/>
          <w:szCs w:val="32"/>
          <w:lang w:val="en-US" w:eastAsia="zh-CN"/>
        </w:rPr>
        <w:t>3.50</w:t>
      </w:r>
      <w:r>
        <w:rPr>
          <w:rFonts w:ascii="Times New Roman" w:hAnsi="Times New Roman" w:eastAsia="仿宋_GB2312" w:cs="Times New Roman"/>
          <w:sz w:val="32"/>
          <w:szCs w:val="32"/>
          <w:lang w:val="zh-CN"/>
        </w:rPr>
        <w:t>万元，来源为省级专项资金3.5</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lang w:val="zh-CN"/>
        </w:rPr>
        <w:t>万元。</w:t>
      </w:r>
      <w:r>
        <w:rPr>
          <w:rFonts w:ascii="Times New Roman" w:hAnsi="Times New Roman" w:eastAsia="仿宋_GB2312" w:cs="Times New Roman"/>
          <w:color w:val="0F1115"/>
          <w:sz w:val="32"/>
          <w:szCs w:val="32"/>
        </w:rPr>
        <w:t>资金申报经分局党组会审议通过，并按程序报市局备案，预算批复手续完备。</w:t>
      </w:r>
    </w:p>
    <w:p w14:paraId="19FCCA6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71BE6B91">
      <w:pPr>
        <w:suppressAutoHyphens/>
        <w:adjustRightInd w:val="0"/>
        <w:snapToGrid w:val="0"/>
        <w:spacing w:line="560" w:lineRule="exact"/>
        <w:ind w:firstLine="640" w:firstLineChars="20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1</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资金计划。</w:t>
      </w:r>
      <w:r>
        <w:rPr>
          <w:rFonts w:ascii="Times New Roman" w:hAnsi="Times New Roman" w:eastAsia="仿宋_GB2312" w:cs="Times New Roman"/>
          <w:sz w:val="32"/>
          <w:szCs w:val="32"/>
          <w:lang w:val="zh-CN"/>
        </w:rPr>
        <w:t>项目资金计划为</w:t>
      </w:r>
      <w:r>
        <w:rPr>
          <w:rFonts w:hint="eastAsia" w:ascii="Times New Roman" w:hAnsi="Times New Roman" w:eastAsia="仿宋_GB2312" w:cs="Times New Roman"/>
          <w:sz w:val="32"/>
          <w:szCs w:val="32"/>
          <w:lang w:val="en-US" w:eastAsia="zh-CN"/>
        </w:rPr>
        <w:t>3.50</w:t>
      </w:r>
      <w:r>
        <w:rPr>
          <w:rFonts w:ascii="Times New Roman" w:hAnsi="Times New Roman" w:eastAsia="仿宋_GB2312" w:cs="Times New Roman"/>
          <w:sz w:val="32"/>
          <w:szCs w:val="32"/>
          <w:lang w:val="zh-CN"/>
        </w:rPr>
        <w:t>万元，来源为省级专项资金3.5</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lang w:val="zh-CN"/>
        </w:rPr>
        <w:t>万元。</w:t>
      </w:r>
      <w:r>
        <w:rPr>
          <w:rFonts w:hint="eastAsia" w:ascii="Times New Roman" w:hAnsi="Times New Roman" w:eastAsia="仿宋_GB2312" w:cs="Times New Roman"/>
          <w:sz w:val="32"/>
          <w:szCs w:val="32"/>
          <w:lang w:val="en-US" w:eastAsia="zh-CN"/>
        </w:rPr>
        <w:t>2025年</w:t>
      </w:r>
      <w:r>
        <w:rPr>
          <w:rFonts w:hint="default" w:ascii="Times New Roman" w:hAnsi="Times New Roman" w:eastAsia="仿宋_GB2312" w:cs="Times New Roman"/>
          <w:sz w:val="32"/>
          <w:szCs w:val="32"/>
          <w:lang w:val="en-US" w:eastAsia="zh-CN"/>
        </w:rPr>
        <w:t>市财政批复下达资金</w:t>
      </w:r>
      <w:r>
        <w:rPr>
          <w:rFonts w:hint="eastAsia" w:ascii="Times New Roman" w:hAnsi="Times New Roman" w:eastAsia="仿宋_GB2312" w:cs="Times New Roman"/>
          <w:sz w:val="32"/>
          <w:szCs w:val="32"/>
          <w:lang w:val="en-US" w:eastAsia="zh-CN"/>
        </w:rPr>
        <w:t>3.50</w:t>
      </w:r>
      <w:r>
        <w:rPr>
          <w:rFonts w:hint="default" w:ascii="Times New Roman" w:hAnsi="Times New Roman" w:eastAsia="仿宋_GB2312" w:cs="Times New Roman"/>
          <w:sz w:val="32"/>
          <w:szCs w:val="32"/>
          <w:lang w:val="en-US" w:eastAsia="zh-CN"/>
        </w:rPr>
        <w:t>万元（攀财资环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62</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p>
    <w:p w14:paraId="7A7D8DE0">
      <w:pPr>
        <w:suppressAutoHyphens/>
        <w:adjustRightInd w:val="0"/>
        <w:snapToGrid w:val="0"/>
        <w:spacing w:line="560" w:lineRule="exact"/>
        <w:ind w:firstLine="640" w:firstLineChars="20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2</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lang w:val="zh-CN"/>
        </w:rPr>
        <w:t>目前省级补助资金3.5</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lang w:val="zh-CN"/>
        </w:rPr>
        <w:t>万元</w:t>
      </w:r>
      <w:r>
        <w:rPr>
          <w:rFonts w:hint="default" w:ascii="Times New Roman" w:hAnsi="Times New Roman" w:eastAsia="仿宋_GB2312" w:cs="Times New Roman"/>
          <w:sz w:val="32"/>
          <w:szCs w:val="32"/>
          <w:lang w:val="en-US" w:eastAsia="zh-CN"/>
        </w:rPr>
        <w:t>（攀财资环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62</w:t>
      </w:r>
      <w:r>
        <w:rPr>
          <w:rFonts w:hint="default" w:ascii="Times New Roman" w:hAnsi="Times New Roman" w:eastAsia="仿宋_GB2312" w:cs="Times New Roman"/>
          <w:sz w:val="32"/>
          <w:szCs w:val="32"/>
          <w:lang w:val="en-US" w:eastAsia="zh-CN"/>
        </w:rPr>
        <w:t>号）</w:t>
      </w:r>
      <w:r>
        <w:rPr>
          <w:rFonts w:ascii="Times New Roman" w:hAnsi="Times New Roman" w:eastAsia="仿宋_GB2312" w:cs="Times New Roman"/>
          <w:sz w:val="32"/>
          <w:szCs w:val="32"/>
          <w:lang w:val="zh-CN"/>
        </w:rPr>
        <w:t>已到位。</w:t>
      </w:r>
      <w:r>
        <w:rPr>
          <w:rFonts w:hint="default" w:ascii="Times New Roman" w:hAnsi="Times New Roman" w:eastAsia="仿宋_GB2312" w:cs="Times New Roman"/>
          <w:sz w:val="32"/>
          <w:szCs w:val="32"/>
          <w:lang w:val="en-US" w:eastAsia="zh-CN"/>
        </w:rPr>
        <w:t>最终到位</w:t>
      </w:r>
      <w:r>
        <w:rPr>
          <w:rFonts w:hint="eastAsia" w:ascii="Times New Roman" w:hAnsi="Times New Roman" w:eastAsia="仿宋_GB2312" w:cs="Times New Roman"/>
          <w:sz w:val="32"/>
          <w:szCs w:val="32"/>
          <w:lang w:val="en-US" w:eastAsia="zh-CN"/>
        </w:rPr>
        <w:t>3.50</w:t>
      </w:r>
      <w:r>
        <w:rPr>
          <w:rFonts w:hint="default" w:ascii="Times New Roman" w:hAnsi="Times New Roman" w:eastAsia="仿宋_GB2312" w:cs="Times New Roman"/>
          <w:sz w:val="32"/>
          <w:szCs w:val="32"/>
          <w:lang w:val="en-US" w:eastAsia="zh-CN"/>
        </w:rPr>
        <w:t>万元</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到位率100%，</w:t>
      </w:r>
      <w:r>
        <w:rPr>
          <w:rFonts w:hint="default" w:ascii="Times New Roman" w:hAnsi="Times New Roman" w:eastAsia="仿宋_GB2312" w:cs="Times New Roman"/>
          <w:sz w:val="32"/>
          <w:szCs w:val="32"/>
          <w:lang w:val="zh-CN"/>
        </w:rPr>
        <w:t>到位及时。</w:t>
      </w:r>
    </w:p>
    <w:p w14:paraId="6125284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3</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lang w:val="zh-CN"/>
        </w:rPr>
        <w:t>由于该项目持续到2025年底，排查单位于</w:t>
      </w:r>
      <w:r>
        <w:rPr>
          <w:rFonts w:hint="eastAsia" w:ascii="Times New Roman" w:hAnsi="Times New Roman" w:eastAsia="仿宋_GB2312" w:cs="Times New Roman"/>
          <w:sz w:val="32"/>
          <w:szCs w:val="32"/>
          <w:lang w:val="en-US" w:eastAsia="zh-CN"/>
        </w:rPr>
        <w:t>2026年</w:t>
      </w:r>
      <w:r>
        <w:rPr>
          <w:rFonts w:ascii="Times New Roman" w:hAnsi="Times New Roman" w:eastAsia="仿宋_GB2312" w:cs="Times New Roman"/>
          <w:sz w:val="32"/>
          <w:szCs w:val="32"/>
          <w:lang w:val="zh-CN"/>
        </w:rPr>
        <w:t>1月提交成果资料，已提供过党组会审议，尚未发生实际支出。</w:t>
      </w:r>
    </w:p>
    <w:p w14:paraId="43E609A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5F3CCC24">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项目财务管理制度健全，实行专账核算，账务处理及时，凭证齐全，会计核算规范。资金支付严格执行审批程序，未发现挤占、挪用、虚列支出等问题。</w:t>
      </w:r>
    </w:p>
    <w:p w14:paraId="3380C8F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19A22D5B">
      <w:pPr>
        <w:adjustRightInd w:val="0"/>
        <w:snapToGrid w:val="0"/>
        <w:spacing w:line="600" w:lineRule="exact"/>
        <w:ind w:firstLine="643" w:firstLineChars="2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（一）项目组织架构及实施流程。</w:t>
      </w:r>
    </w:p>
    <w:p w14:paraId="2AA48833">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楷体_GB2312" w:cs="Times New Roman"/>
          <w:b/>
          <w:sz w:val="32"/>
          <w:szCs w:val="32"/>
          <w:lang w:val="zh-CN"/>
        </w:rPr>
      </w:pPr>
      <w:r>
        <w:rPr>
          <w:rFonts w:ascii="Times New Roman" w:hAnsi="Times New Roman" w:eastAsia="仿宋_GB2312" w:cs="Times New Roman"/>
          <w:sz w:val="32"/>
          <w:szCs w:val="32"/>
          <w:lang w:val="zh-CN"/>
        </w:rPr>
        <w:t>攀枝花市自然资源和规划局东区分局作为项目主办单位，负责项目全过程管理，包括采购组织、合同签订、成果验收、资金支付申请等</w:t>
      </w:r>
      <w:r>
        <w:rPr>
          <w:rFonts w:ascii="Times New Roman" w:hAnsi="Times New Roman" w:eastAsia="仿宋_GB2312" w:cs="Times New Roman"/>
          <w:b w:val="0"/>
          <w:bCs w:val="0"/>
          <w:i w:val="0"/>
          <w:iCs w:val="0"/>
          <w:caps w:val="0"/>
          <w:smallCaps w:val="0"/>
          <w:vanish w:val="0"/>
          <w:color w:val="0F1115"/>
          <w:spacing w:val="0"/>
          <w:sz w:val="32"/>
          <w:szCs w:val="32"/>
        </w:rPr>
        <w:t>。</w:t>
      </w:r>
    </w:p>
    <w:p w14:paraId="48BB582F">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3" w:firstLineChars="2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w:t>
      </w:r>
      <w:r>
        <w:rPr>
          <w:rFonts w:hint="eastAsia" w:ascii="Times New Roman" w:hAnsi="Times New Roman" w:eastAsia="楷体_GB2312" w:cs="Times New Roman"/>
          <w:b/>
          <w:sz w:val="32"/>
          <w:szCs w:val="32"/>
          <w:lang w:val="zh-CN"/>
        </w:rPr>
        <w:t>二</w:t>
      </w:r>
      <w:r>
        <w:rPr>
          <w:rFonts w:ascii="Times New Roman" w:hAnsi="Times New Roman" w:eastAsia="楷体_GB2312" w:cs="Times New Roman"/>
          <w:b/>
          <w:sz w:val="32"/>
          <w:szCs w:val="32"/>
          <w:lang w:val="zh-CN"/>
        </w:rPr>
        <w:t>）项目管理情况。</w:t>
      </w:r>
    </w:p>
    <w:p w14:paraId="4609FCE3">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项目作业单位按要求完成排查任务并通过专家评审，流程闭环。项目严格执行政府采购及招投标相关规定，通过竞争性磋商方式确定服务单位，合同内容合法合规，成果验收程序完备。</w:t>
      </w:r>
    </w:p>
    <w:p w14:paraId="2E647361">
      <w:pPr>
        <w:numPr>
          <w:ilvl w:val="0"/>
          <w:numId w:val="20"/>
        </w:num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项目监管情况。</w:t>
      </w:r>
    </w:p>
    <w:p w14:paraId="36955CFA">
      <w:pPr>
        <w:numPr>
          <w:ilvl w:val="0"/>
          <w:numId w:val="0"/>
        </w:num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地灾办对项目实施过程进行全程跟踪监督，成果资料经专家评审通过，确保项目质量。资金支付申请前，已完成合同履约审核。</w:t>
      </w:r>
    </w:p>
    <w:p w14:paraId="1B23FD7B">
      <w:pPr>
        <w:numPr>
          <w:ilvl w:val="0"/>
          <w:numId w:val="0"/>
        </w:numPr>
        <w:adjustRightInd w:val="0"/>
        <w:snapToGrid w:val="0"/>
        <w:spacing w:line="600" w:lineRule="exact"/>
        <w:ind w:firstLine="640" w:firstLineChars="20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CED09A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分55分）</w:t>
      </w:r>
    </w:p>
    <w:p w14:paraId="3F394699">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kern w:val="0"/>
          <w:sz w:val="32"/>
          <w:szCs w:val="32"/>
          <w:lang w:val="en-US" w:eastAsia="zh-CN"/>
        </w:rPr>
        <w:t>2025</w:t>
      </w:r>
      <w:r>
        <w:rPr>
          <w:rFonts w:hint="default" w:ascii="Times New Roman" w:hAnsi="Times New Roman" w:eastAsia="仿宋_GB2312" w:cs="Times New Roman"/>
          <w:kern w:val="0"/>
          <w:sz w:val="32"/>
          <w:szCs w:val="32"/>
          <w:lang w:val="en-US" w:eastAsia="zh-CN"/>
        </w:rPr>
        <w:t>年度预算绩效资金为</w:t>
      </w:r>
      <w:r>
        <w:rPr>
          <w:rFonts w:hint="eastAsia" w:ascii="Times New Roman" w:hAnsi="Times New Roman" w:eastAsia="仿宋_GB2312" w:cs="Times New Roman"/>
          <w:kern w:val="0"/>
          <w:sz w:val="32"/>
          <w:szCs w:val="32"/>
          <w:lang w:val="en-US" w:eastAsia="zh-CN"/>
        </w:rPr>
        <w:t>3.50</w:t>
      </w:r>
      <w:r>
        <w:rPr>
          <w:rFonts w:hint="default" w:ascii="Times New Roman" w:hAnsi="Times New Roman" w:eastAsia="仿宋_GB2312" w:cs="Times New Roman"/>
          <w:kern w:val="0"/>
          <w:sz w:val="32"/>
          <w:szCs w:val="32"/>
          <w:lang w:val="en-US" w:eastAsia="zh-CN"/>
        </w:rPr>
        <w:t>万元，支付</w:t>
      </w:r>
      <w:r>
        <w:rPr>
          <w:rFonts w:hint="eastAsia" w:ascii="Times New Roman" w:hAnsi="Times New Roman" w:eastAsia="仿宋_GB2312" w:cs="Times New Roman"/>
          <w:kern w:val="0"/>
          <w:sz w:val="32"/>
          <w:szCs w:val="32"/>
          <w:lang w:val="en-US" w:eastAsia="zh-CN"/>
        </w:rPr>
        <w:t>0</w:t>
      </w:r>
      <w:r>
        <w:rPr>
          <w:rFonts w:hint="default" w:ascii="Times New Roman" w:hAnsi="Times New Roman" w:eastAsia="仿宋_GB2312" w:cs="Times New Roman"/>
          <w:kern w:val="0"/>
          <w:sz w:val="32"/>
          <w:szCs w:val="32"/>
          <w:lang w:val="en-US" w:eastAsia="zh-CN"/>
        </w:rPr>
        <w:t>万元，执行率为</w:t>
      </w:r>
      <w:r>
        <w:rPr>
          <w:rFonts w:hint="eastAsia" w:ascii="Times New Roman" w:hAnsi="Times New Roman" w:eastAsia="仿宋_GB2312" w:cs="Times New Roman"/>
          <w:kern w:val="0"/>
          <w:sz w:val="32"/>
          <w:szCs w:val="32"/>
          <w:lang w:val="en-US" w:eastAsia="zh-CN"/>
        </w:rPr>
        <w:t>0.00</w:t>
      </w:r>
      <w:r>
        <w:rPr>
          <w:rFonts w:hint="default" w:ascii="Times New Roman" w:hAnsi="Times New Roman" w:eastAsia="仿宋_GB2312" w:cs="Times New Roman"/>
          <w:kern w:val="0"/>
          <w:sz w:val="32"/>
          <w:szCs w:val="32"/>
          <w:lang w:val="en-US" w:eastAsia="zh-CN"/>
        </w:rPr>
        <w:t>%。（10分）</w:t>
      </w:r>
    </w:p>
    <w:p w14:paraId="2BCCDB28">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lang w:val="zh-CN"/>
        </w:rPr>
        <w:t>数量</w:t>
      </w:r>
      <w:r>
        <w:rPr>
          <w:rFonts w:hint="eastAsia" w:ascii="Times New Roman" w:hAnsi="Times New Roman" w:eastAsia="仿宋_GB2312" w:cs="Times New Roman"/>
          <w:sz w:val="32"/>
          <w:szCs w:val="32"/>
          <w:lang w:val="zh-CN"/>
        </w:rPr>
        <w:t>指</w:t>
      </w:r>
      <w:r>
        <w:rPr>
          <w:rFonts w:ascii="Times New Roman" w:hAnsi="Times New Roman" w:eastAsia="仿宋_GB2312" w:cs="Times New Roman"/>
          <w:sz w:val="32"/>
          <w:szCs w:val="32"/>
          <w:lang w:val="zh-CN"/>
        </w:rPr>
        <w:t>标：完成东区2025年度地质灾害风险隐患专项排查任务1项</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28</w:t>
      </w:r>
      <w:r>
        <w:rPr>
          <w:rFonts w:hint="default" w:ascii="Times New Roman" w:hAnsi="Times New Roman" w:eastAsia="仿宋_GB2312" w:cs="Times New Roman"/>
          <w:kern w:val="0"/>
          <w:sz w:val="32"/>
          <w:szCs w:val="32"/>
          <w:lang w:val="en-US" w:eastAsia="zh-CN"/>
        </w:rPr>
        <w:t>分）</w:t>
      </w:r>
    </w:p>
    <w:p w14:paraId="1E4BDB54">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lang w:val="zh-CN"/>
        </w:rPr>
        <w:t>质量</w:t>
      </w:r>
      <w:r>
        <w:rPr>
          <w:rFonts w:hint="eastAsia" w:ascii="Times New Roman" w:hAnsi="Times New Roman" w:eastAsia="仿宋_GB2312" w:cs="Times New Roman"/>
          <w:sz w:val="32"/>
          <w:szCs w:val="32"/>
          <w:lang w:val="zh-CN"/>
        </w:rPr>
        <w:t>指</w:t>
      </w:r>
      <w:r>
        <w:rPr>
          <w:rFonts w:ascii="Times New Roman" w:hAnsi="Times New Roman" w:eastAsia="仿宋_GB2312" w:cs="Times New Roman"/>
          <w:sz w:val="32"/>
          <w:szCs w:val="32"/>
          <w:lang w:val="zh-CN"/>
        </w:rPr>
        <w:t>标：提交成果报告1套，通过专家评审，质量合格</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（10分）</w:t>
      </w:r>
    </w:p>
    <w:p w14:paraId="424006E3">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lang w:val="zh-CN"/>
        </w:rPr>
        <w:t>时效</w:t>
      </w:r>
      <w:r>
        <w:rPr>
          <w:rFonts w:hint="eastAsia" w:ascii="Times New Roman" w:hAnsi="Times New Roman" w:eastAsia="仿宋_GB2312" w:cs="Times New Roman"/>
          <w:sz w:val="32"/>
          <w:szCs w:val="32"/>
          <w:lang w:val="zh-CN"/>
        </w:rPr>
        <w:t>指</w:t>
      </w:r>
      <w:r>
        <w:rPr>
          <w:rFonts w:ascii="Times New Roman" w:hAnsi="Times New Roman" w:eastAsia="仿宋_GB2312" w:cs="Times New Roman"/>
          <w:sz w:val="32"/>
          <w:szCs w:val="32"/>
          <w:lang w:val="zh-CN"/>
        </w:rPr>
        <w:t>标：项目按合同约定时间完成，成果按期提交</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9</w:t>
      </w:r>
      <w:r>
        <w:rPr>
          <w:rFonts w:hint="default" w:ascii="Times New Roman" w:hAnsi="Times New Roman" w:eastAsia="仿宋_GB2312" w:cs="Times New Roman"/>
          <w:kern w:val="0"/>
          <w:sz w:val="32"/>
          <w:szCs w:val="32"/>
          <w:lang w:val="en-US" w:eastAsia="zh-CN"/>
        </w:rPr>
        <w:t>分）</w:t>
      </w:r>
    </w:p>
    <w:p w14:paraId="2AE9BFA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w:t>
      </w:r>
      <w:r>
        <w:rPr>
          <w:rFonts w:hint="eastAsia" w:ascii="Times New Roman" w:hAnsi="Times New Roman" w:eastAsia="楷体_GB2312" w:cs="Times New Roman"/>
          <w:sz w:val="32"/>
          <w:szCs w:val="32"/>
          <w:lang w:val="en-US" w:eastAsia="zh-CN"/>
        </w:rPr>
        <w:t>4</w:t>
      </w:r>
      <w:r>
        <w:rPr>
          <w:rFonts w:hint="default" w:ascii="Times New Roman" w:hAnsi="Times New Roman" w:eastAsia="楷体_GB2312" w:cs="Times New Roman"/>
          <w:sz w:val="32"/>
          <w:szCs w:val="32"/>
          <w:lang w:val="en-US" w:eastAsia="zh-CN"/>
        </w:rPr>
        <w:t>5分）</w:t>
      </w:r>
    </w:p>
    <w:p w14:paraId="476AB11B">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lang w:val="zh-CN"/>
        </w:rPr>
        <w:t>社会效益</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：提升了东区地质灾害风险防控能力，保障人民群众生命财产安全</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15</w:t>
      </w:r>
      <w:r>
        <w:rPr>
          <w:rFonts w:hint="default" w:ascii="Times New Roman" w:hAnsi="Times New Roman" w:eastAsia="仿宋_GB2312" w:cs="Times New Roman"/>
          <w:kern w:val="0"/>
          <w:sz w:val="32"/>
          <w:szCs w:val="32"/>
          <w:lang w:val="en-US" w:eastAsia="zh-CN"/>
        </w:rPr>
        <w:t>分）</w:t>
      </w:r>
    </w:p>
    <w:p w14:paraId="7E577AE7">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lang w:val="zh-CN"/>
        </w:rPr>
        <w:t>生态效益</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：排查工作未对生态环境造成负面影响</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10</w:t>
      </w:r>
      <w:r>
        <w:rPr>
          <w:rFonts w:hint="default" w:ascii="Times New Roman" w:hAnsi="Times New Roman" w:eastAsia="仿宋_GB2312" w:cs="Times New Roman"/>
          <w:kern w:val="0"/>
          <w:sz w:val="32"/>
          <w:szCs w:val="32"/>
          <w:lang w:val="en-US" w:eastAsia="zh-CN"/>
        </w:rPr>
        <w:t>分）</w:t>
      </w:r>
    </w:p>
    <w:p w14:paraId="5B00BB46">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lang w:val="zh-CN"/>
        </w:rPr>
        <w:t>可持续效益</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：为后续地质灾害防治工作提供了基础数据支撑</w:t>
      </w:r>
      <w:r>
        <w:rPr>
          <w:rFonts w:hint="eastAsia" w:ascii="Times New Roman" w:hAnsi="Times New Roman" w:eastAsia="仿宋_GB2312" w:cs="Times New Roman"/>
          <w:sz w:val="32"/>
          <w:szCs w:val="32"/>
          <w:lang w:val="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5D7F9460">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lang w:val="zh-CN"/>
        </w:rPr>
        <w:t>服务对象满意度</w:t>
      </w:r>
      <w:r>
        <w:rPr>
          <w:rFonts w:hint="eastAsia" w:ascii="Times New Roman" w:hAnsi="Times New Roman" w:eastAsia="仿宋_GB2312" w:cs="Times New Roman"/>
          <w:sz w:val="32"/>
          <w:szCs w:val="32"/>
          <w:lang w:val="zh-CN"/>
        </w:rPr>
        <w:t>指标</w:t>
      </w:r>
      <w:r>
        <w:rPr>
          <w:rFonts w:ascii="Times New Roman" w:hAnsi="Times New Roman" w:eastAsia="仿宋_GB2312" w:cs="Times New Roman"/>
          <w:sz w:val="32"/>
          <w:szCs w:val="32"/>
          <w:lang w:val="zh-CN"/>
        </w:rPr>
        <w:t>：项目成果得到专家及相关部门认可，满意度较高。</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654FBDD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561C93E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17C90D26">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zh-CN"/>
        </w:rPr>
        <w:t>本项目立项依据充分，实施程序规范，成果质量合格，资金使用合规，绩效目标全面完成。综合评定为“</w:t>
      </w:r>
      <w:r>
        <w:rPr>
          <w:rFonts w:ascii="Times New Roman" w:hAnsi="Times New Roman" w:eastAsia="仿宋_GB2312" w:cs="Times New Roman"/>
          <w:sz w:val="32"/>
          <w:szCs w:val="32"/>
          <w:lang w:val="zh-CN"/>
        </w:rPr>
        <w:t>良</w:t>
      </w:r>
      <w:r>
        <w:rPr>
          <w:rFonts w:hint="eastAsia" w:ascii="Times New Roman" w:hAnsi="Times New Roman" w:eastAsia="仿宋_GB2312" w:cs="Times New Roman"/>
          <w:sz w:val="32"/>
          <w:szCs w:val="32"/>
          <w:lang w:val="zh-CN"/>
        </w:rPr>
        <w:t>”。</w:t>
      </w:r>
    </w:p>
    <w:p w14:paraId="5776B08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1E017584">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项目资金支付进度受</w:t>
      </w:r>
      <w:r>
        <w:rPr>
          <w:rFonts w:ascii="Times New Roman" w:hAnsi="Times New Roman" w:eastAsia="仿宋_GB2312" w:cs="Times New Roman"/>
          <w:sz w:val="32"/>
          <w:szCs w:val="32"/>
          <w:lang w:val="zh-CN"/>
        </w:rPr>
        <w:t>财政局资金安排影响</w:t>
      </w:r>
      <w:r>
        <w:rPr>
          <w:rFonts w:hint="eastAsia" w:ascii="Times New Roman" w:hAnsi="Times New Roman" w:eastAsia="仿宋_GB2312" w:cs="Times New Roman"/>
          <w:sz w:val="32"/>
          <w:szCs w:val="32"/>
          <w:lang w:val="zh-CN"/>
        </w:rPr>
        <w:t>，存在一定滞后，尚未实现“合同履约完成即支付”的及时性目标</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3E05B41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0EF0F38A">
      <w:pPr>
        <w:adjustRightInd w:val="0"/>
        <w:snapToGrid w:val="0"/>
        <w:spacing w:line="600" w:lineRule="exact"/>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建议进一步优化资金支付审批流程，缩短支付周期，提升财政资金使用效率，确保项目单位资金及时回笼，增强服务单位履约积极性。</w:t>
      </w:r>
    </w:p>
    <w:p w14:paraId="37C55E22">
      <w:pPr>
        <w:rPr>
          <w:rFonts w:ascii="Times New Roman" w:hAnsi="Times New Roman" w:eastAsia="仿宋_GB2312" w:cs="Times New Roman"/>
          <w:sz w:val="32"/>
          <w:szCs w:val="32"/>
        </w:rPr>
      </w:pPr>
    </w:p>
    <w:p w14:paraId="68063564">
      <w:pPr>
        <w:widowControl w:val="0"/>
        <w:spacing w:line="600" w:lineRule="exact"/>
        <w:jc w:val="cente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17486377">
      <w:pPr>
        <w:widowControl w:val="0"/>
        <w:spacing w:line="600" w:lineRule="exact"/>
        <w:jc w:val="center"/>
        <w:rPr>
          <w:rFonts w:hint="eastAsia" w:ascii="Times New Roman" w:hAnsi="Times New Roman" w:eastAsia="黑体"/>
          <w:color w:val="auto"/>
          <w:sz w:val="44"/>
          <w:szCs w:val="44"/>
          <w:highlight w:val="none"/>
        </w:rPr>
      </w:pPr>
    </w:p>
    <w:p w14:paraId="5A77246F">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649990FB">
      <w:pPr>
        <w:widowControl w:val="0"/>
        <w:spacing w:line="600" w:lineRule="exact"/>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攀枝花市东区东林巷东侧崩塌治理工程</w:t>
      </w:r>
      <w:r>
        <w:rPr>
          <w:rFonts w:ascii="Times New Roman" w:hAnsi="Times New Roman" w:eastAsia="仿宋_GB2312" w:cs="Times New Roman"/>
          <w:color w:val="auto"/>
          <w:kern w:val="2"/>
          <w:sz w:val="32"/>
          <w:szCs w:val="32"/>
          <w:lang w:val="zh-CN" w:eastAsia="zh-CN" w:bidi="ar-SA"/>
        </w:rPr>
        <w:t>）</w:t>
      </w:r>
    </w:p>
    <w:p w14:paraId="3F06E1E0">
      <w:pPr>
        <w:adjustRightInd w:val="0"/>
        <w:snapToGrid w:val="0"/>
        <w:spacing w:line="600" w:lineRule="exact"/>
        <w:ind w:firstLine="720"/>
        <w:rPr>
          <w:rFonts w:ascii="Times New Roman" w:hAnsi="Times New Roman" w:eastAsia="黑体" w:cs="Times New Roman"/>
          <w:sz w:val="32"/>
          <w:szCs w:val="32"/>
        </w:rPr>
      </w:pPr>
    </w:p>
    <w:p w14:paraId="42AA6F31">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71F1D6F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2C6C360">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firstLine="640" w:firstLineChars="200"/>
        <w:rPr>
          <w:rFonts w:ascii="Times New Roman" w:hAnsi="Times New Roman" w:eastAsia="CESI仿宋-GB2312" w:cs="Times New Roman"/>
          <w:b w:val="0"/>
          <w:bCs w:val="0"/>
          <w:i w:val="0"/>
          <w:iCs w:val="0"/>
          <w:caps w:val="0"/>
          <w:smallCaps w:val="0"/>
          <w:vanish w:val="0"/>
          <w:color w:val="0F1115"/>
          <w:spacing w:val="0"/>
          <w:sz w:val="32"/>
          <w:szCs w:val="32"/>
        </w:rPr>
      </w:pPr>
      <w:r>
        <w:rPr>
          <w:rFonts w:hint="eastAsia" w:ascii="仿宋_GB2312" w:hAnsi="仿宋_GB2312" w:eastAsia="仿宋_GB2312" w:cs="仿宋_GB2312"/>
          <w:b w:val="0"/>
          <w:bCs w:val="0"/>
          <w:i w:val="0"/>
          <w:iCs w:val="0"/>
          <w:caps w:val="0"/>
          <w:smallCaps w:val="0"/>
          <w:vanish w:val="0"/>
          <w:color w:val="0F1115"/>
          <w:spacing w:val="0"/>
          <w:sz w:val="32"/>
          <w:szCs w:val="32"/>
        </w:rPr>
        <w:t>攀枝花市自然资源和规划局东区分局作为东区地质灾害防治工作的具体组织实施单位，负责地质灾害治理项目的立项申报、招标采购、合同管理、施工监管、验收组织及资金支付审核等工作。项目依据全市地质灾害防治工作统一部署，经市自然资源和规划局立项批复（东林巷东侧崩塌治理工程），符合《攀枝花市地质灾害项目管理办法》及财政专项资金支持方向。项目资金严格遵循财政专项资金管理规定，实行合同制管理，支付依据为合同约定条款及验收结论，确保资金使用合规、安全。资金分配按照“公开招标、竞争性磋商、询价”等方式确定服务单位，合同价格依据市场行情及财政评审结果确定，确保经济合理。</w:t>
      </w:r>
    </w:p>
    <w:p w14:paraId="43B9D1A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D8636DF">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u w:val="none"/>
          <w:lang w:val="en-US" w:eastAsia="zh-CN"/>
        </w:rPr>
        <w:t>通过锚杆格构+植生袋绿化</w:t>
      </w:r>
      <w:r>
        <w:rPr>
          <w:rFonts w:hint="eastAsia" w:ascii="Times New Roman" w:hAnsi="Times New Roman" w:eastAsia="仿宋_GB2312" w:cs="Times New Roman"/>
          <w:sz w:val="32"/>
          <w:szCs w:val="32"/>
          <w:u w:val="none"/>
        </w:rPr>
        <w:t>等</w:t>
      </w:r>
      <w:r>
        <w:rPr>
          <w:rFonts w:hint="eastAsia" w:ascii="Times New Roman" w:hAnsi="Times New Roman" w:eastAsia="仿宋_GB2312" w:cs="Times New Roman"/>
          <w:sz w:val="32"/>
          <w:szCs w:val="32"/>
          <w:u w:val="none"/>
          <w:lang w:eastAsia="zh-CN"/>
        </w:rPr>
        <w:t>措施</w:t>
      </w:r>
      <w:r>
        <w:rPr>
          <w:rFonts w:hint="eastAsia" w:ascii="Times New Roman" w:hAnsi="Times New Roman" w:eastAsia="仿宋_GB2312" w:cs="Times New Roman"/>
          <w:sz w:val="32"/>
          <w:szCs w:val="32"/>
          <w:u w:val="none"/>
        </w:rPr>
        <w:t>对地质灾害隐患进行治理</w:t>
      </w:r>
      <w:r>
        <w:rPr>
          <w:rFonts w:hint="eastAsia" w:ascii="Times New Roman" w:hAnsi="Times New Roman" w:eastAsia="仿宋_GB2312" w:cs="Times New Roman"/>
          <w:sz w:val="32"/>
          <w:szCs w:val="32"/>
          <w:u w:val="none"/>
          <w:lang w:eastAsia="zh-CN"/>
        </w:rPr>
        <w:t>，</w:t>
      </w:r>
      <w:r>
        <w:rPr>
          <w:rFonts w:hint="default" w:ascii="Times New Roman" w:hAnsi="Times New Roman" w:eastAsia="仿宋_GB2312" w:cs="Times New Roman"/>
          <w:sz w:val="32"/>
          <w:szCs w:val="32"/>
          <w:lang w:val="en-US" w:eastAsia="zh-CN"/>
        </w:rPr>
        <w:t>成功实现“地质灾害治理+”，有效保护人民群众生命财产安全</w:t>
      </w:r>
      <w:r>
        <w:rPr>
          <w:rFonts w:hint="eastAsia" w:ascii="Times New Roman" w:hAnsi="Times New Roman" w:eastAsia="仿宋_GB2312" w:cs="Times New Roman"/>
          <w:sz w:val="32"/>
          <w:szCs w:val="32"/>
          <w:lang w:val="en-US" w:eastAsia="zh-CN"/>
        </w:rPr>
        <w:t>，保护财产2000余万元，隐患消除率100%，实施区群众防灾减灾参与度≥95%，受益人群满意度≥95%，达到预期目标。</w:t>
      </w:r>
    </w:p>
    <w:p w14:paraId="2D26F90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5CD90321">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本次自评由地灾办牵头，联合办公室、组成自评工作组，通过查阅项目合同、验收资料、支付凭证，比对事前绩效目标，结合专家初步验收意见，对项目实施情况及资金使用绩效进行综合评价。</w:t>
      </w:r>
    </w:p>
    <w:p w14:paraId="26C6A61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40AB8A4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59A73731">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ascii="Times New Roman" w:hAnsi="Times New Roman" w:eastAsia="仿宋_GB2312" w:cs="Times New Roman"/>
          <w:color w:val="0F1115"/>
          <w:sz w:val="32"/>
          <w:szCs w:val="32"/>
        </w:rPr>
        <w:t>项目总预算</w:t>
      </w:r>
      <w:r>
        <w:rPr>
          <w:rFonts w:hint="eastAsia" w:ascii="Times New Roman" w:hAnsi="Times New Roman" w:eastAsia="仿宋_GB2312" w:cs="Times New Roman"/>
          <w:color w:val="0F1115"/>
          <w:sz w:val="32"/>
          <w:szCs w:val="32"/>
          <w:lang w:val="en-US" w:eastAsia="zh-CN"/>
        </w:rPr>
        <w:t>121.00</w:t>
      </w:r>
      <w:r>
        <w:rPr>
          <w:rFonts w:ascii="Times New Roman" w:hAnsi="Times New Roman" w:eastAsia="仿宋_GB2312" w:cs="Times New Roman"/>
          <w:color w:val="0F1115"/>
          <w:sz w:val="32"/>
          <w:szCs w:val="32"/>
        </w:rPr>
        <w:t>万元，资金来源为中央资金121</w:t>
      </w:r>
      <w:r>
        <w:rPr>
          <w:rFonts w:hint="eastAsia" w:ascii="Times New Roman" w:hAnsi="Times New Roman" w:eastAsia="仿宋_GB2312" w:cs="Times New Roman"/>
          <w:color w:val="0F1115"/>
          <w:sz w:val="32"/>
          <w:szCs w:val="32"/>
          <w:lang w:val="en-US" w:eastAsia="zh-CN"/>
        </w:rPr>
        <w:t>.00</w:t>
      </w:r>
      <w:r>
        <w:rPr>
          <w:rFonts w:ascii="Times New Roman" w:hAnsi="Times New Roman" w:eastAsia="仿宋_GB2312" w:cs="Times New Roman"/>
          <w:color w:val="0F1115"/>
          <w:sz w:val="32"/>
          <w:szCs w:val="32"/>
        </w:rPr>
        <w:t>万元。资金申报经分局党组会审议通过，并按程序报市局备案，预算批复手续完备。</w:t>
      </w:r>
    </w:p>
    <w:p w14:paraId="0D44FE4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10597DD0">
      <w:p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en-US" w:eastAsia="zh-CN"/>
        </w:rPr>
      </w:pPr>
      <w:r>
        <w:rPr>
          <w:rFonts w:ascii="Times New Roman" w:hAnsi="Times New Roman" w:eastAsia="楷体_GB2312" w:cs="Times New Roman"/>
          <w:sz w:val="32"/>
          <w:szCs w:val="32"/>
          <w:lang w:val="zh-CN"/>
        </w:rPr>
        <w:t>1</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en-US" w:eastAsia="zh-CN"/>
        </w:rPr>
        <w:t>2025年</w:t>
      </w:r>
      <w:r>
        <w:rPr>
          <w:rFonts w:hint="default" w:ascii="Times New Roman" w:hAnsi="Times New Roman" w:eastAsia="仿宋_GB2312" w:cs="Times New Roman"/>
          <w:sz w:val="32"/>
          <w:szCs w:val="32"/>
          <w:lang w:val="en-US" w:eastAsia="zh-CN"/>
        </w:rPr>
        <w:t>市财政批复下达资金1</w:t>
      </w:r>
      <w:r>
        <w:rPr>
          <w:rFonts w:hint="eastAsia" w:ascii="Times New Roman" w:hAnsi="Times New Roman" w:eastAsia="仿宋_GB2312" w:cs="Times New Roman"/>
          <w:sz w:val="32"/>
          <w:szCs w:val="32"/>
          <w:lang w:val="en-US" w:eastAsia="zh-CN"/>
        </w:rPr>
        <w:t>21</w:t>
      </w:r>
      <w:r>
        <w:rPr>
          <w:rFonts w:hint="default" w:ascii="Times New Roman" w:hAnsi="Times New Roman" w:eastAsia="仿宋_GB2312" w:cs="Times New Roman"/>
          <w:sz w:val="32"/>
          <w:szCs w:val="32"/>
          <w:lang w:val="en-US" w:eastAsia="zh-CN"/>
        </w:rPr>
        <w:t>.00万元（攀财资环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p>
    <w:p w14:paraId="03983434">
      <w:pPr>
        <w:suppressAutoHyphens/>
        <w:adjustRightInd w:val="0"/>
        <w:snapToGrid w:val="0"/>
        <w:spacing w:line="560" w:lineRule="exact"/>
        <w:ind w:firstLine="640" w:firstLineChars="20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2</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en-US" w:eastAsia="zh-CN"/>
        </w:rPr>
        <w:t>2025年</w:t>
      </w:r>
      <w:r>
        <w:rPr>
          <w:rFonts w:hint="default" w:ascii="Times New Roman" w:hAnsi="Times New Roman" w:eastAsia="仿宋_GB2312" w:cs="Times New Roman"/>
          <w:sz w:val="32"/>
          <w:szCs w:val="32"/>
          <w:lang w:val="en-US" w:eastAsia="zh-CN"/>
        </w:rPr>
        <w:t>市财政批复下达资金1</w:t>
      </w:r>
      <w:r>
        <w:rPr>
          <w:rFonts w:hint="eastAsia" w:ascii="Times New Roman" w:hAnsi="Times New Roman" w:eastAsia="仿宋_GB2312" w:cs="Times New Roman"/>
          <w:sz w:val="32"/>
          <w:szCs w:val="32"/>
          <w:lang w:val="en-US" w:eastAsia="zh-CN"/>
        </w:rPr>
        <w:t>21</w:t>
      </w:r>
      <w:r>
        <w:rPr>
          <w:rFonts w:hint="default" w:ascii="Times New Roman" w:hAnsi="Times New Roman" w:eastAsia="仿宋_GB2312" w:cs="Times New Roman"/>
          <w:sz w:val="32"/>
          <w:szCs w:val="32"/>
          <w:lang w:val="en-US" w:eastAsia="zh-CN"/>
        </w:rPr>
        <w:t>.00万元（攀财资环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最终到位1</w:t>
      </w:r>
      <w:r>
        <w:rPr>
          <w:rFonts w:hint="eastAsia" w:ascii="Times New Roman" w:hAnsi="Times New Roman" w:eastAsia="仿宋_GB2312" w:cs="Times New Roman"/>
          <w:sz w:val="32"/>
          <w:szCs w:val="32"/>
          <w:lang w:val="en-US" w:eastAsia="zh-CN"/>
        </w:rPr>
        <w:t>21</w:t>
      </w:r>
      <w:r>
        <w:rPr>
          <w:rFonts w:hint="default" w:ascii="Times New Roman" w:hAnsi="Times New Roman" w:eastAsia="仿宋_GB2312" w:cs="Times New Roman"/>
          <w:sz w:val="32"/>
          <w:szCs w:val="32"/>
          <w:lang w:val="en-US" w:eastAsia="zh-CN"/>
        </w:rPr>
        <w:t>.00万元</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到位率100%，</w:t>
      </w:r>
      <w:r>
        <w:rPr>
          <w:rFonts w:hint="default" w:ascii="Times New Roman" w:hAnsi="Times New Roman" w:eastAsia="仿宋_GB2312" w:cs="Times New Roman"/>
          <w:sz w:val="32"/>
          <w:szCs w:val="32"/>
          <w:lang w:val="zh-CN"/>
        </w:rPr>
        <w:t>到位及时。</w:t>
      </w:r>
    </w:p>
    <w:p w14:paraId="1941E83B">
      <w:pPr>
        <w:adjustRightInd w:val="0"/>
        <w:snapToGrid w:val="0"/>
        <w:spacing w:line="600" w:lineRule="exact"/>
        <w:ind w:firstLine="720"/>
        <w:rPr>
          <w:rFonts w:hint="default" w:ascii="Times New Roman" w:hAnsi="Times New Roman" w:eastAsia="仿宋_GB2312" w:cs="Times New Roman"/>
          <w:sz w:val="32"/>
          <w:szCs w:val="32"/>
          <w:lang w:val="zh-CN" w:eastAsia="zh-CN"/>
        </w:rPr>
      </w:pPr>
      <w:r>
        <w:rPr>
          <w:rFonts w:ascii="Times New Roman" w:hAnsi="Times New Roman" w:eastAsia="楷体_GB2312" w:cs="Times New Roman"/>
          <w:sz w:val="32"/>
          <w:szCs w:val="32"/>
          <w:lang w:val="zh-CN"/>
        </w:rPr>
        <w:t>3</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资金使用。</w:t>
      </w:r>
      <w:r>
        <w:rPr>
          <w:rFonts w:ascii="Times New Roman" w:hAnsi="Times New Roman" w:eastAsia="仿宋_GB2312" w:cs="Times New Roman"/>
          <w:b w:val="0"/>
          <w:bCs w:val="0"/>
          <w:i w:val="0"/>
          <w:iCs w:val="0"/>
          <w:caps w:val="0"/>
          <w:smallCaps w:val="0"/>
          <w:vanish w:val="0"/>
          <w:color w:val="0F1115"/>
          <w:spacing w:val="0"/>
          <w:sz w:val="32"/>
          <w:szCs w:val="32"/>
        </w:rPr>
        <w:t>已支付施</w:t>
      </w:r>
      <w:r>
        <w:rPr>
          <w:rFonts w:ascii="Times New Roman" w:hAnsi="Times New Roman" w:eastAsia="仿宋_GB2312" w:cs="Times New Roman"/>
          <w:color w:val="0F1115"/>
          <w:sz w:val="32"/>
          <w:szCs w:val="32"/>
        </w:rPr>
        <w:t>工预付款21.93万元，支</w:t>
      </w:r>
      <w:r>
        <w:rPr>
          <w:rFonts w:ascii="Times New Roman" w:hAnsi="Times New Roman" w:eastAsia="仿宋_GB2312" w:cs="Times New Roman"/>
          <w:b w:val="0"/>
          <w:bCs w:val="0"/>
          <w:i w:val="0"/>
          <w:iCs w:val="0"/>
          <w:caps w:val="0"/>
          <w:smallCaps w:val="0"/>
          <w:vanish w:val="0"/>
          <w:color w:val="0F1115"/>
          <w:spacing w:val="0"/>
          <w:sz w:val="32"/>
          <w:szCs w:val="32"/>
        </w:rPr>
        <w:t>付</w:t>
      </w:r>
      <w:r>
        <w:rPr>
          <w:rFonts w:hint="eastAsia" w:eastAsia="仿宋_GB2312" w:cs="Times New Roman"/>
          <w:b w:val="0"/>
          <w:bCs w:val="0"/>
          <w:i w:val="0"/>
          <w:iCs w:val="0"/>
          <w:caps w:val="0"/>
          <w:smallCaps w:val="0"/>
          <w:vanish w:val="0"/>
          <w:color w:val="0F1115"/>
          <w:spacing w:val="0"/>
          <w:sz w:val="32"/>
          <w:szCs w:val="32"/>
          <w:lang w:eastAsia="zh-CN"/>
        </w:rPr>
        <w:t>勘察</w:t>
      </w:r>
      <w:r>
        <w:rPr>
          <w:rFonts w:ascii="Times New Roman" w:hAnsi="Times New Roman" w:eastAsia="仿宋_GB2312" w:cs="Times New Roman"/>
          <w:b w:val="0"/>
          <w:bCs w:val="0"/>
          <w:i w:val="0"/>
          <w:iCs w:val="0"/>
          <w:caps w:val="0"/>
          <w:smallCaps w:val="0"/>
          <w:vanish w:val="0"/>
          <w:color w:val="0F1115"/>
          <w:spacing w:val="0"/>
          <w:sz w:val="32"/>
          <w:szCs w:val="32"/>
        </w:rPr>
        <w:t>设计费10.5</w:t>
      </w: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0</w:t>
      </w:r>
      <w:r>
        <w:rPr>
          <w:rFonts w:ascii="Times New Roman" w:hAnsi="Times New Roman" w:eastAsia="仿宋_GB2312" w:cs="Times New Roman"/>
          <w:b w:val="0"/>
          <w:bCs w:val="0"/>
          <w:i w:val="0"/>
          <w:iCs w:val="0"/>
          <w:caps w:val="0"/>
          <w:smallCaps w:val="0"/>
          <w:vanish w:val="0"/>
          <w:color w:val="0F1115"/>
          <w:spacing w:val="0"/>
          <w:sz w:val="32"/>
          <w:szCs w:val="32"/>
        </w:rPr>
        <w:t>万元，合计32.43万元。资金支付范围、支付标准均符合合同约定，支付依据充分（合同、发票、验收意见），未发生超预算、超范围支出。本次申请支付的各项费用均达到合同约定支付条件，支付程序合规</w:t>
      </w:r>
      <w:r>
        <w:rPr>
          <w:rFonts w:hint="eastAsia" w:ascii="Times New Roman" w:hAnsi="Times New Roman" w:eastAsia="仿宋_GB2312" w:cs="Times New Roman"/>
          <w:sz w:val="32"/>
          <w:szCs w:val="32"/>
          <w:lang w:val="zh-CN" w:eastAsia="zh-CN"/>
        </w:rPr>
        <w:t>。</w:t>
      </w:r>
    </w:p>
    <w:p w14:paraId="593EBF4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4E066C45">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项目财务管理制度健全，实行专账核算，账务处理及时，凭证齐全，会计核算规范。资金支付严格执行审批程序，未发现挤占、挪用、虚列支出等问题。</w:t>
      </w:r>
    </w:p>
    <w:p w14:paraId="5E70F24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A18A7CE">
      <w:pPr>
        <w:numPr>
          <w:ilvl w:val="0"/>
          <w:numId w:val="29"/>
        </w:num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278A6A22">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项目由地灾办具体负责，按照“</w:t>
      </w:r>
      <w:r>
        <w:rPr>
          <w:rFonts w:hint="eastAsia" w:eastAsia="仿宋_GB2312" w:cs="Times New Roman"/>
          <w:b w:val="0"/>
          <w:bCs w:val="0"/>
          <w:i w:val="0"/>
          <w:iCs w:val="0"/>
          <w:caps w:val="0"/>
          <w:smallCaps w:val="0"/>
          <w:vanish w:val="0"/>
          <w:color w:val="0F1115"/>
          <w:spacing w:val="0"/>
          <w:sz w:val="32"/>
          <w:szCs w:val="32"/>
          <w:lang w:eastAsia="zh-CN"/>
        </w:rPr>
        <w:t>勘察</w:t>
      </w:r>
      <w:r>
        <w:rPr>
          <w:rFonts w:ascii="Times New Roman" w:hAnsi="Times New Roman" w:eastAsia="仿宋_GB2312" w:cs="Times New Roman"/>
          <w:b w:val="0"/>
          <w:bCs w:val="0"/>
          <w:i w:val="0"/>
          <w:iCs w:val="0"/>
          <w:caps w:val="0"/>
          <w:smallCaps w:val="0"/>
          <w:vanish w:val="0"/>
          <w:color w:val="0F1115"/>
          <w:spacing w:val="0"/>
          <w:sz w:val="32"/>
          <w:szCs w:val="32"/>
        </w:rPr>
        <w:t>设计—立项—招标—施工—验收”流程推进。施工、监理、清单编制、全过程造价控制等单位均通过法定采购方式确定，合同签订规范。</w:t>
      </w:r>
    </w:p>
    <w:p w14:paraId="205D9423">
      <w:pPr>
        <w:numPr>
          <w:ilvl w:val="0"/>
          <w:numId w:val="29"/>
        </w:numPr>
        <w:adjustRightInd w:val="0"/>
        <w:snapToGrid w:val="0"/>
        <w:spacing w:line="578" w:lineRule="exact"/>
        <w:ind w:left="0" w:leftChars="0" w:firstLine="720" w:firstLineChars="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项目管理情况。</w:t>
      </w:r>
    </w:p>
    <w:p w14:paraId="77237860">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方正楷体_GBK" w:eastAsia="仿宋_GB2312" w:cs="Times New Roman"/>
          <w:color w:val="0F1115"/>
          <w:sz w:val="32"/>
          <w:szCs w:val="32"/>
        </w:rPr>
      </w:pPr>
      <w:r>
        <w:rPr>
          <w:rFonts w:ascii="Times New Roman" w:hAnsi="Times New Roman" w:eastAsia="仿宋_GB2312" w:cs="Times New Roman"/>
          <w:color w:val="0F1115"/>
          <w:sz w:val="32"/>
          <w:szCs w:val="32"/>
        </w:rPr>
        <w:t>严格执行招投标、政府采购等相关规定，施工、监理单位资质符合要求。项目施工期间，地灾办安排专人现场监管，关键工序旁站监督，工程质量满足设计及规范要求。2025年</w:t>
      </w:r>
      <w:r>
        <w:rPr>
          <w:rFonts w:ascii="Times New Roman" w:hAnsi="方正楷体_GBK" w:eastAsia="仿宋_GB2312" w:cs="Times New Roman"/>
          <w:color w:val="0F1115"/>
          <w:sz w:val="32"/>
          <w:szCs w:val="32"/>
        </w:rPr>
        <w:t>12月17日通过分局组织的初步验收，验收结论为合格。</w:t>
      </w:r>
    </w:p>
    <w:p w14:paraId="3BD3F69B">
      <w:pPr>
        <w:numPr>
          <w:ilvl w:val="0"/>
          <w:numId w:val="29"/>
        </w:numPr>
        <w:adjustRightInd w:val="0"/>
        <w:snapToGrid w:val="0"/>
        <w:spacing w:line="600" w:lineRule="exact"/>
        <w:ind w:left="0" w:leftChars="0" w:firstLine="720" w:firstLineChars="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项目监管情况。</w:t>
      </w:r>
    </w:p>
    <w:p w14:paraId="499CEDA5">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hint="eastAsia" w:ascii="仿宋_GB2312" w:hAnsi="仿宋_GB2312" w:eastAsia="仿宋_GB2312" w:cs="仿宋_GB2312"/>
          <w:kern w:val="0"/>
          <w:sz w:val="32"/>
          <w:szCs w:val="32"/>
          <w:lang w:val="en-US" w:eastAsia="zh-CN"/>
        </w:rPr>
      </w:pPr>
      <w:r>
        <w:rPr>
          <w:rFonts w:ascii="Times New Roman" w:hAnsi="Times New Roman" w:eastAsia="仿宋_GB2312" w:cs="Times New Roman"/>
          <w:b w:val="0"/>
          <w:bCs w:val="0"/>
          <w:i w:val="0"/>
          <w:iCs w:val="0"/>
          <w:caps w:val="0"/>
          <w:smallCaps w:val="0"/>
          <w:vanish w:val="0"/>
          <w:color w:val="0F1115"/>
          <w:spacing w:val="0"/>
          <w:sz w:val="32"/>
          <w:szCs w:val="32"/>
        </w:rPr>
        <w:t>地灾办通过定期巡查、监理例会、隐蔽工程验收等方式加强过程监管，委托全过程造价控制单位对投资进行动态监控。初步验收后，及时组织问题整改，确保项目达到最终验收条件。</w:t>
      </w:r>
      <w:r>
        <w:rPr>
          <w:rFonts w:hint="eastAsia" w:ascii="Times New Roman" w:hAnsi="Times New Roman" w:eastAsia="仿宋_GB2312" w:cs="Times New Roman"/>
          <w:sz w:val="32"/>
          <w:szCs w:val="32"/>
          <w:lang w:val="en-US" w:eastAsia="zh-CN"/>
        </w:rPr>
        <w:t>有效保护区域群众生命财产安全，保护财产2000余万元，隐患消除率100%，群众满意度超过95%，达到预期绩效目标。</w:t>
      </w:r>
    </w:p>
    <w:p w14:paraId="4233B2A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47ECF38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分55分）</w:t>
      </w:r>
    </w:p>
    <w:p w14:paraId="23CEC7C8">
      <w:p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2025</w:t>
      </w:r>
      <w:r>
        <w:rPr>
          <w:rFonts w:hint="default" w:ascii="Times New Roman" w:hAnsi="Times New Roman" w:eastAsia="仿宋_GB2312" w:cs="Times New Roman"/>
          <w:kern w:val="0"/>
          <w:sz w:val="32"/>
          <w:szCs w:val="32"/>
          <w:lang w:val="en-US" w:eastAsia="zh-CN"/>
        </w:rPr>
        <w:t>年度预算绩效资金为</w:t>
      </w:r>
      <w:r>
        <w:rPr>
          <w:rFonts w:hint="eastAsia" w:ascii="Times New Roman" w:hAnsi="Times New Roman" w:eastAsia="仿宋_GB2312" w:cs="Times New Roman"/>
          <w:kern w:val="0"/>
          <w:sz w:val="32"/>
          <w:szCs w:val="32"/>
          <w:lang w:val="en-US" w:eastAsia="zh-CN"/>
        </w:rPr>
        <w:t>121.00</w:t>
      </w:r>
      <w:r>
        <w:rPr>
          <w:rFonts w:hint="default" w:ascii="Times New Roman" w:hAnsi="Times New Roman" w:eastAsia="仿宋_GB2312" w:cs="Times New Roman"/>
          <w:kern w:val="0"/>
          <w:sz w:val="32"/>
          <w:szCs w:val="32"/>
          <w:lang w:val="en-US" w:eastAsia="zh-CN"/>
        </w:rPr>
        <w:t>万元，支付</w:t>
      </w:r>
      <w:r>
        <w:rPr>
          <w:rFonts w:hint="eastAsia" w:ascii="Times New Roman" w:hAnsi="Times New Roman" w:eastAsia="仿宋_GB2312" w:cs="Times New Roman"/>
          <w:kern w:val="0"/>
          <w:sz w:val="32"/>
          <w:szCs w:val="32"/>
          <w:lang w:val="en-US" w:eastAsia="zh-CN"/>
        </w:rPr>
        <w:t>32.43</w:t>
      </w:r>
      <w:r>
        <w:rPr>
          <w:rFonts w:hint="default" w:ascii="Times New Roman" w:hAnsi="Times New Roman" w:eastAsia="仿宋_GB2312" w:cs="Times New Roman"/>
          <w:kern w:val="0"/>
          <w:sz w:val="32"/>
          <w:szCs w:val="32"/>
          <w:lang w:val="en-US" w:eastAsia="zh-CN"/>
        </w:rPr>
        <w:t>万元，执行率为</w:t>
      </w:r>
      <w:r>
        <w:rPr>
          <w:rFonts w:hint="eastAsia" w:ascii="Times New Roman" w:hAnsi="Times New Roman" w:eastAsia="仿宋_GB2312" w:cs="Times New Roman"/>
          <w:kern w:val="0"/>
          <w:sz w:val="32"/>
          <w:szCs w:val="32"/>
          <w:lang w:val="en-US" w:eastAsia="zh-CN"/>
        </w:rPr>
        <w:t>26.81</w:t>
      </w:r>
      <w:r>
        <w:rPr>
          <w:rFonts w:hint="default" w:ascii="Times New Roman" w:hAnsi="Times New Roman" w:eastAsia="仿宋_GB2312" w:cs="Times New Roman"/>
          <w:kern w:val="0"/>
          <w:sz w:val="32"/>
          <w:szCs w:val="32"/>
          <w:lang w:val="en-US" w:eastAsia="zh-CN"/>
        </w:rPr>
        <w:t>%。（10分）</w:t>
      </w:r>
    </w:p>
    <w:p w14:paraId="7F662DF3">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数量指标：</w:t>
      </w:r>
      <w:r>
        <w:rPr>
          <w:rFonts w:ascii="Times New Roman" w:hAnsi="Times New Roman" w:eastAsia="仿宋_GB2312" w:cs="Times New Roman"/>
          <w:color w:val="0F1115"/>
          <w:sz w:val="32"/>
          <w:szCs w:val="32"/>
        </w:rPr>
        <w:t>完成东林巷东侧崩塌治理工程1处，治理面积及工程量符合设计图纸要求</w:t>
      </w:r>
      <w:r>
        <w:rPr>
          <w:rFonts w:hint="default" w:ascii="Times New Roman" w:hAnsi="Times New Roman" w:eastAsia="仿宋_GB2312" w:cs="Times New Roman"/>
          <w:kern w:val="0"/>
          <w:sz w:val="32"/>
          <w:szCs w:val="32"/>
          <w:lang w:val="en-US" w:eastAsia="zh-CN"/>
        </w:rPr>
        <w:t>。（28分）</w:t>
      </w:r>
    </w:p>
    <w:p w14:paraId="40037270">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2.</w:t>
      </w:r>
      <w:r>
        <w:rPr>
          <w:rFonts w:hint="default" w:ascii="Times New Roman" w:hAnsi="Times New Roman" w:eastAsia="仿宋_GB2312" w:cs="Times New Roman"/>
          <w:kern w:val="0"/>
          <w:sz w:val="32"/>
          <w:szCs w:val="32"/>
          <w:lang w:val="en-US" w:eastAsia="zh-CN"/>
        </w:rPr>
        <w:t>时效指标：</w:t>
      </w:r>
      <w:r>
        <w:rPr>
          <w:rFonts w:ascii="Times New Roman" w:hAnsi="Times New Roman" w:eastAsia="仿宋_GB2312" w:cs="Times New Roman"/>
          <w:color w:val="0F1115"/>
          <w:sz w:val="32"/>
          <w:szCs w:val="32"/>
        </w:rPr>
        <w:t>项目于2024年7月开工，2025年12月完工并通过初步验收，工期控制基本合理</w:t>
      </w:r>
      <w:r>
        <w:rPr>
          <w:rFonts w:hint="default" w:ascii="Times New Roman" w:hAnsi="Times New Roman" w:eastAsia="仿宋_GB2312" w:cs="Times New Roman"/>
          <w:kern w:val="0"/>
          <w:sz w:val="32"/>
          <w:szCs w:val="32"/>
          <w:lang w:val="en-US" w:eastAsia="zh-CN"/>
        </w:rPr>
        <w:t>（8分）</w:t>
      </w:r>
    </w:p>
    <w:p w14:paraId="0C9E5BDF">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3.</w:t>
      </w:r>
      <w:r>
        <w:rPr>
          <w:rFonts w:hint="default" w:ascii="Times New Roman" w:hAnsi="Times New Roman" w:eastAsia="仿宋_GB2312" w:cs="Times New Roman"/>
          <w:kern w:val="0"/>
          <w:sz w:val="32"/>
          <w:szCs w:val="32"/>
          <w:lang w:val="en-US" w:eastAsia="zh-CN"/>
        </w:rPr>
        <w:t>质量指标：</w:t>
      </w:r>
      <w:r>
        <w:rPr>
          <w:rFonts w:ascii="Times New Roman" w:hAnsi="Times New Roman" w:eastAsia="仿宋_GB2312" w:cs="Times New Roman"/>
          <w:color w:val="0F1115"/>
          <w:sz w:val="32"/>
          <w:szCs w:val="32"/>
        </w:rPr>
        <w:t>工程实体质量经初步验收评定为合格，无质量安全事故。</w:t>
      </w:r>
      <w:r>
        <w:rPr>
          <w:rFonts w:hint="default" w:ascii="Times New Roman" w:hAnsi="Times New Roman" w:eastAsia="仿宋_GB2312" w:cs="Times New Roman"/>
          <w:kern w:val="0"/>
          <w:sz w:val="32"/>
          <w:szCs w:val="32"/>
          <w:lang w:val="en-US" w:eastAsia="zh-CN"/>
        </w:rPr>
        <w:t>（9分）</w:t>
      </w:r>
    </w:p>
    <w:p w14:paraId="4227729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w:t>
      </w:r>
      <w:r>
        <w:rPr>
          <w:rFonts w:hint="eastAsia" w:ascii="Times New Roman" w:hAnsi="Times New Roman" w:eastAsia="楷体_GB2312" w:cs="Times New Roman"/>
          <w:sz w:val="32"/>
          <w:szCs w:val="32"/>
          <w:lang w:val="en-US" w:eastAsia="zh-CN"/>
        </w:rPr>
        <w:t>4</w:t>
      </w:r>
      <w:r>
        <w:rPr>
          <w:rFonts w:hint="default" w:ascii="Times New Roman" w:hAnsi="Times New Roman" w:eastAsia="楷体_GB2312" w:cs="Times New Roman"/>
          <w:sz w:val="32"/>
          <w:szCs w:val="32"/>
          <w:lang w:val="en-US" w:eastAsia="zh-CN"/>
        </w:rPr>
        <w:t>5分）</w:t>
      </w:r>
    </w:p>
    <w:p w14:paraId="6FC9AD89">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社会效益指标：</w:t>
      </w:r>
      <w:r>
        <w:rPr>
          <w:rFonts w:ascii="Times New Roman" w:hAnsi="Times New Roman" w:eastAsia="仿宋_GB2312" w:cs="Times New Roman"/>
          <w:color w:val="0F1115"/>
          <w:sz w:val="32"/>
          <w:szCs w:val="32"/>
        </w:rPr>
        <w:t>工程实施后，彻底消除了东林巷东侧崩塌地质灾害隐患，直接保护周边居民9余户、31余人生命财产安全，显著提升区域安全感。</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15</w:t>
      </w:r>
      <w:r>
        <w:rPr>
          <w:rFonts w:hint="default" w:ascii="Times New Roman" w:hAnsi="Times New Roman" w:eastAsia="仿宋_GB2312" w:cs="Times New Roman"/>
          <w:kern w:val="0"/>
          <w:sz w:val="32"/>
          <w:szCs w:val="32"/>
          <w:lang w:val="en-US" w:eastAsia="zh-CN"/>
        </w:rPr>
        <w:t>分）</w:t>
      </w:r>
    </w:p>
    <w:p w14:paraId="56769D3F">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2.生态</w:t>
      </w:r>
      <w:r>
        <w:rPr>
          <w:rFonts w:hint="default" w:ascii="Times New Roman" w:hAnsi="Times New Roman" w:eastAsia="仿宋_GB2312" w:cs="Times New Roman"/>
          <w:kern w:val="0"/>
          <w:sz w:val="32"/>
          <w:szCs w:val="32"/>
          <w:lang w:val="en-US" w:eastAsia="zh-CN"/>
        </w:rPr>
        <w:t>效益指标：</w:t>
      </w:r>
      <w:r>
        <w:rPr>
          <w:rFonts w:ascii="Times New Roman" w:hAnsi="Times New Roman" w:eastAsia="仿宋_GB2312" w:cs="Times New Roman"/>
          <w:color w:val="0F1115"/>
          <w:sz w:val="32"/>
          <w:szCs w:val="32"/>
        </w:rPr>
        <w:t>采用植生袋绿化等措施，恢复植被，减少水土流失，改善人居环境</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10</w:t>
      </w:r>
      <w:r>
        <w:rPr>
          <w:rFonts w:hint="default" w:ascii="Times New Roman" w:hAnsi="Times New Roman" w:eastAsia="仿宋_GB2312" w:cs="Times New Roman"/>
          <w:kern w:val="0"/>
          <w:sz w:val="32"/>
          <w:szCs w:val="32"/>
          <w:lang w:val="en-US" w:eastAsia="zh-CN"/>
        </w:rPr>
        <w:t>分）</w:t>
      </w:r>
    </w:p>
    <w:p w14:paraId="54F5D572">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3.</w:t>
      </w:r>
      <w:r>
        <w:rPr>
          <w:rFonts w:ascii="Times New Roman" w:hAnsi="Times New Roman" w:eastAsia="仿宋_GB2312" w:cs="Times New Roman"/>
          <w:color w:val="0F1115"/>
          <w:sz w:val="32"/>
          <w:szCs w:val="32"/>
        </w:rPr>
        <w:t>可持续效益</w:t>
      </w:r>
      <w:r>
        <w:rPr>
          <w:rFonts w:hint="eastAsia" w:ascii="Times New Roman" w:hAnsi="Times New Roman" w:eastAsia="仿宋_GB2312" w:cs="Times New Roman"/>
          <w:color w:val="0F1115"/>
          <w:sz w:val="32"/>
          <w:szCs w:val="32"/>
          <w:lang w:eastAsia="zh-CN"/>
        </w:rPr>
        <w:t>指标</w:t>
      </w:r>
      <w:r>
        <w:rPr>
          <w:rFonts w:ascii="Times New Roman" w:hAnsi="Times New Roman" w:eastAsia="仿宋_GB2312" w:cs="Times New Roman"/>
          <w:color w:val="0F1115"/>
          <w:sz w:val="32"/>
          <w:szCs w:val="32"/>
        </w:rPr>
        <w:t>：治理工程耐久性良好，后续维护成本低，为长期防灾减灾奠定基础。</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2F924B10">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kern w:val="0"/>
          <w:sz w:val="32"/>
          <w:szCs w:val="32"/>
          <w:lang w:val="en-US" w:eastAsia="zh-CN"/>
        </w:rPr>
        <w:t>4.</w:t>
      </w:r>
      <w:r>
        <w:rPr>
          <w:rFonts w:hint="default" w:ascii="Times New Roman" w:hAnsi="Times New Roman" w:eastAsia="仿宋_GB2312" w:cs="Times New Roman"/>
          <w:kern w:val="0"/>
          <w:sz w:val="32"/>
          <w:szCs w:val="32"/>
          <w:lang w:val="en-US" w:eastAsia="zh-CN"/>
        </w:rPr>
        <w:t>服务对象满意度指标：</w:t>
      </w:r>
      <w:r>
        <w:rPr>
          <w:rFonts w:ascii="Times New Roman" w:hAnsi="Times New Roman" w:eastAsia="仿宋_GB2312" w:cs="Times New Roman"/>
          <w:color w:val="0F1115"/>
          <w:sz w:val="32"/>
          <w:szCs w:val="32"/>
        </w:rPr>
        <w:t>初步验收期间征询社区及居民意见，群众对治理效果及施工影响控制表示满意，满意度达98%以上。</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48E63D80">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lang w:val="en-US" w:eastAsia="zh-CN"/>
        </w:rPr>
        <w:t>通过本项目的实施，按时、按质、按量完成了绩效目标，取得了良好的社会效益和经济效益，群众满意度高，目标完成情况为优，个性指标得分100分。</w:t>
      </w:r>
    </w:p>
    <w:p w14:paraId="70CCE65E">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452204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1BEA6514">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ascii="Times New Roman" w:hAnsi="方正楷体_GBK" w:eastAsia="仿宋_GB2312" w:cs="Times New Roman"/>
          <w:color w:val="0F1115"/>
          <w:sz w:val="32"/>
          <w:szCs w:val="32"/>
        </w:rPr>
        <w:t>经综合评价，东区东林</w:t>
      </w:r>
      <w:r>
        <w:rPr>
          <w:rFonts w:ascii="Times New Roman" w:hAnsi="Times New Roman" w:eastAsia="仿宋_GB2312" w:cs="Times New Roman"/>
          <w:color w:val="0F1115"/>
          <w:sz w:val="32"/>
          <w:szCs w:val="32"/>
        </w:rPr>
        <w:t>巷东侧崩塌治理工程立项依据充分，实施过程规范，工程质量合格，资金使用合规，绩效目标完成情况良好，社会效益显著。对照事前绩效评估设定的目标，项目已基本达到预期效果，综合评价等级为“优”。</w:t>
      </w:r>
    </w:p>
    <w:p w14:paraId="2B46B43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019C23B3">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eastAsia="仿宋_GB2312" w:cs="Times New Roman"/>
          <w:color w:val="0F1115"/>
          <w:sz w:val="32"/>
          <w:szCs w:val="32"/>
          <w:lang w:eastAsia="zh-CN"/>
        </w:rPr>
        <w:t>1.</w:t>
      </w:r>
      <w:r>
        <w:rPr>
          <w:rFonts w:ascii="Times New Roman" w:hAnsi="Times New Roman" w:eastAsia="仿宋_GB2312" w:cs="Times New Roman"/>
          <w:color w:val="0F1115"/>
          <w:sz w:val="32"/>
          <w:szCs w:val="32"/>
        </w:rPr>
        <w:t>项目部分施工时段受雨季影响，工期较原计划略有延长；</w:t>
      </w:r>
    </w:p>
    <w:p w14:paraId="0155D797">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sz w:val="32"/>
          <w:szCs w:val="32"/>
          <w:lang w:val="zh-CN"/>
        </w:rPr>
      </w:pPr>
      <w:r>
        <w:rPr>
          <w:rFonts w:hint="eastAsia" w:eastAsia="仿宋_GB2312" w:cs="Times New Roman"/>
          <w:color w:val="0F1115"/>
          <w:sz w:val="32"/>
          <w:szCs w:val="32"/>
          <w:lang w:eastAsia="zh-CN"/>
        </w:rPr>
        <w:t>2.</w:t>
      </w:r>
      <w:r>
        <w:rPr>
          <w:rFonts w:ascii="Times New Roman" w:hAnsi="Times New Roman" w:eastAsia="仿宋_GB2312" w:cs="Times New Roman"/>
          <w:color w:val="0F1115"/>
          <w:sz w:val="32"/>
          <w:szCs w:val="32"/>
        </w:rPr>
        <w:t>资金支付审批流程环节较多，支付及时性有待进一步提升。</w:t>
      </w:r>
      <w:r>
        <w:rPr>
          <w:rFonts w:ascii="Times New Roman" w:hAnsi="Times New Roman" w:eastAsia="仿宋_GB2312" w:cs="Times New Roman"/>
          <w:sz w:val="32"/>
          <w:szCs w:val="32"/>
          <w:lang w:val="zh-CN"/>
        </w:rPr>
        <w:tab/>
      </w:r>
    </w:p>
    <w:p w14:paraId="1307EF5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7765C78D">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eastAsia="仿宋_GB2312" w:cs="Times New Roman"/>
          <w:color w:val="0F1115"/>
          <w:sz w:val="32"/>
          <w:szCs w:val="32"/>
          <w:lang w:eastAsia="zh-CN"/>
        </w:rPr>
        <w:t>1.</w:t>
      </w:r>
      <w:r>
        <w:rPr>
          <w:rFonts w:ascii="Times New Roman" w:hAnsi="Times New Roman" w:eastAsia="仿宋_GB2312" w:cs="Times New Roman"/>
          <w:color w:val="0F1115"/>
          <w:sz w:val="32"/>
          <w:szCs w:val="32"/>
        </w:rPr>
        <w:t>建议后续项目在编制进度计划时，充分考虑不利天气因素，预留合理工期；</w:t>
      </w:r>
    </w:p>
    <w:p w14:paraId="39FBD062">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eastAsia="仿宋_GB2312" w:cs="Times New Roman"/>
          <w:color w:val="0F1115"/>
          <w:sz w:val="32"/>
          <w:szCs w:val="32"/>
          <w:lang w:eastAsia="zh-CN"/>
        </w:rPr>
        <w:t>2.</w:t>
      </w:r>
      <w:r>
        <w:rPr>
          <w:rFonts w:ascii="Times New Roman" w:hAnsi="Times New Roman" w:eastAsia="仿宋_GB2312" w:cs="Times New Roman"/>
          <w:color w:val="0F1115"/>
          <w:sz w:val="32"/>
          <w:szCs w:val="32"/>
        </w:rPr>
        <w:t>优化资金支付审批程序，压缩内部流转时间，确保合同款项按约及时支付。</w:t>
      </w:r>
    </w:p>
    <w:p w14:paraId="4ECC299F">
      <w:pPr>
        <w:ind w:firstLine="640" w:firstLineChars="200"/>
        <w:rPr>
          <w:rFonts w:ascii="Times New Roman" w:hAnsi="Times New Roman" w:eastAsia="仿宋_GB2312" w:cs="Times New Roman"/>
          <w:sz w:val="32"/>
          <w:szCs w:val="32"/>
        </w:rPr>
      </w:pPr>
    </w:p>
    <w:p w14:paraId="336D5680">
      <w:pPr>
        <w:rPr>
          <w:rFonts w:hint="eastAsia" w:ascii="Times New Roman" w:hAnsi="Times New Roman" w:eastAsia="黑体"/>
          <w:color w:val="auto"/>
          <w:sz w:val="44"/>
          <w:szCs w:val="44"/>
          <w:highlight w:val="none"/>
        </w:rPr>
      </w:pPr>
    </w:p>
    <w:p w14:paraId="06868355">
      <w:pPr>
        <w:spacing w:line="600" w:lineRule="exact"/>
        <w:jc w:val="center"/>
        <w:rPr>
          <w:rFonts w:hint="default" w:ascii="Times New Roman" w:hAnsi="Times New Roman" w:eastAsia="方正小标宋简体" w:cs="Times New Roman"/>
          <w:sz w:val="40"/>
          <w:szCs w:val="40"/>
          <w:lang w:val="zh-CN"/>
        </w:rPr>
      </w:pPr>
    </w:p>
    <w:p w14:paraId="62F8992E">
      <w:pPr>
        <w:spacing w:line="600" w:lineRule="exact"/>
        <w:jc w:val="center"/>
        <w:rPr>
          <w:rFonts w:hint="default" w:ascii="Times New Roman" w:hAnsi="Times New Roman" w:eastAsia="方正小标宋简体" w:cs="Times New Roman"/>
          <w:sz w:val="40"/>
          <w:szCs w:val="40"/>
          <w:lang w:val="zh-CN"/>
        </w:rPr>
      </w:pPr>
      <w:r>
        <w:rPr>
          <w:rFonts w:hint="default" w:ascii="Times New Roman" w:hAnsi="Times New Roman" w:eastAsia="方正小标宋简体" w:cs="Times New Roman"/>
          <w:sz w:val="40"/>
          <w:szCs w:val="40"/>
          <w:lang w:val="zh-CN"/>
        </w:rPr>
        <w:t>专项预算项目支出绩效自评报告</w:t>
      </w:r>
    </w:p>
    <w:p w14:paraId="364C77F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snapToGrid/>
        <w:spacing w:before="480" w:beforeAutospacing="0" w:after="240" w:afterAutospacing="0" w:line="240" w:lineRule="auto"/>
        <w:ind w:left="0" w:right="0" w:firstLine="0"/>
        <w:contextualSpacing w:val="0"/>
        <w:jc w:val="center"/>
        <w:textAlignment w:val="auto"/>
        <w:outlineLvl w:val="0"/>
        <w:rPr>
          <w:rFonts w:hint="eastAsia" w:ascii="方正大标宋_GBK" w:hAnsi="方正大标宋_GBK" w:eastAsia="方正大标宋_GBK" w:cs="方正大标宋_GBK"/>
          <w:b/>
          <w:i w:val="0"/>
          <w:iCs w:val="0"/>
          <w:caps w:val="0"/>
          <w:smallCaps w:val="0"/>
          <w:snapToGrid/>
          <w:vanish w:val="0"/>
          <w:color w:val="0F1115"/>
          <w:spacing w:val="0"/>
          <w:w w:val="100"/>
          <w:kern w:val="36"/>
          <w:position w:val="0"/>
          <w:sz w:val="44"/>
          <w:szCs w:val="44"/>
          <w:u w:val="none" w:color="auto"/>
          <w:shd w:val="clear" w:color="auto" w:fill="auto"/>
          <w:vertAlign w:val="baseline"/>
          <w:lang w:val="en-US" w:eastAsia="zh-CN" w:bidi="ar-SA"/>
        </w:rPr>
      </w:pPr>
      <w:bookmarkStart w:id="135" w:name="_Toc28195"/>
      <w:r>
        <w:rPr>
          <w:rFonts w:hint="default" w:ascii="Times New Roman" w:hAnsi="Times New Roman" w:eastAsia="宋体"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highlight w:val="none"/>
          <w:lang w:val="en-US" w:eastAsia="zh-CN" w:bidi="ar-SA"/>
        </w:rPr>
        <w:t>2025年清理拖欠企业欠款（市级50</w:t>
      </w:r>
      <w:r>
        <w:rPr>
          <w:rFonts w:hint="eastAsia" w:eastAsia="仿宋_GB2312" w:cs="Times New Roman"/>
          <w:color w:val="auto"/>
          <w:kern w:val="2"/>
          <w:sz w:val="32"/>
          <w:szCs w:val="32"/>
          <w:highlight w:val="none"/>
          <w:lang w:val="en-US" w:eastAsia="zh-CN" w:bidi="ar-SA"/>
        </w:rPr>
        <w:t>万元</w:t>
      </w:r>
      <w:r>
        <w:rPr>
          <w:rFonts w:hint="eastAsia" w:ascii="Times New Roman" w:hAnsi="Times New Roman" w:eastAsia="仿宋_GB2312" w:cs="Times New Roman"/>
          <w:color w:val="auto"/>
          <w:kern w:val="2"/>
          <w:sz w:val="32"/>
          <w:szCs w:val="32"/>
          <w:highlight w:val="none"/>
          <w:lang w:val="en-US" w:eastAsia="zh-CN" w:bidi="ar-SA"/>
        </w:rPr>
        <w:t>以内）</w:t>
      </w:r>
      <w:r>
        <w:rPr>
          <w:rFonts w:hint="default" w:ascii="Times New Roman" w:hAnsi="Times New Roman" w:eastAsia="宋体" w:cs="Times New Roman"/>
          <w:color w:val="auto"/>
          <w:kern w:val="2"/>
          <w:sz w:val="32"/>
          <w:szCs w:val="32"/>
          <w:lang w:val="zh-CN" w:eastAsia="zh-CN" w:bidi="ar-SA"/>
        </w:rPr>
        <w:t>）</w:t>
      </w:r>
      <w:bookmarkEnd w:id="135"/>
    </w:p>
    <w:p w14:paraId="05DC67C4">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一、项目概况</w:t>
      </w:r>
    </w:p>
    <w:p w14:paraId="478DCF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i w:val="0"/>
          <w:iCs w:val="0"/>
          <w:caps w:val="0"/>
          <w:smallCaps w:val="0"/>
          <w:snapToGrid/>
          <w:vanish w:val="0"/>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i w:val="0"/>
          <w:iCs w:val="0"/>
          <w:caps w:val="0"/>
          <w:smallCaps w:val="0"/>
          <w:snapToGrid/>
          <w:vanish w:val="0"/>
          <w:color w:val="0F1115"/>
          <w:spacing w:val="0"/>
          <w:w w:val="100"/>
          <w:kern w:val="0"/>
          <w:position w:val="0"/>
          <w:sz w:val="32"/>
          <w:szCs w:val="32"/>
          <w:u w:val="none" w:color="auto"/>
          <w:shd w:val="clear" w:color="auto" w:fill="auto"/>
          <w:vertAlign w:val="baseline"/>
          <w:lang w:val="en-US" w:eastAsia="zh-CN" w:bidi="ar-SA"/>
        </w:rPr>
        <w:t>（一）项目基本情况</w:t>
      </w:r>
    </w:p>
    <w:p w14:paraId="74016200">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firstLine="640" w:firstLineChars="200"/>
        <w:rPr>
          <w:rFonts w:ascii="Times New Roman" w:hAnsi="Times New Roman" w:eastAsia="CESI仿宋-GB2312" w:cs="Times New Roman"/>
          <w:color w:val="0F1115"/>
          <w:sz w:val="32"/>
          <w:szCs w:val="32"/>
        </w:rPr>
      </w:pPr>
      <w:r>
        <w:rPr>
          <w:rFonts w:hint="eastAsia" w:ascii="Times New Roman" w:hAnsi="Times New Roman" w:eastAsia="仿宋_GB2312" w:cs="Times New Roman"/>
          <w:sz w:val="32"/>
          <w:szCs w:val="32"/>
        </w:rPr>
        <w:t>根据</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攀枝花市自然资源和规划局关于明确</w:t>
      </w:r>
      <w:r>
        <w:rPr>
          <w:rFonts w:hint="default" w:ascii="Times New Roman" w:hAnsi="Times New Roman" w:eastAsia="仿宋_GB2312" w:cs="Times New Roman"/>
          <w:sz w:val="32"/>
          <w:szCs w:val="32"/>
          <w:lang w:val="en-US" w:eastAsia="zh-CN"/>
        </w:rPr>
        <w:t>2020</w:t>
      </w:r>
      <w:r>
        <w:rPr>
          <w:rFonts w:hint="eastAsia" w:ascii="Times New Roman" w:hAnsi="Times New Roman" w:eastAsia="仿宋_GB2312" w:cs="Times New Roman"/>
          <w:sz w:val="32"/>
          <w:szCs w:val="32"/>
          <w:lang w:val="en-US" w:eastAsia="zh-CN"/>
        </w:rPr>
        <w:t>年抓项目、抓资金目标任务的通知</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攀资源规划发</w:t>
      </w:r>
      <w:r>
        <w:rPr>
          <w:rFonts w:hint="eastAsia" w:ascii="宋体" w:hAnsi="宋体" w:eastAsia="宋体" w:cs="宋体"/>
          <w:sz w:val="32"/>
          <w:szCs w:val="32"/>
          <w:lang w:val="en-US" w:eastAsia="zh-CN"/>
        </w:rPr>
        <w:t>〔</w:t>
      </w:r>
      <w:r>
        <w:rPr>
          <w:rFonts w:hint="default" w:ascii="宋体" w:hAnsi="宋体" w:eastAsia="仿宋_GB2312" w:cs="宋体"/>
          <w:sz w:val="32"/>
          <w:szCs w:val="32"/>
          <w:lang w:val="en-US" w:eastAsia="zh-CN"/>
        </w:rPr>
        <w:t>2020</w:t>
      </w:r>
      <w:r>
        <w:rPr>
          <w:rFonts w:hint="eastAsia" w:ascii="宋体" w:hAnsi="宋体" w:eastAsia="宋体" w:cs="宋体"/>
          <w:sz w:val="32"/>
          <w:szCs w:val="32"/>
          <w:lang w:val="en-US" w:eastAsia="zh-CN"/>
        </w:rPr>
        <w:t>〕</w:t>
      </w:r>
      <w:r>
        <w:rPr>
          <w:rFonts w:hint="default" w:ascii="宋体" w:hAnsi="宋体" w:eastAsia="仿宋_GB2312" w:cs="宋体"/>
          <w:sz w:val="32"/>
          <w:szCs w:val="32"/>
          <w:lang w:val="en-US" w:eastAsia="zh-CN"/>
        </w:rPr>
        <w:t>83</w:t>
      </w:r>
      <w:r>
        <w:rPr>
          <w:rFonts w:hint="eastAsia" w:ascii="宋体" w:hAnsi="宋体" w:eastAsia="仿宋_GB2312" w:cs="宋体"/>
          <w:sz w:val="32"/>
          <w:szCs w:val="32"/>
          <w:lang w:val="en-US" w:eastAsia="zh-CN"/>
        </w:rPr>
        <w:t>号</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和市局</w:t>
      </w:r>
      <w:r>
        <w:rPr>
          <w:rFonts w:hint="default" w:ascii="Times New Roman" w:hAnsi="Times New Roman" w:eastAsia="仿宋_GB2312" w:cs="Times New Roman"/>
          <w:sz w:val="32"/>
          <w:szCs w:val="32"/>
          <w:lang w:val="en-US" w:eastAsia="zh-CN"/>
        </w:rPr>
        <w:t>2020</w:t>
      </w:r>
      <w:r>
        <w:rPr>
          <w:rFonts w:hint="eastAsia" w:ascii="Times New Roman" w:hAnsi="Times New Roman" w:eastAsia="仿宋_GB2312" w:cs="Times New Roman"/>
          <w:sz w:val="32"/>
          <w:szCs w:val="32"/>
          <w:lang w:val="en-US" w:eastAsia="zh-CN"/>
        </w:rPr>
        <w:t>年第</w:t>
      </w:r>
      <w:r>
        <w:rPr>
          <w:rFonts w:hint="default" w:ascii="Times New Roman" w:hAnsi="Times New Roman" w:eastAsia="仿宋_GB2312" w:cs="Times New Roman"/>
          <w:sz w:val="32"/>
          <w:szCs w:val="32"/>
          <w:lang w:val="en-US" w:eastAsia="zh-CN"/>
        </w:rPr>
        <w:t>18</w:t>
      </w:r>
      <w:r>
        <w:rPr>
          <w:rFonts w:hint="eastAsia" w:ascii="Times New Roman" w:hAnsi="Times New Roman" w:eastAsia="仿宋_GB2312" w:cs="Times New Roman"/>
          <w:sz w:val="32"/>
          <w:szCs w:val="32"/>
          <w:lang w:val="en-US" w:eastAsia="zh-CN"/>
        </w:rPr>
        <w:t>次党组会要求，为进一步做好东区辖区生态修复和地质灾害防治工作，分局委托四川煤田一四一建设投资有限公司以</w:t>
      </w:r>
      <w:r>
        <w:rPr>
          <w:rFonts w:hint="default" w:ascii="Times New Roman" w:hAnsi="Times New Roman" w:eastAsia="仿宋_GB2312" w:cs="Times New Roman"/>
          <w:sz w:val="32"/>
          <w:szCs w:val="32"/>
          <w:lang w:val="en-US" w:eastAsia="zh-CN"/>
        </w:rPr>
        <w:t>7</w:t>
      </w:r>
      <w:r>
        <w:rPr>
          <w:rFonts w:hint="eastAsia" w:ascii="Times New Roman" w:hAnsi="Times New Roman" w:eastAsia="仿宋_GB2312" w:cs="Times New Roman"/>
          <w:sz w:val="32"/>
          <w:szCs w:val="32"/>
          <w:lang w:val="en-US" w:eastAsia="zh-CN"/>
        </w:rPr>
        <w:t>.00万元、</w:t>
      </w:r>
      <w:r>
        <w:rPr>
          <w:rFonts w:hint="default"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lang w:val="en-US" w:eastAsia="zh-CN"/>
        </w:rPr>
        <w:t>.00万元的价格编制了《攀枝花市东区银江镇攀枝花村历史遗留废弃矿山生态修复项目实施方案》和《攀枝花市东区银江镇</w:t>
      </w:r>
      <w:r>
        <w:rPr>
          <w:rFonts w:hint="eastAsia" w:eastAsia="仿宋_GB2312" w:cs="Times New Roman"/>
          <w:sz w:val="32"/>
          <w:szCs w:val="32"/>
          <w:lang w:val="en-US" w:eastAsia="zh-CN"/>
        </w:rPr>
        <w:t>硫黄</w:t>
      </w:r>
      <w:r>
        <w:rPr>
          <w:rFonts w:hint="eastAsia" w:ascii="Times New Roman" w:hAnsi="Times New Roman" w:eastAsia="仿宋_GB2312" w:cs="Times New Roman"/>
          <w:sz w:val="32"/>
          <w:szCs w:val="32"/>
          <w:lang w:val="en-US" w:eastAsia="zh-CN"/>
        </w:rPr>
        <w:t>沟小流域地质灾害综合治理实施方案》，作业单位按时提交成果资料，并通过省厅组织的评审，完成抓项目、抓资金前期工作。</w:t>
      </w:r>
    </w:p>
    <w:p w14:paraId="770DE889">
      <w:pPr>
        <w:numPr>
          <w:ilvl w:val="0"/>
          <w:numId w:val="30"/>
        </w:num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420" w:leftChars="200" w:firstLine="0" w:firstLineChars="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项目绩效目标。</w:t>
      </w:r>
    </w:p>
    <w:p w14:paraId="21211507">
      <w:pPr>
        <w:numPr>
          <w:ilvl w:val="0"/>
          <w:numId w:val="0"/>
        </w:num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firstLine="640" w:firstLineChars="200"/>
        <w:rPr>
          <w:rFonts w:ascii="Times New Roman" w:hAnsi="Times New Roman" w:eastAsia="CESI仿宋-GB2312" w:cs="Times New Roman"/>
          <w:color w:val="0F1115"/>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完成</w:t>
      </w:r>
      <w:r>
        <w:rPr>
          <w:rFonts w:hint="eastAsia" w:ascii="Times New Roman" w:hAnsi="Times New Roman" w:eastAsia="仿宋_GB2312" w:cs="Times New Roman"/>
          <w:sz w:val="32"/>
          <w:szCs w:val="32"/>
          <w:lang w:val="en-US" w:eastAsia="zh-CN"/>
        </w:rPr>
        <w:t>《攀枝花市东区银江镇攀枝花村历史遗留废弃矿山生态修复项目实施方案》和《攀枝花市东区银江镇</w:t>
      </w:r>
      <w:r>
        <w:rPr>
          <w:rFonts w:hint="eastAsia" w:eastAsia="仿宋_GB2312" w:cs="Times New Roman"/>
          <w:sz w:val="32"/>
          <w:szCs w:val="32"/>
          <w:lang w:val="en-US" w:eastAsia="zh-CN"/>
        </w:rPr>
        <w:t>硫黄</w:t>
      </w:r>
      <w:r>
        <w:rPr>
          <w:rFonts w:hint="eastAsia" w:ascii="Times New Roman" w:hAnsi="Times New Roman" w:eastAsia="仿宋_GB2312" w:cs="Times New Roman"/>
          <w:sz w:val="32"/>
          <w:szCs w:val="32"/>
          <w:lang w:val="en-US" w:eastAsia="zh-CN"/>
        </w:rPr>
        <w:t>沟小流域地质灾害综合治理实施方案》编制，通过省自然资源厅组织的专家审查，拟争取中省级资金约</w:t>
      </w:r>
      <w:r>
        <w:rPr>
          <w:rFonts w:hint="default" w:ascii="Times New Roman" w:hAnsi="Times New Roman" w:eastAsia="仿宋_GB2312" w:cs="Times New Roman"/>
          <w:sz w:val="32"/>
          <w:szCs w:val="32"/>
          <w:lang w:val="en-US" w:eastAsia="zh-CN"/>
        </w:rPr>
        <w:t>5000</w:t>
      </w:r>
      <w:r>
        <w:rPr>
          <w:rFonts w:hint="eastAsia" w:ascii="Times New Roman" w:hAnsi="Times New Roman" w:eastAsia="仿宋_GB2312" w:cs="Times New Roman"/>
          <w:sz w:val="32"/>
          <w:szCs w:val="32"/>
          <w:lang w:val="en-US" w:eastAsia="zh-CN"/>
        </w:rPr>
        <w:t>.00万元</w:t>
      </w:r>
      <w:r>
        <w:rPr>
          <w:rFonts w:ascii="Times New Roman" w:hAnsi="Times New Roman" w:eastAsia="仿宋_GB2312" w:cs="Times New Roman"/>
          <w:b w:val="0"/>
          <w:bCs w:val="0"/>
          <w:i w:val="0"/>
          <w:iCs w:val="0"/>
          <w:caps w:val="0"/>
          <w:smallCaps w:val="0"/>
          <w:vanish w:val="0"/>
          <w:color w:val="0F1115"/>
          <w:spacing w:val="0"/>
          <w:sz w:val="32"/>
          <w:szCs w:val="32"/>
        </w:rPr>
        <w:t>；保护人民群众生命财产安全，</w:t>
      </w: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持续改善区域生态环境，</w:t>
      </w:r>
      <w:r>
        <w:rPr>
          <w:rFonts w:ascii="Times New Roman" w:hAnsi="Times New Roman" w:eastAsia="仿宋_GB2312" w:cs="Times New Roman"/>
          <w:b w:val="0"/>
          <w:bCs w:val="0"/>
          <w:i w:val="0"/>
          <w:iCs w:val="0"/>
          <w:caps w:val="0"/>
          <w:smallCaps w:val="0"/>
          <w:vanish w:val="0"/>
          <w:color w:val="0F1115"/>
          <w:spacing w:val="0"/>
          <w:sz w:val="32"/>
          <w:szCs w:val="32"/>
        </w:rPr>
        <w:t>实现可持续发展；实施区群众防灾减灾参与度≥95%，受益人群满意度≥95%；财政投资控制在</w:t>
      </w:r>
      <w:r>
        <w:rPr>
          <w:rFonts w:hint="default" w:ascii="Times New Roman" w:hAnsi="Times New Roman" w:eastAsia="仿宋_GB2312" w:cs="Times New Roman"/>
          <w:b w:val="0"/>
          <w:bCs w:val="0"/>
          <w:i w:val="0"/>
          <w:iCs w:val="0"/>
          <w:caps w:val="0"/>
          <w:smallCaps w:val="0"/>
          <w:vanish w:val="0"/>
          <w:color w:val="0F1115"/>
          <w:spacing w:val="0"/>
          <w:sz w:val="32"/>
          <w:szCs w:val="32"/>
          <w:lang w:val="en-US"/>
        </w:rPr>
        <w:t>3200</w:t>
      </w: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.00</w:t>
      </w:r>
      <w:r>
        <w:rPr>
          <w:rFonts w:ascii="Times New Roman" w:hAnsi="Times New Roman" w:eastAsia="仿宋_GB2312" w:cs="Times New Roman"/>
          <w:b w:val="0"/>
          <w:bCs w:val="0"/>
          <w:i w:val="0"/>
          <w:iCs w:val="0"/>
          <w:caps w:val="0"/>
          <w:smallCaps w:val="0"/>
          <w:vanish w:val="0"/>
          <w:color w:val="0F1115"/>
          <w:spacing w:val="0"/>
          <w:sz w:val="32"/>
          <w:szCs w:val="32"/>
        </w:rPr>
        <w:t>万元以内。</w:t>
      </w:r>
      <w:r>
        <w:rPr>
          <w:rFonts w:ascii="Times New Roman" w:hAnsi="Times New Roman" w:eastAsia="CESI仿宋-GB2312" w:cs="Times New Roman"/>
          <w:color w:val="0F1115"/>
          <w:sz w:val="32"/>
          <w:szCs w:val="32"/>
        </w:rPr>
        <w:t>项目申报内容与实际实施一致，绩效目标量化细化，可衡量、可考核，与项目内容高度匹配，目标设定合理可行。</w:t>
      </w:r>
    </w:p>
    <w:p w14:paraId="55344A9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（三）项目自评步骤及方法</w:t>
      </w:r>
    </w:p>
    <w:p w14:paraId="2B1FF1FB">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本次自评由</w:t>
      </w: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矿管股</w:t>
      </w:r>
      <w:r>
        <w:rPr>
          <w:rFonts w:ascii="Times New Roman" w:hAnsi="Times New Roman" w:eastAsia="仿宋_GB2312" w:cs="Times New Roman"/>
          <w:b w:val="0"/>
          <w:bCs w:val="0"/>
          <w:i w:val="0"/>
          <w:iCs w:val="0"/>
          <w:caps w:val="0"/>
          <w:smallCaps w:val="0"/>
          <w:vanish w:val="0"/>
          <w:color w:val="0F1115"/>
          <w:spacing w:val="0"/>
          <w:sz w:val="32"/>
          <w:szCs w:val="32"/>
        </w:rPr>
        <w:t>牵头，联合办公室、组成自评工作组，通过查阅项目合同、验收资料、支付凭证，比对事前绩效目标，结合专家初步验收意见，对项目实施情况及资金使用绩效进行综合评价。</w:t>
      </w:r>
    </w:p>
    <w:p w14:paraId="22797D9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3F1E82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（一）项目资金申报及批复情况</w:t>
      </w:r>
    </w:p>
    <w:p w14:paraId="4144943A">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ascii="Times New Roman" w:hAnsi="Times New Roman" w:eastAsia="仿宋_GB2312" w:cs="Times New Roman"/>
          <w:color w:val="0F1115"/>
          <w:sz w:val="32"/>
          <w:szCs w:val="32"/>
        </w:rPr>
        <w:t>项目总预算</w:t>
      </w:r>
      <w:r>
        <w:rPr>
          <w:rFonts w:hint="eastAsia" w:ascii="Times New Roman" w:hAnsi="Times New Roman" w:eastAsia="仿宋_GB2312" w:cs="Times New Roman"/>
          <w:color w:val="0F1115"/>
          <w:sz w:val="32"/>
          <w:szCs w:val="32"/>
          <w:lang w:val="en-US" w:eastAsia="zh-CN"/>
        </w:rPr>
        <w:t>10.00</w:t>
      </w:r>
      <w:r>
        <w:rPr>
          <w:rFonts w:ascii="Times New Roman" w:hAnsi="Times New Roman" w:eastAsia="仿宋_GB2312" w:cs="Times New Roman"/>
          <w:color w:val="0F1115"/>
          <w:sz w:val="32"/>
          <w:szCs w:val="32"/>
        </w:rPr>
        <w:t>万元，来源</w:t>
      </w:r>
      <w:r>
        <w:rPr>
          <w:rFonts w:hint="eastAsia" w:ascii="Times New Roman" w:hAnsi="Times New Roman" w:eastAsia="仿宋_GB2312" w:cs="Times New Roman"/>
          <w:color w:val="0F1115"/>
          <w:sz w:val="32"/>
          <w:szCs w:val="32"/>
          <w:lang w:eastAsia="zh-CN"/>
        </w:rPr>
        <w:t>于市财政下达的</w:t>
      </w:r>
      <w:r>
        <w:rPr>
          <w:rFonts w:hint="eastAsia" w:ascii="Times New Roman" w:hAnsi="Times New Roman" w:eastAsia="仿宋_GB2312" w:cs="Times New Roman"/>
          <w:color w:val="0F1115"/>
          <w:sz w:val="32"/>
          <w:szCs w:val="32"/>
          <w:lang w:val="en-US" w:eastAsia="zh-CN"/>
        </w:rPr>
        <w:t>2</w:t>
      </w:r>
      <w:r>
        <w:rPr>
          <w:rFonts w:hint="eastAsia" w:ascii="Times New Roman" w:hAnsi="Times New Roman" w:eastAsia="仿宋_GB2312" w:cs="Times New Roman"/>
          <w:color w:val="0F1115"/>
          <w:sz w:val="32"/>
          <w:szCs w:val="32"/>
        </w:rPr>
        <w:t>025年清理拖欠企业欠款（市级50</w:t>
      </w:r>
      <w:r>
        <w:rPr>
          <w:rFonts w:hint="eastAsia" w:eastAsia="仿宋_GB2312" w:cs="Times New Roman"/>
          <w:color w:val="0F1115"/>
          <w:sz w:val="32"/>
          <w:szCs w:val="32"/>
          <w:lang w:eastAsia="zh-CN"/>
        </w:rPr>
        <w:t>万元</w:t>
      </w:r>
      <w:r>
        <w:rPr>
          <w:rFonts w:hint="eastAsia" w:ascii="Times New Roman" w:hAnsi="Times New Roman" w:eastAsia="仿宋_GB2312" w:cs="Times New Roman"/>
          <w:color w:val="0F1115"/>
          <w:sz w:val="32"/>
          <w:szCs w:val="32"/>
        </w:rPr>
        <w:t>以内）</w:t>
      </w:r>
      <w:r>
        <w:rPr>
          <w:rFonts w:hint="eastAsia" w:ascii="Times New Roman" w:hAnsi="Times New Roman" w:eastAsia="仿宋_GB2312" w:cs="Times New Roman"/>
          <w:color w:val="0F1115"/>
          <w:sz w:val="32"/>
          <w:szCs w:val="32"/>
          <w:lang w:eastAsia="zh-CN"/>
        </w:rPr>
        <w:t>资金</w:t>
      </w:r>
      <w:r>
        <w:rPr>
          <w:rFonts w:ascii="Times New Roman" w:hAnsi="Times New Roman" w:eastAsia="仿宋_GB2312" w:cs="Times New Roman"/>
          <w:color w:val="0F1115"/>
          <w:sz w:val="32"/>
          <w:szCs w:val="32"/>
        </w:rPr>
        <w:t>。资金申报经分局党组会审议通过，并按程序报市</w:t>
      </w:r>
      <w:r>
        <w:rPr>
          <w:rFonts w:hint="eastAsia" w:eastAsia="仿宋_GB2312" w:cs="Times New Roman"/>
          <w:color w:val="0F1115"/>
          <w:sz w:val="32"/>
          <w:szCs w:val="32"/>
          <w:lang w:eastAsia="zh-CN"/>
        </w:rPr>
        <w:t>财政</w:t>
      </w:r>
      <w:r>
        <w:rPr>
          <w:rFonts w:hint="eastAsia" w:ascii="Times New Roman" w:hAnsi="Times New Roman" w:eastAsia="仿宋_GB2312" w:cs="Times New Roman"/>
          <w:color w:val="0F1115"/>
          <w:sz w:val="32"/>
          <w:szCs w:val="32"/>
          <w:lang w:val="en-US" w:eastAsia="zh-CN"/>
        </w:rPr>
        <w:t>局审核</w:t>
      </w:r>
      <w:r>
        <w:rPr>
          <w:rFonts w:ascii="Times New Roman" w:hAnsi="Times New Roman" w:eastAsia="仿宋_GB2312" w:cs="Times New Roman"/>
          <w:color w:val="0F1115"/>
          <w:sz w:val="32"/>
          <w:szCs w:val="32"/>
        </w:rPr>
        <w:t>，预算批复手续完备。</w:t>
      </w:r>
    </w:p>
    <w:p w14:paraId="3BA3CEC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（二）资金计划、到位及使用情况</w:t>
      </w:r>
    </w:p>
    <w:p w14:paraId="53E97662">
      <w:pPr>
        <w:suppressAutoHyphens/>
        <w:adjustRightInd w:val="0"/>
        <w:snapToGrid w:val="0"/>
        <w:spacing w:line="560" w:lineRule="exact"/>
        <w:ind w:firstLine="640" w:firstLineChars="200"/>
        <w:rPr>
          <w:rFonts w:hint="eastAsia" w:ascii="Times New Roman" w:hAnsi="Times New Roman" w:eastAsia="楷体_GB2312" w:cs="Times New Roman"/>
          <w:sz w:val="32"/>
          <w:szCs w:val="32"/>
          <w:lang w:val="en-US" w:eastAsia="zh-CN"/>
        </w:rPr>
      </w:pPr>
      <w:r>
        <w:rPr>
          <w:rFonts w:hint="eastAsia" w:ascii="Times New Roman" w:hAnsi="Times New Roman" w:eastAsia="楷体_GB2312" w:cs="Times New Roman"/>
          <w:sz w:val="32"/>
          <w:szCs w:val="32"/>
          <w:lang w:val="en-US" w:eastAsia="zh-CN"/>
        </w:rPr>
        <w:t>1.资金计划。</w:t>
      </w:r>
      <w:r>
        <w:rPr>
          <w:rFonts w:hint="eastAsia" w:ascii="Times New Roman" w:hAnsi="Times New Roman" w:eastAsia="仿宋_GB2312" w:cs="Times New Roman"/>
          <w:sz w:val="32"/>
          <w:szCs w:val="32"/>
          <w:lang w:val="en-US" w:eastAsia="zh-CN"/>
        </w:rPr>
        <w:t>2025年市财政批复下达资金10.00万元</w:t>
      </w:r>
      <w:r>
        <w:rPr>
          <w:rFonts w:hint="default" w:ascii="Times New Roman" w:hAnsi="Times New Roman" w:eastAsia="仿宋_GB2312" w:cs="Times New Roman"/>
          <w:sz w:val="32"/>
          <w:szCs w:val="32"/>
          <w:lang w:val="en-US" w:eastAsia="zh-CN"/>
        </w:rPr>
        <w:t>（攀财资环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73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p>
    <w:p w14:paraId="275472D6">
      <w:pPr>
        <w:suppressAutoHyphens/>
        <w:adjustRightInd w:val="0"/>
        <w:snapToGrid w:val="0"/>
        <w:spacing w:line="560" w:lineRule="exact"/>
        <w:ind w:firstLine="640" w:firstLineChars="200"/>
        <w:rPr>
          <w:rFonts w:hint="eastAsia" w:ascii="Times New Roman" w:hAnsi="Times New Roman" w:eastAsia="楷体_GB2312" w:cs="Times New Roman"/>
          <w:sz w:val="32"/>
          <w:szCs w:val="32"/>
          <w:lang w:val="en-US" w:eastAsia="zh-CN"/>
        </w:rPr>
      </w:pPr>
      <w:r>
        <w:rPr>
          <w:rFonts w:hint="eastAsia" w:ascii="Times New Roman" w:hAnsi="Times New Roman" w:eastAsia="楷体_GB2312" w:cs="Times New Roman"/>
          <w:sz w:val="32"/>
          <w:szCs w:val="32"/>
          <w:lang w:val="en-US" w:eastAsia="zh-CN"/>
        </w:rPr>
        <w:t>2.资金到位情况。</w:t>
      </w:r>
      <w:r>
        <w:rPr>
          <w:rFonts w:hint="eastAsia" w:ascii="Times New Roman" w:hAnsi="Times New Roman" w:eastAsia="仿宋_GB2312" w:cs="Times New Roman"/>
          <w:sz w:val="32"/>
          <w:szCs w:val="32"/>
          <w:lang w:val="en-US" w:eastAsia="zh-CN"/>
        </w:rPr>
        <w:t>2025年</w:t>
      </w:r>
      <w:r>
        <w:rPr>
          <w:rFonts w:hint="default" w:ascii="Times New Roman" w:hAnsi="Times New Roman" w:eastAsia="仿宋_GB2312" w:cs="Times New Roman"/>
          <w:sz w:val="32"/>
          <w:szCs w:val="32"/>
          <w:lang w:val="en-US" w:eastAsia="zh-CN"/>
        </w:rPr>
        <w:t>市财政批复下达资金1</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lang w:val="en-US" w:eastAsia="zh-CN"/>
        </w:rPr>
        <w:t>.00万元（攀财资环</w:t>
      </w:r>
      <w:r>
        <w:rPr>
          <w:rFonts w:hint="eastAsia" w:ascii="Times New Roman" w:hAnsi="Times New Roman" w:eastAsia="仿宋_GB2312" w:cs="Times New Roman"/>
          <w:sz w:val="32"/>
          <w:szCs w:val="32"/>
          <w:lang w:val="en-US" w:eastAsia="zh-CN"/>
        </w:rPr>
        <w:t>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73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最终到位1</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lang w:val="en-US" w:eastAsia="zh-CN"/>
        </w:rPr>
        <w:t>.00万元</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到位率100%，</w:t>
      </w:r>
      <w:r>
        <w:rPr>
          <w:rFonts w:hint="default" w:ascii="Times New Roman" w:hAnsi="Times New Roman" w:eastAsia="仿宋_GB2312" w:cs="Times New Roman"/>
          <w:sz w:val="32"/>
          <w:szCs w:val="32"/>
          <w:lang w:val="zh-CN"/>
        </w:rPr>
        <w:t>到位及时。</w:t>
      </w:r>
    </w:p>
    <w:p w14:paraId="2F04D3A9">
      <w:pPr>
        <w:suppressAutoHyphens/>
        <w:adjustRightInd w:val="0"/>
        <w:snapToGrid w:val="0"/>
        <w:spacing w:line="560" w:lineRule="exact"/>
        <w:ind w:firstLine="640" w:firstLineChars="200"/>
        <w:rPr>
          <w:rFonts w:hint="eastAsia" w:ascii="Times New Roman" w:hAnsi="Times New Roman" w:eastAsia="楷体_GB2312" w:cs="Times New Roman"/>
          <w:sz w:val="32"/>
          <w:szCs w:val="32"/>
          <w:lang w:val="en-US" w:eastAsia="zh-CN"/>
        </w:rPr>
      </w:pPr>
      <w:r>
        <w:rPr>
          <w:rFonts w:hint="eastAsia" w:ascii="Times New Roman" w:hAnsi="Times New Roman" w:eastAsia="楷体_GB2312" w:cs="Times New Roman"/>
          <w:sz w:val="32"/>
          <w:szCs w:val="32"/>
          <w:lang w:val="en-US" w:eastAsia="zh-CN"/>
        </w:rPr>
        <w:t>3.资金使用。</w:t>
      </w:r>
      <w:r>
        <w:rPr>
          <w:rFonts w:hint="eastAsia" w:ascii="Times New Roman" w:hAnsi="Times New Roman" w:eastAsia="仿宋_GB2312" w:cs="Times New Roman"/>
          <w:sz w:val="32"/>
          <w:szCs w:val="32"/>
          <w:lang w:val="en-US" w:eastAsia="zh-CN"/>
        </w:rPr>
        <w:t>已支付</w:t>
      </w:r>
      <w:r>
        <w:rPr>
          <w:rFonts w:hint="default"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en-US" w:eastAsia="zh-CN"/>
        </w:rPr>
        <w:t>.00万元。资金支付范围、支付标准均符合合同约定，支付依据充分（合同、发票、验收意见），未发生超预算、超范围支出。本次申请支付的各项费用均达到合同约定支付条件，支付程序合规。</w:t>
      </w:r>
    </w:p>
    <w:p w14:paraId="1A15B4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（三）项目财务管理情况</w:t>
      </w:r>
    </w:p>
    <w:p w14:paraId="15E2EE9B">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项目财务管理制度健全，实行专账核算，账务处理及时，凭证齐全，会计核算规范。资金支付严格执行审批程序，未发现挤占、挪用、虚列支出等问题。</w:t>
      </w:r>
    </w:p>
    <w:p w14:paraId="0565E1D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92E81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（一）项目组织架构及实施流程</w:t>
      </w:r>
    </w:p>
    <w:p w14:paraId="5F4D790E">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b w:val="0"/>
          <w:bCs w:val="0"/>
          <w:i w:val="0"/>
          <w:iCs w:val="0"/>
          <w:caps w:val="0"/>
          <w:smallCaps w:val="0"/>
          <w:vanish w:val="0"/>
          <w:color w:val="0F1115"/>
          <w:spacing w:val="0"/>
          <w:sz w:val="32"/>
          <w:szCs w:val="32"/>
        </w:rPr>
      </w:pPr>
      <w:r>
        <w:rPr>
          <w:rFonts w:ascii="Times New Roman" w:hAnsi="Times New Roman" w:eastAsia="仿宋_GB2312" w:cs="Times New Roman"/>
          <w:b w:val="0"/>
          <w:bCs w:val="0"/>
          <w:i w:val="0"/>
          <w:iCs w:val="0"/>
          <w:caps w:val="0"/>
          <w:smallCaps w:val="0"/>
          <w:vanish w:val="0"/>
          <w:color w:val="0F1115"/>
          <w:spacing w:val="0"/>
          <w:sz w:val="32"/>
          <w:szCs w:val="32"/>
        </w:rPr>
        <w:t>项目由</w:t>
      </w: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矿管股</w:t>
      </w:r>
      <w:r>
        <w:rPr>
          <w:rFonts w:ascii="Times New Roman" w:hAnsi="Times New Roman" w:eastAsia="仿宋_GB2312" w:cs="Times New Roman"/>
          <w:b w:val="0"/>
          <w:bCs w:val="0"/>
          <w:i w:val="0"/>
          <w:iCs w:val="0"/>
          <w:caps w:val="0"/>
          <w:smallCaps w:val="0"/>
          <w:vanish w:val="0"/>
          <w:color w:val="0F1115"/>
          <w:spacing w:val="0"/>
          <w:sz w:val="32"/>
          <w:szCs w:val="32"/>
        </w:rPr>
        <w:t>具体负责，按照流程推进</w:t>
      </w:r>
      <w:r>
        <w:rPr>
          <w:rFonts w:hint="eastAsia" w:ascii="Times New Roman" w:hAnsi="Times New Roman" w:eastAsia="仿宋_GB2312" w:cs="Times New Roman"/>
          <w:b w:val="0"/>
          <w:bCs w:val="0"/>
          <w:i w:val="0"/>
          <w:iCs w:val="0"/>
          <w:caps w:val="0"/>
          <w:smallCaps w:val="0"/>
          <w:vanish w:val="0"/>
          <w:color w:val="0F1115"/>
          <w:spacing w:val="0"/>
          <w:sz w:val="32"/>
          <w:szCs w:val="32"/>
          <w:lang w:eastAsia="zh-CN"/>
        </w:rPr>
        <w:t>，</w:t>
      </w: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程序合法</w:t>
      </w:r>
      <w:r>
        <w:rPr>
          <w:rFonts w:ascii="Times New Roman" w:hAnsi="Times New Roman" w:eastAsia="仿宋_GB2312" w:cs="Times New Roman"/>
          <w:b w:val="0"/>
          <w:bCs w:val="0"/>
          <w:i w:val="0"/>
          <w:iCs w:val="0"/>
          <w:caps w:val="0"/>
          <w:smallCaps w:val="0"/>
          <w:vanish w:val="0"/>
          <w:color w:val="0F1115"/>
          <w:spacing w:val="0"/>
          <w:sz w:val="32"/>
          <w:szCs w:val="32"/>
        </w:rPr>
        <w:t>，合同签订规范。</w:t>
      </w:r>
    </w:p>
    <w:p w14:paraId="60D48AE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（二）项目管理情况</w:t>
      </w:r>
    </w:p>
    <w:p w14:paraId="62D9A9DF">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方正楷体_GBK" w:eastAsia="仿宋_GB2312" w:cs="Times New Roman"/>
          <w:color w:val="0F1115"/>
          <w:sz w:val="32"/>
          <w:szCs w:val="32"/>
        </w:rPr>
      </w:pPr>
      <w:r>
        <w:rPr>
          <w:rFonts w:ascii="Times New Roman" w:hAnsi="Times New Roman" w:eastAsia="仿宋_GB2312" w:cs="Times New Roman"/>
          <w:color w:val="0F1115"/>
          <w:sz w:val="32"/>
          <w:szCs w:val="32"/>
        </w:rPr>
        <w:t>严格执行招投标、政府采购等相关规定，</w:t>
      </w:r>
      <w:r>
        <w:rPr>
          <w:rFonts w:hint="default" w:ascii="Times New Roman" w:hAnsi="Times New Roman" w:eastAsia="仿宋_GB2312" w:cs="Times New Roman"/>
          <w:color w:val="0F1115"/>
          <w:sz w:val="32"/>
          <w:szCs w:val="32"/>
          <w:lang w:val="en-US"/>
        </w:rPr>
        <w:t>2020</w:t>
      </w:r>
      <w:r>
        <w:rPr>
          <w:rFonts w:hint="eastAsia" w:ascii="Times New Roman" w:hAnsi="Times New Roman" w:eastAsia="仿宋_GB2312" w:cs="Times New Roman"/>
          <w:color w:val="0F1115"/>
          <w:sz w:val="32"/>
          <w:szCs w:val="32"/>
          <w:lang w:val="en-US" w:eastAsia="zh-CN"/>
        </w:rPr>
        <w:t>年通过省自然资源厅组织的专家审核</w:t>
      </w:r>
      <w:r>
        <w:rPr>
          <w:rFonts w:ascii="Times New Roman" w:hAnsi="方正楷体_GBK" w:eastAsia="仿宋_GB2312" w:cs="Times New Roman"/>
          <w:color w:val="0F1115"/>
          <w:sz w:val="32"/>
          <w:szCs w:val="32"/>
        </w:rPr>
        <w:t>。</w:t>
      </w:r>
    </w:p>
    <w:p w14:paraId="7C820C5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（三）项目监管情况</w:t>
      </w:r>
    </w:p>
    <w:p w14:paraId="607CC57E">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hint="eastAsia" w:ascii="Times New Roman" w:hAnsi="Times New Roman" w:eastAsia="仿宋_GB2312" w:cs="Times New Roman"/>
          <w:color w:val="0F1115"/>
          <w:sz w:val="32"/>
          <w:szCs w:val="32"/>
          <w:lang w:eastAsia="zh-CN"/>
        </w:rPr>
      </w:pP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矿管股通过初审、专家复核等方式全程监管</w:t>
      </w:r>
      <w:r>
        <w:rPr>
          <w:rFonts w:ascii="Times New Roman" w:hAnsi="Times New Roman" w:eastAsia="仿宋_GB2312" w:cs="Times New Roman"/>
          <w:b w:val="0"/>
          <w:bCs w:val="0"/>
          <w:i w:val="0"/>
          <w:iCs w:val="0"/>
          <w:caps w:val="0"/>
          <w:smallCaps w:val="0"/>
          <w:vanish w:val="0"/>
          <w:color w:val="0F1115"/>
          <w:spacing w:val="0"/>
          <w:sz w:val="32"/>
          <w:szCs w:val="32"/>
        </w:rPr>
        <w:t>。保护人民群众生命财产安全，</w:t>
      </w:r>
      <w:r>
        <w:rPr>
          <w:rFonts w:hint="eastAsia" w:ascii="Times New Roman" w:hAnsi="Times New Roman" w:eastAsia="仿宋_GB2312" w:cs="Times New Roman"/>
          <w:b w:val="0"/>
          <w:bCs w:val="0"/>
          <w:i w:val="0"/>
          <w:iCs w:val="0"/>
          <w:caps w:val="0"/>
          <w:smallCaps w:val="0"/>
          <w:vanish w:val="0"/>
          <w:color w:val="0F1115"/>
          <w:spacing w:val="0"/>
          <w:sz w:val="32"/>
          <w:szCs w:val="32"/>
          <w:lang w:val="en-US" w:eastAsia="zh-CN"/>
        </w:rPr>
        <w:t>持续改善区域生态环境，</w:t>
      </w:r>
      <w:r>
        <w:rPr>
          <w:rFonts w:ascii="Times New Roman" w:hAnsi="Times New Roman" w:eastAsia="仿宋_GB2312" w:cs="Times New Roman"/>
          <w:b w:val="0"/>
          <w:bCs w:val="0"/>
          <w:i w:val="0"/>
          <w:iCs w:val="0"/>
          <w:caps w:val="0"/>
          <w:smallCaps w:val="0"/>
          <w:vanish w:val="0"/>
          <w:color w:val="0F1115"/>
          <w:spacing w:val="0"/>
          <w:sz w:val="32"/>
          <w:szCs w:val="32"/>
        </w:rPr>
        <w:t>实现可持续发展；实施区群众防灾减灾参与度≥95%，受益人群满意度≥95%</w:t>
      </w:r>
      <w:r>
        <w:rPr>
          <w:rFonts w:hint="eastAsia" w:ascii="Times New Roman" w:hAnsi="Times New Roman" w:eastAsia="仿宋_GB2312" w:cs="Times New Roman"/>
          <w:b w:val="0"/>
          <w:bCs w:val="0"/>
          <w:i w:val="0"/>
          <w:iCs w:val="0"/>
          <w:caps w:val="0"/>
          <w:smallCaps w:val="0"/>
          <w:vanish w:val="0"/>
          <w:color w:val="0F1115"/>
          <w:spacing w:val="0"/>
          <w:sz w:val="32"/>
          <w:szCs w:val="32"/>
          <w:lang w:eastAsia="zh-CN"/>
        </w:rPr>
        <w:t>，</w:t>
      </w:r>
      <w:r>
        <w:rPr>
          <w:rFonts w:hint="eastAsia" w:ascii="Times New Roman" w:hAnsi="Times New Roman" w:eastAsia="仿宋_GB2312" w:cs="Times New Roman"/>
          <w:sz w:val="32"/>
          <w:szCs w:val="32"/>
          <w:lang w:val="en-US" w:eastAsia="zh-CN"/>
        </w:rPr>
        <w:t>达到预期绩效目标。</w:t>
      </w:r>
    </w:p>
    <w:p w14:paraId="0D1232B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left"/>
        <w:textAlignment w:val="auto"/>
        <w:outlineLvl w:val="9"/>
        <w:rPr>
          <w:rFonts w:ascii="Times New Roman" w:hAnsi="Times New Roman" w:eastAsia="宋体" w:cs="Times New Roman"/>
          <w:b/>
          <w:i w:val="0"/>
          <w:iCs w:val="0"/>
          <w:caps w:val="0"/>
          <w:smallCaps w:val="0"/>
          <w:snapToGrid/>
          <w:vanish w:val="0"/>
          <w:color w:val="0F1115"/>
          <w:spacing w:val="0"/>
          <w:w w:val="100"/>
          <w:kern w:val="0"/>
          <w:position w:val="0"/>
          <w:sz w:val="32"/>
          <w:szCs w:val="32"/>
          <w:u w:val="none" w:color="auto"/>
          <w:shd w:val="clear" w:color="auto" w:fill="auto"/>
          <w:vertAlign w:val="baseline"/>
          <w:lang w:val="en-US" w:eastAsia="zh-CN" w:bidi="ar-SA"/>
        </w:rPr>
      </w:pPr>
      <w:r>
        <w:rPr>
          <w:rFonts w:ascii="Times New Roman" w:hAnsi="Times New Roman" w:eastAsia="宋体" w:cs="Times New Roman"/>
          <w:b/>
          <w:i w:val="0"/>
          <w:iCs w:val="0"/>
          <w:caps w:val="0"/>
          <w:smallCaps w:val="0"/>
          <w:snapToGrid/>
          <w:vanish w:val="0"/>
          <w:color w:val="0F1115"/>
          <w:spacing w:val="0"/>
          <w:w w:val="100"/>
          <w:kern w:val="0"/>
          <w:position w:val="0"/>
          <w:sz w:val="32"/>
          <w:szCs w:val="32"/>
          <w:u w:val="none" w:color="auto"/>
          <w:shd w:val="clear" w:color="auto" w:fill="auto"/>
          <w:vertAlign w:val="baseline"/>
          <w:lang w:val="en-US" w:eastAsia="zh-CN" w:bidi="ar-SA"/>
        </w:rPr>
        <w:t>四、项目绩效情况</w:t>
      </w:r>
    </w:p>
    <w:p w14:paraId="33E985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（一）项目完成情况</w:t>
      </w:r>
      <w:r>
        <w:rPr>
          <w:rFonts w:hint="eastAsia" w:ascii="Times New Roman" w:hAnsi="Times New Roman" w:eastAsia="楷体_GB2312" w:cs="Times New Roman"/>
          <w:b/>
          <w:snapToGrid/>
          <w:color w:val="auto"/>
          <w:spacing w:val="0"/>
          <w:w w:val="100"/>
          <w:kern w:val="2"/>
          <w:position w:val="0"/>
          <w:sz w:val="32"/>
          <w:szCs w:val="32"/>
          <w:u w:val="none" w:color="auto"/>
          <w:shd w:val="clear" w:color="auto" w:fill="auto"/>
          <w:vertAlign w:val="baseline"/>
          <w:lang w:val="zh-CN" w:eastAsia="zh-CN" w:bidi="ar-SA"/>
        </w:rPr>
        <w:t>。</w:t>
      </w:r>
      <w:r>
        <w:rPr>
          <w:rFonts w:hint="eastAsia" w:ascii="楷体_GB2312" w:hAnsi="楷体_GB2312" w:eastAsia="楷体_GB2312" w:cs="楷体_GB2312"/>
          <w:b w:val="0"/>
          <w:bCs/>
          <w:snapToGrid/>
          <w:color w:val="auto"/>
          <w:spacing w:val="0"/>
          <w:w w:val="100"/>
          <w:kern w:val="0"/>
          <w:position w:val="0"/>
          <w:sz w:val="32"/>
          <w:szCs w:val="32"/>
          <w:u w:val="none" w:color="auto"/>
          <w:shd w:val="clear" w:color="auto" w:fill="auto"/>
          <w:vertAlign w:val="baseline"/>
          <w:lang w:val="en-US" w:eastAsia="zh-CN" w:bidi="ar-SA"/>
        </w:rPr>
        <w:t>（得</w:t>
      </w:r>
      <w:r>
        <w:rPr>
          <w:rFonts w:hint="default" w:ascii="Times New Roman" w:hAnsi="Times New Roman" w:eastAsia="楷体_GB2312" w:cs="Times New Roman"/>
          <w:b w:val="0"/>
          <w:bCs/>
          <w:snapToGrid/>
          <w:color w:val="auto"/>
          <w:spacing w:val="0"/>
          <w:w w:val="100"/>
          <w:kern w:val="0"/>
          <w:position w:val="0"/>
          <w:sz w:val="32"/>
          <w:szCs w:val="32"/>
          <w:u w:val="none" w:color="auto"/>
          <w:shd w:val="clear" w:color="auto" w:fill="auto"/>
          <w:vertAlign w:val="baseline"/>
          <w:lang w:val="en-US" w:eastAsia="zh-CN" w:bidi="ar-SA"/>
        </w:rPr>
        <w:t>分55分）</w:t>
      </w:r>
    </w:p>
    <w:p w14:paraId="0446A417">
      <w:pPr>
        <w:spacing w:line="578"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kern w:val="0"/>
          <w:sz w:val="32"/>
          <w:szCs w:val="32"/>
          <w:lang w:val="en-US" w:eastAsia="zh-CN"/>
        </w:rPr>
        <w:t>2025</w:t>
      </w:r>
      <w:r>
        <w:rPr>
          <w:rFonts w:hint="default" w:ascii="Times New Roman" w:hAnsi="Times New Roman" w:eastAsia="仿宋_GB2312" w:cs="Times New Roman"/>
          <w:kern w:val="0"/>
          <w:sz w:val="32"/>
          <w:szCs w:val="32"/>
          <w:lang w:val="en-US" w:eastAsia="zh-CN"/>
        </w:rPr>
        <w:t>年度预算绩效资金为</w:t>
      </w:r>
      <w:r>
        <w:rPr>
          <w:rFonts w:hint="eastAsia" w:ascii="Times New Roman" w:hAnsi="Times New Roman" w:eastAsia="仿宋_GB2312" w:cs="Times New Roman"/>
          <w:kern w:val="0"/>
          <w:sz w:val="32"/>
          <w:szCs w:val="32"/>
          <w:lang w:val="en-US" w:eastAsia="zh-CN"/>
        </w:rPr>
        <w:t>10.00</w:t>
      </w:r>
      <w:r>
        <w:rPr>
          <w:rFonts w:hint="default" w:ascii="Times New Roman" w:hAnsi="Times New Roman" w:eastAsia="仿宋_GB2312" w:cs="Times New Roman"/>
          <w:kern w:val="0"/>
          <w:sz w:val="32"/>
          <w:szCs w:val="32"/>
          <w:lang w:val="en-US" w:eastAsia="zh-CN"/>
        </w:rPr>
        <w:t>万元，支付</w:t>
      </w:r>
      <w:r>
        <w:rPr>
          <w:rFonts w:hint="eastAsia" w:ascii="Times New Roman" w:hAnsi="Times New Roman" w:eastAsia="仿宋_GB2312" w:cs="Times New Roman"/>
          <w:kern w:val="0"/>
          <w:sz w:val="32"/>
          <w:szCs w:val="32"/>
          <w:lang w:val="en-US" w:eastAsia="zh-CN"/>
        </w:rPr>
        <w:t>10.00</w:t>
      </w:r>
      <w:r>
        <w:rPr>
          <w:rFonts w:hint="default" w:ascii="Times New Roman" w:hAnsi="Times New Roman" w:eastAsia="仿宋_GB2312" w:cs="Times New Roman"/>
          <w:kern w:val="0"/>
          <w:sz w:val="32"/>
          <w:szCs w:val="32"/>
          <w:lang w:val="en-US" w:eastAsia="zh-CN"/>
        </w:rPr>
        <w:t>万元，执行率为</w:t>
      </w:r>
      <w:r>
        <w:rPr>
          <w:rFonts w:hint="eastAsia" w:ascii="Times New Roman" w:hAnsi="Times New Roman" w:eastAsia="仿宋_GB2312" w:cs="Times New Roman"/>
          <w:kern w:val="0"/>
          <w:sz w:val="32"/>
          <w:szCs w:val="32"/>
          <w:lang w:val="en-US" w:eastAsia="zh-CN"/>
        </w:rPr>
        <w:t>100</w:t>
      </w:r>
      <w:r>
        <w:rPr>
          <w:rFonts w:hint="default" w:ascii="Times New Roman" w:hAnsi="Times New Roman" w:eastAsia="仿宋_GB2312" w:cs="Times New Roman"/>
          <w:kern w:val="0"/>
          <w:sz w:val="32"/>
          <w:szCs w:val="32"/>
          <w:lang w:val="en-US" w:eastAsia="zh-CN"/>
        </w:rPr>
        <w:t>%。（10分）</w:t>
      </w:r>
    </w:p>
    <w:p w14:paraId="2696DFEE">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color w:val="0F1115"/>
          <w:sz w:val="32"/>
          <w:szCs w:val="32"/>
          <w:lang w:val="en-US" w:eastAsia="zh-CN"/>
        </w:rPr>
        <w:t>1.</w:t>
      </w:r>
      <w:r>
        <w:rPr>
          <w:rFonts w:ascii="Times New Roman" w:hAnsi="Times New Roman" w:eastAsia="仿宋_GB2312" w:cs="Times New Roman"/>
          <w:color w:val="0F1115"/>
          <w:sz w:val="32"/>
          <w:szCs w:val="32"/>
        </w:rPr>
        <w:t>数量指标：完成</w:t>
      </w:r>
      <w:r>
        <w:rPr>
          <w:rFonts w:hint="eastAsia" w:ascii="Times New Roman" w:hAnsi="Times New Roman" w:eastAsia="仿宋_GB2312" w:cs="Times New Roman"/>
          <w:color w:val="0F1115"/>
          <w:sz w:val="32"/>
          <w:szCs w:val="32"/>
          <w:lang w:val="en-US" w:eastAsia="zh-CN"/>
        </w:rPr>
        <w:t>资金申报方案</w:t>
      </w:r>
      <w:r>
        <w:rPr>
          <w:rFonts w:hint="default" w:ascii="Times New Roman" w:hAnsi="Times New Roman" w:eastAsia="仿宋_GB2312" w:cs="Times New Roman"/>
          <w:color w:val="0F1115"/>
          <w:sz w:val="32"/>
          <w:szCs w:val="32"/>
          <w:lang w:val="en-US" w:eastAsia="zh-CN"/>
        </w:rPr>
        <w:t>2</w:t>
      </w:r>
      <w:r>
        <w:rPr>
          <w:rFonts w:hint="eastAsia" w:ascii="Times New Roman" w:hAnsi="Times New Roman" w:eastAsia="仿宋_GB2312" w:cs="Times New Roman"/>
          <w:color w:val="0F1115"/>
          <w:sz w:val="32"/>
          <w:szCs w:val="32"/>
          <w:lang w:val="en-US" w:eastAsia="zh-CN"/>
        </w:rPr>
        <w:t>个编制</w:t>
      </w:r>
      <w:r>
        <w:rPr>
          <w:rFonts w:ascii="Times New Roman" w:hAnsi="Times New Roman" w:eastAsia="仿宋_GB2312" w:cs="Times New Roman"/>
          <w:color w:val="0F1115"/>
          <w:sz w:val="32"/>
          <w:szCs w:val="32"/>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20</w:t>
      </w:r>
      <w:r>
        <w:rPr>
          <w:rFonts w:hint="default" w:ascii="Times New Roman" w:hAnsi="Times New Roman" w:eastAsia="仿宋_GB2312" w:cs="Times New Roman"/>
          <w:kern w:val="0"/>
          <w:sz w:val="32"/>
          <w:szCs w:val="32"/>
          <w:lang w:val="en-US" w:eastAsia="zh-CN"/>
        </w:rPr>
        <w:t>分）</w:t>
      </w:r>
    </w:p>
    <w:p w14:paraId="4C5579DC">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color w:val="0F1115"/>
          <w:sz w:val="32"/>
          <w:szCs w:val="32"/>
          <w:lang w:val="en-US" w:eastAsia="zh-CN"/>
        </w:rPr>
        <w:t>2.</w:t>
      </w:r>
      <w:r>
        <w:rPr>
          <w:rFonts w:ascii="Times New Roman" w:hAnsi="Times New Roman" w:eastAsia="仿宋_GB2312" w:cs="Times New Roman"/>
          <w:color w:val="0F1115"/>
          <w:sz w:val="32"/>
          <w:szCs w:val="32"/>
        </w:rPr>
        <w:t>质量指标：</w:t>
      </w:r>
      <w:r>
        <w:rPr>
          <w:rFonts w:hint="eastAsia" w:ascii="Times New Roman" w:hAnsi="Times New Roman" w:eastAsia="仿宋_GB2312" w:cs="Times New Roman"/>
          <w:color w:val="0F1115"/>
          <w:sz w:val="32"/>
          <w:szCs w:val="32"/>
          <w:lang w:val="en-US" w:eastAsia="zh-CN"/>
        </w:rPr>
        <w:t>通过专家审查，</w:t>
      </w:r>
      <w:r>
        <w:rPr>
          <w:rFonts w:ascii="Times New Roman" w:hAnsi="Times New Roman" w:eastAsia="仿宋_GB2312" w:cs="Times New Roman"/>
          <w:sz w:val="32"/>
          <w:szCs w:val="32"/>
          <w:lang w:val="zh-CN"/>
        </w:rPr>
        <w:t>质量合格</w:t>
      </w:r>
      <w:r>
        <w:rPr>
          <w:rFonts w:ascii="Times New Roman" w:hAnsi="Times New Roman" w:eastAsia="仿宋_GB2312" w:cs="Times New Roman"/>
          <w:color w:val="0F1115"/>
          <w:sz w:val="32"/>
          <w:szCs w:val="32"/>
        </w:rPr>
        <w:t>。</w:t>
      </w:r>
      <w:r>
        <w:rPr>
          <w:rFonts w:hint="default" w:ascii="Times New Roman" w:hAnsi="Times New Roman" w:eastAsia="仿宋_GB2312" w:cs="Times New Roman"/>
          <w:kern w:val="0"/>
          <w:sz w:val="32"/>
          <w:szCs w:val="32"/>
          <w:lang w:val="en-US" w:eastAsia="zh-CN"/>
        </w:rPr>
        <w:t>（9分）</w:t>
      </w:r>
    </w:p>
    <w:p w14:paraId="2C41241E">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color w:val="0F1115"/>
          <w:sz w:val="32"/>
          <w:szCs w:val="32"/>
          <w:lang w:val="en-US" w:eastAsia="zh-CN"/>
        </w:rPr>
        <w:t>3.</w:t>
      </w:r>
      <w:r>
        <w:rPr>
          <w:rFonts w:ascii="Times New Roman" w:hAnsi="Times New Roman" w:eastAsia="仿宋_GB2312" w:cs="Times New Roman"/>
          <w:color w:val="0F1115"/>
          <w:sz w:val="32"/>
          <w:szCs w:val="32"/>
        </w:rPr>
        <w:t>时效指标：项目于202</w:t>
      </w:r>
      <w:r>
        <w:rPr>
          <w:rFonts w:hint="default" w:ascii="Times New Roman" w:hAnsi="Times New Roman" w:eastAsia="仿宋_GB2312" w:cs="Times New Roman"/>
          <w:color w:val="0F1115"/>
          <w:sz w:val="32"/>
          <w:szCs w:val="32"/>
          <w:lang w:val="en-US"/>
        </w:rPr>
        <w:t>0</w:t>
      </w:r>
      <w:r>
        <w:rPr>
          <w:rFonts w:ascii="Times New Roman" w:hAnsi="Times New Roman" w:eastAsia="仿宋_GB2312" w:cs="Times New Roman"/>
          <w:color w:val="0F1115"/>
          <w:sz w:val="32"/>
          <w:szCs w:val="32"/>
        </w:rPr>
        <w:t>年</w:t>
      </w:r>
      <w:r>
        <w:rPr>
          <w:rFonts w:hint="default" w:ascii="Times New Roman" w:hAnsi="Times New Roman" w:eastAsia="仿宋_GB2312" w:cs="Times New Roman"/>
          <w:color w:val="0F1115"/>
          <w:sz w:val="32"/>
          <w:szCs w:val="32"/>
          <w:lang w:val="en-US"/>
        </w:rPr>
        <w:t>5</w:t>
      </w:r>
      <w:r>
        <w:rPr>
          <w:rFonts w:ascii="Times New Roman" w:hAnsi="Times New Roman" w:eastAsia="仿宋_GB2312" w:cs="Times New Roman"/>
          <w:color w:val="0F1115"/>
          <w:sz w:val="32"/>
          <w:szCs w:val="32"/>
        </w:rPr>
        <w:t>月开工，20</w:t>
      </w:r>
      <w:r>
        <w:rPr>
          <w:rFonts w:hint="default" w:ascii="Times New Roman" w:hAnsi="Times New Roman" w:eastAsia="仿宋_GB2312" w:cs="Times New Roman"/>
          <w:color w:val="0F1115"/>
          <w:sz w:val="32"/>
          <w:szCs w:val="32"/>
          <w:lang w:val="en-US"/>
        </w:rPr>
        <w:t>20</w:t>
      </w:r>
      <w:r>
        <w:rPr>
          <w:rFonts w:ascii="Times New Roman" w:hAnsi="Times New Roman" w:eastAsia="仿宋_GB2312" w:cs="Times New Roman"/>
          <w:color w:val="0F1115"/>
          <w:sz w:val="32"/>
          <w:szCs w:val="32"/>
        </w:rPr>
        <w:t>年12月完工。</w:t>
      </w:r>
      <w:r>
        <w:rPr>
          <w:rFonts w:hint="default" w:ascii="Times New Roman" w:hAnsi="Times New Roman" w:eastAsia="仿宋_GB2312" w:cs="Times New Roman"/>
          <w:kern w:val="0"/>
          <w:sz w:val="32"/>
          <w:szCs w:val="32"/>
          <w:lang w:val="en-US" w:eastAsia="zh-CN"/>
        </w:rPr>
        <w:t>（8分）</w:t>
      </w:r>
    </w:p>
    <w:p w14:paraId="67FC2B8F">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color w:val="0F1115"/>
          <w:sz w:val="32"/>
          <w:szCs w:val="32"/>
          <w:lang w:val="en-US" w:eastAsia="zh-CN"/>
        </w:rPr>
        <w:t>4.</w:t>
      </w:r>
      <w:r>
        <w:rPr>
          <w:rFonts w:ascii="Times New Roman" w:hAnsi="Times New Roman" w:eastAsia="仿宋_GB2312" w:cs="Times New Roman"/>
          <w:color w:val="0F1115"/>
          <w:sz w:val="32"/>
          <w:szCs w:val="32"/>
        </w:rPr>
        <w:t>成本指标：合同金额</w:t>
      </w:r>
      <w:r>
        <w:rPr>
          <w:rFonts w:hint="default" w:ascii="Times New Roman" w:hAnsi="Times New Roman" w:eastAsia="仿宋_GB2312" w:cs="Times New Roman"/>
          <w:color w:val="0F1115"/>
          <w:sz w:val="32"/>
          <w:szCs w:val="32"/>
          <w:lang w:val="en-US"/>
        </w:rPr>
        <w:t>10</w:t>
      </w:r>
      <w:r>
        <w:rPr>
          <w:rFonts w:hint="eastAsia" w:ascii="Times New Roman" w:hAnsi="Times New Roman" w:eastAsia="仿宋_GB2312" w:cs="Times New Roman"/>
          <w:color w:val="0F1115"/>
          <w:sz w:val="32"/>
          <w:szCs w:val="32"/>
          <w:lang w:val="en-US" w:eastAsia="zh-CN"/>
        </w:rPr>
        <w:t>.00</w:t>
      </w:r>
      <w:r>
        <w:rPr>
          <w:rFonts w:ascii="Times New Roman" w:hAnsi="Times New Roman" w:eastAsia="仿宋_GB2312" w:cs="Times New Roman"/>
          <w:color w:val="0F1115"/>
          <w:sz w:val="32"/>
          <w:szCs w:val="32"/>
        </w:rPr>
        <w:t>万元，目前实际支出及已申请支付合计</w:t>
      </w:r>
      <w:r>
        <w:rPr>
          <w:rFonts w:hint="default" w:ascii="Times New Roman" w:hAnsi="Times New Roman" w:eastAsia="仿宋_GB2312" w:cs="Times New Roman"/>
          <w:color w:val="0F1115"/>
          <w:sz w:val="32"/>
          <w:szCs w:val="32"/>
          <w:lang w:val="en-US"/>
        </w:rPr>
        <w:t>10</w:t>
      </w:r>
      <w:r>
        <w:rPr>
          <w:rFonts w:hint="eastAsia" w:ascii="Times New Roman" w:hAnsi="Times New Roman" w:eastAsia="仿宋_GB2312" w:cs="Times New Roman"/>
          <w:color w:val="0F1115"/>
          <w:sz w:val="32"/>
          <w:szCs w:val="32"/>
          <w:lang w:val="en-US" w:eastAsia="zh-CN"/>
        </w:rPr>
        <w:t>.00</w:t>
      </w:r>
      <w:r>
        <w:rPr>
          <w:rFonts w:ascii="Times New Roman" w:hAnsi="Times New Roman" w:eastAsia="仿宋_GB2312" w:cs="Times New Roman"/>
          <w:color w:val="0F1115"/>
          <w:sz w:val="32"/>
          <w:szCs w:val="32"/>
        </w:rPr>
        <w:t>万元，未超预算。</w:t>
      </w:r>
      <w:r>
        <w:rPr>
          <w:rFonts w:hint="default" w:ascii="Times New Roman" w:hAnsi="Times New Roman" w:eastAsia="仿宋_GB2312" w:cs="Times New Roman"/>
          <w:kern w:val="0"/>
          <w:sz w:val="32"/>
          <w:szCs w:val="32"/>
          <w:lang w:val="en-US" w:eastAsia="zh-CN"/>
        </w:rPr>
        <w:t>（8分）</w:t>
      </w:r>
    </w:p>
    <w:p w14:paraId="588F75E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（二）项目效益情况</w:t>
      </w:r>
      <w:r>
        <w:rPr>
          <w:rFonts w:hint="eastAsia" w:ascii="Times New Roman" w:hAnsi="Times New Roman" w:eastAsia="楷体_GB2312" w:cs="Times New Roman"/>
          <w:b/>
          <w:snapToGrid/>
          <w:color w:val="auto"/>
          <w:spacing w:val="0"/>
          <w:w w:val="100"/>
          <w:kern w:val="2"/>
          <w:position w:val="0"/>
          <w:sz w:val="32"/>
          <w:szCs w:val="32"/>
          <w:u w:val="none" w:color="auto"/>
          <w:shd w:val="clear" w:color="auto" w:fill="auto"/>
          <w:vertAlign w:val="baseline"/>
          <w:lang w:val="zh-CN" w:eastAsia="zh-CN" w:bidi="ar-SA"/>
        </w:rPr>
        <w:t>。</w:t>
      </w:r>
      <w:r>
        <w:rPr>
          <w:rFonts w:hint="eastAsia" w:ascii="楷体_GB2312" w:hAnsi="楷体_GB2312" w:eastAsia="楷体_GB2312" w:cs="楷体_GB2312"/>
          <w:b w:val="0"/>
          <w:bCs/>
          <w:snapToGrid/>
          <w:color w:val="auto"/>
          <w:spacing w:val="0"/>
          <w:w w:val="100"/>
          <w:kern w:val="0"/>
          <w:position w:val="0"/>
          <w:sz w:val="32"/>
          <w:szCs w:val="32"/>
          <w:u w:val="none" w:color="auto"/>
          <w:shd w:val="clear" w:color="auto" w:fill="auto"/>
          <w:vertAlign w:val="baseline"/>
          <w:lang w:val="en-US" w:eastAsia="zh-CN" w:bidi="ar-SA"/>
        </w:rPr>
        <w:t>（得</w:t>
      </w:r>
      <w:r>
        <w:rPr>
          <w:rFonts w:hint="default" w:ascii="Times New Roman" w:hAnsi="Times New Roman" w:eastAsia="楷体_GB2312" w:cs="Times New Roman"/>
          <w:b w:val="0"/>
          <w:bCs/>
          <w:snapToGrid/>
          <w:color w:val="auto"/>
          <w:spacing w:val="0"/>
          <w:w w:val="100"/>
          <w:kern w:val="0"/>
          <w:position w:val="0"/>
          <w:sz w:val="32"/>
          <w:szCs w:val="32"/>
          <w:u w:val="none" w:color="auto"/>
          <w:shd w:val="clear" w:color="auto" w:fill="auto"/>
          <w:vertAlign w:val="baseline"/>
          <w:lang w:val="en-US" w:eastAsia="zh-CN" w:bidi="ar-SA"/>
        </w:rPr>
        <w:t>分</w:t>
      </w:r>
      <w:r>
        <w:rPr>
          <w:rFonts w:hint="eastAsia" w:ascii="Times New Roman" w:hAnsi="Times New Roman" w:eastAsia="楷体_GB2312" w:cs="Times New Roman"/>
          <w:b w:val="0"/>
          <w:bCs/>
          <w:snapToGrid/>
          <w:color w:val="auto"/>
          <w:spacing w:val="0"/>
          <w:w w:val="100"/>
          <w:kern w:val="0"/>
          <w:position w:val="0"/>
          <w:sz w:val="32"/>
          <w:szCs w:val="32"/>
          <w:u w:val="none" w:color="auto"/>
          <w:shd w:val="clear" w:color="auto" w:fill="auto"/>
          <w:vertAlign w:val="baseline"/>
          <w:lang w:val="en-US" w:eastAsia="zh-CN" w:bidi="ar-SA"/>
        </w:rPr>
        <w:t>4</w:t>
      </w:r>
      <w:r>
        <w:rPr>
          <w:rFonts w:hint="default" w:ascii="Times New Roman" w:hAnsi="Times New Roman" w:eastAsia="楷体_GB2312" w:cs="Times New Roman"/>
          <w:b w:val="0"/>
          <w:bCs/>
          <w:snapToGrid/>
          <w:color w:val="auto"/>
          <w:spacing w:val="0"/>
          <w:w w:val="100"/>
          <w:kern w:val="0"/>
          <w:position w:val="0"/>
          <w:sz w:val="32"/>
          <w:szCs w:val="32"/>
          <w:u w:val="none" w:color="auto"/>
          <w:shd w:val="clear" w:color="auto" w:fill="auto"/>
          <w:vertAlign w:val="baseline"/>
          <w:lang w:val="en-US" w:eastAsia="zh-CN" w:bidi="ar-SA"/>
        </w:rPr>
        <w:t>5分）</w:t>
      </w:r>
    </w:p>
    <w:p w14:paraId="4D1297DD">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color w:val="0F1115"/>
          <w:sz w:val="32"/>
          <w:szCs w:val="32"/>
          <w:lang w:val="en-US" w:eastAsia="zh-CN"/>
        </w:rPr>
        <w:t>1.</w:t>
      </w:r>
      <w:r>
        <w:rPr>
          <w:rFonts w:ascii="Times New Roman" w:hAnsi="Times New Roman" w:eastAsia="仿宋_GB2312" w:cs="Times New Roman"/>
          <w:color w:val="0F1115"/>
          <w:sz w:val="32"/>
          <w:szCs w:val="32"/>
        </w:rPr>
        <w:t>社会效益</w:t>
      </w:r>
      <w:r>
        <w:rPr>
          <w:rFonts w:hint="default" w:ascii="Times New Roman" w:hAnsi="Times New Roman" w:eastAsia="仿宋_GB2312" w:cs="Times New Roman"/>
          <w:kern w:val="0"/>
          <w:sz w:val="32"/>
          <w:szCs w:val="32"/>
          <w:lang w:val="en-US" w:eastAsia="zh-CN"/>
        </w:rPr>
        <w:t>指标</w:t>
      </w:r>
      <w:r>
        <w:rPr>
          <w:rFonts w:ascii="Times New Roman" w:hAnsi="Times New Roman" w:eastAsia="仿宋_GB2312" w:cs="Times New Roman"/>
          <w:color w:val="0F1115"/>
          <w:sz w:val="32"/>
          <w:szCs w:val="32"/>
        </w:rPr>
        <w:t>：</w:t>
      </w:r>
      <w:r>
        <w:rPr>
          <w:rFonts w:hint="eastAsia" w:ascii="Times New Roman" w:hAnsi="Times New Roman" w:eastAsia="仿宋_GB2312" w:cs="Times New Roman"/>
          <w:color w:val="0F1115"/>
          <w:sz w:val="32"/>
          <w:szCs w:val="32"/>
          <w:lang w:val="en-US" w:eastAsia="zh-CN"/>
        </w:rPr>
        <w:t>方案编制后，拟争取中省级资金支持，为改善区域生态环境，保护威胁区内群众生命财产安全提供了一定基础和保障</w:t>
      </w:r>
      <w:r>
        <w:rPr>
          <w:rFonts w:ascii="Times New Roman" w:hAnsi="Times New Roman" w:eastAsia="仿宋_GB2312" w:cs="Times New Roman"/>
          <w:color w:val="0F1115"/>
          <w:sz w:val="32"/>
          <w:szCs w:val="32"/>
        </w:rPr>
        <w:t>，显著提升区域安全感。</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15</w:t>
      </w:r>
      <w:r>
        <w:rPr>
          <w:rFonts w:hint="default" w:ascii="Times New Roman" w:hAnsi="Times New Roman" w:eastAsia="仿宋_GB2312" w:cs="Times New Roman"/>
          <w:kern w:val="0"/>
          <w:sz w:val="32"/>
          <w:szCs w:val="32"/>
          <w:lang w:val="en-US" w:eastAsia="zh-CN"/>
        </w:rPr>
        <w:t>分）</w:t>
      </w:r>
    </w:p>
    <w:p w14:paraId="241DEC5A">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color w:val="0F1115"/>
          <w:sz w:val="32"/>
          <w:szCs w:val="32"/>
          <w:lang w:val="en-US" w:eastAsia="zh-CN"/>
        </w:rPr>
        <w:t>2.</w:t>
      </w:r>
      <w:r>
        <w:rPr>
          <w:rFonts w:ascii="Times New Roman" w:hAnsi="Times New Roman" w:eastAsia="仿宋_GB2312" w:cs="Times New Roman"/>
          <w:color w:val="0F1115"/>
          <w:sz w:val="32"/>
          <w:szCs w:val="32"/>
        </w:rPr>
        <w:t>生态效益</w:t>
      </w:r>
      <w:r>
        <w:rPr>
          <w:rFonts w:hint="default" w:ascii="Times New Roman" w:hAnsi="Times New Roman" w:eastAsia="仿宋_GB2312" w:cs="Times New Roman"/>
          <w:kern w:val="0"/>
          <w:sz w:val="32"/>
          <w:szCs w:val="32"/>
          <w:lang w:val="en-US" w:eastAsia="zh-CN"/>
        </w:rPr>
        <w:t>指标</w:t>
      </w:r>
      <w:r>
        <w:rPr>
          <w:rFonts w:ascii="Times New Roman" w:hAnsi="Times New Roman" w:eastAsia="仿宋_GB2312" w:cs="Times New Roman"/>
          <w:color w:val="0F1115"/>
          <w:sz w:val="32"/>
          <w:szCs w:val="32"/>
        </w:rPr>
        <w:t>：采用植生袋绿化等措施，恢复植被，减少水土流失，改善人居环境。</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10</w:t>
      </w:r>
      <w:r>
        <w:rPr>
          <w:rFonts w:hint="default" w:ascii="Times New Roman" w:hAnsi="Times New Roman" w:eastAsia="仿宋_GB2312" w:cs="Times New Roman"/>
          <w:kern w:val="0"/>
          <w:sz w:val="32"/>
          <w:szCs w:val="32"/>
          <w:lang w:val="en-US" w:eastAsia="zh-CN"/>
        </w:rPr>
        <w:t>分）</w:t>
      </w:r>
    </w:p>
    <w:p w14:paraId="431705B7">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ascii="Times New Roman" w:hAnsi="Times New Roman" w:eastAsia="仿宋_GB2312" w:cs="Times New Roman"/>
          <w:color w:val="0F1115"/>
          <w:sz w:val="32"/>
          <w:szCs w:val="32"/>
          <w:lang w:val="en-US" w:eastAsia="zh-CN"/>
        </w:rPr>
        <w:t>3.</w:t>
      </w:r>
      <w:r>
        <w:rPr>
          <w:rFonts w:ascii="Times New Roman" w:hAnsi="Times New Roman" w:eastAsia="仿宋_GB2312" w:cs="Times New Roman"/>
          <w:color w:val="0F1115"/>
          <w:sz w:val="32"/>
          <w:szCs w:val="32"/>
        </w:rPr>
        <w:t>可持续效益</w:t>
      </w:r>
      <w:r>
        <w:rPr>
          <w:rFonts w:hint="eastAsia" w:ascii="Times New Roman" w:hAnsi="Times New Roman" w:eastAsia="仿宋_GB2312" w:cs="Times New Roman"/>
          <w:color w:val="0F1115"/>
          <w:sz w:val="32"/>
          <w:szCs w:val="32"/>
          <w:lang w:eastAsia="zh-CN"/>
        </w:rPr>
        <w:t>指标</w:t>
      </w:r>
      <w:r>
        <w:rPr>
          <w:rFonts w:ascii="Times New Roman" w:hAnsi="Times New Roman" w:eastAsia="仿宋_GB2312" w:cs="Times New Roman"/>
          <w:color w:val="0F1115"/>
          <w:sz w:val="32"/>
          <w:szCs w:val="32"/>
        </w:rPr>
        <w:t>：治理工程耐久性良好，后续维护成本低，为长期防灾减灾奠定基础。</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02ADFA2B">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color w:val="0F1115"/>
          <w:sz w:val="32"/>
          <w:szCs w:val="32"/>
          <w:lang w:val="en-US" w:eastAsia="zh-CN"/>
        </w:rPr>
        <w:t>4.</w:t>
      </w:r>
      <w:r>
        <w:rPr>
          <w:rFonts w:ascii="Times New Roman" w:hAnsi="Times New Roman" w:eastAsia="仿宋_GB2312" w:cs="Times New Roman"/>
          <w:color w:val="0F1115"/>
          <w:sz w:val="32"/>
          <w:szCs w:val="32"/>
        </w:rPr>
        <w:t>服务对象满意度</w:t>
      </w:r>
      <w:r>
        <w:rPr>
          <w:rFonts w:hint="default" w:ascii="Times New Roman" w:hAnsi="Times New Roman" w:eastAsia="仿宋_GB2312" w:cs="Times New Roman"/>
          <w:kern w:val="0"/>
          <w:sz w:val="32"/>
          <w:szCs w:val="32"/>
          <w:lang w:val="en-US" w:eastAsia="zh-CN"/>
        </w:rPr>
        <w:t>指标</w:t>
      </w:r>
      <w:r>
        <w:rPr>
          <w:rFonts w:ascii="Times New Roman" w:hAnsi="Times New Roman" w:eastAsia="仿宋_GB2312" w:cs="Times New Roman"/>
          <w:color w:val="0F1115"/>
          <w:sz w:val="32"/>
          <w:szCs w:val="32"/>
        </w:rPr>
        <w:t>：初步验收期间征询社区及居民意见，群众对治理效果及施工影响控制表示满意，满意度达98%以上。</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0分）</w:t>
      </w:r>
    </w:p>
    <w:p w14:paraId="695D002E">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lang w:val="en-US" w:eastAsia="zh-CN"/>
        </w:rPr>
        <w:t>通过本项目的实施，按时、按质、按量完成了绩效目标，取得了良好的社会效益和经济效益，群众满意度高，目标完成情况为优，个性指标得分100分。</w:t>
      </w:r>
    </w:p>
    <w:p w14:paraId="1652C2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left"/>
        <w:textAlignment w:val="auto"/>
        <w:outlineLvl w:val="9"/>
        <w:rPr>
          <w:rFonts w:ascii="Times New Roman" w:hAnsi="Times New Roman" w:eastAsia="宋体" w:cs="Times New Roman"/>
          <w:b/>
          <w:i w:val="0"/>
          <w:iCs w:val="0"/>
          <w:caps w:val="0"/>
          <w:smallCaps w:val="0"/>
          <w:snapToGrid/>
          <w:vanish w:val="0"/>
          <w:color w:val="0F1115"/>
          <w:spacing w:val="0"/>
          <w:w w:val="100"/>
          <w:kern w:val="0"/>
          <w:position w:val="0"/>
          <w:sz w:val="32"/>
          <w:szCs w:val="32"/>
          <w:u w:val="none" w:color="auto"/>
          <w:shd w:val="clear" w:color="auto" w:fill="auto"/>
          <w:vertAlign w:val="baseline"/>
          <w:lang w:val="en-US" w:eastAsia="zh-CN" w:bidi="ar-SA"/>
        </w:rPr>
      </w:pPr>
      <w:r>
        <w:rPr>
          <w:rFonts w:ascii="Times New Roman" w:hAnsi="Times New Roman" w:eastAsia="宋体" w:cs="Times New Roman"/>
          <w:b/>
          <w:i w:val="0"/>
          <w:iCs w:val="0"/>
          <w:caps w:val="0"/>
          <w:smallCaps w:val="0"/>
          <w:snapToGrid/>
          <w:vanish w:val="0"/>
          <w:color w:val="0F1115"/>
          <w:spacing w:val="0"/>
          <w:w w:val="100"/>
          <w:kern w:val="0"/>
          <w:position w:val="0"/>
          <w:sz w:val="32"/>
          <w:szCs w:val="32"/>
          <w:u w:val="none" w:color="auto"/>
          <w:shd w:val="clear" w:color="auto" w:fill="auto"/>
          <w:vertAlign w:val="baseline"/>
          <w:lang w:val="en-US" w:eastAsia="zh-CN" w:bidi="ar-SA"/>
        </w:rPr>
        <w:t>五、评价结论及建议</w:t>
      </w:r>
    </w:p>
    <w:p w14:paraId="06901B0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（一）评价结论</w:t>
      </w:r>
    </w:p>
    <w:p w14:paraId="78DCE62D">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ascii="Times New Roman" w:hAnsi="方正楷体_GBK" w:eastAsia="仿宋_GB2312" w:cs="Times New Roman"/>
          <w:color w:val="0F1115"/>
          <w:sz w:val="32"/>
          <w:szCs w:val="32"/>
        </w:rPr>
        <w:t>经综合评价，</w:t>
      </w:r>
      <w:r>
        <w:rPr>
          <w:rFonts w:hint="eastAsia" w:ascii="Times New Roman" w:hAnsi="方正楷体_GBK" w:eastAsia="仿宋_GB2312" w:cs="Times New Roman"/>
          <w:color w:val="0F1115"/>
          <w:sz w:val="32"/>
          <w:szCs w:val="32"/>
          <w:lang w:val="en-US" w:eastAsia="zh-CN"/>
        </w:rPr>
        <w:t>该项目实施依据</w:t>
      </w:r>
      <w:r>
        <w:rPr>
          <w:rFonts w:ascii="Times New Roman" w:hAnsi="Times New Roman" w:eastAsia="仿宋_GB2312" w:cs="Times New Roman"/>
          <w:color w:val="0F1115"/>
          <w:sz w:val="32"/>
          <w:szCs w:val="32"/>
        </w:rPr>
        <w:t>充分，实施过程规范，工程质量合格，资金使用合规，绩效目标完成情况良好，社会效益显著。对照事前绩效评估设定的目标，项目已基本达到预期效果，综合评价等级为“优”。</w:t>
      </w:r>
    </w:p>
    <w:p w14:paraId="7AA309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（二）存在的问题</w:t>
      </w:r>
    </w:p>
    <w:p w14:paraId="4F601B93">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ascii="Times New Roman" w:hAnsi="Times New Roman" w:eastAsia="仿宋_GB2312" w:cs="Times New Roman"/>
          <w:color w:val="0F1115"/>
          <w:sz w:val="32"/>
          <w:szCs w:val="32"/>
        </w:rPr>
        <w:t>资金支付审批流程环节较多，支付及时性有待进一步提升。</w:t>
      </w:r>
    </w:p>
    <w:p w14:paraId="024427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contextualSpacing w:val="0"/>
        <w:jc w:val="both"/>
        <w:textAlignment w:val="auto"/>
        <w:outlineLvl w:val="9"/>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pPr>
      <w:r>
        <w:rPr>
          <w:rFonts w:hint="eastAsia" w:ascii="方正楷体_GBK" w:hAnsi="方正楷体_GBK" w:eastAsia="方正楷体_GBK" w:cs="方正楷体_GBK"/>
          <w:b/>
          <w:snapToGrid/>
          <w:color w:val="0F1115"/>
          <w:spacing w:val="0"/>
          <w:w w:val="100"/>
          <w:kern w:val="0"/>
          <w:position w:val="0"/>
          <w:sz w:val="32"/>
          <w:szCs w:val="32"/>
          <w:u w:val="none" w:color="auto"/>
          <w:shd w:val="clear" w:color="auto" w:fill="auto"/>
          <w:vertAlign w:val="baseline"/>
          <w:lang w:val="en-US" w:eastAsia="zh-CN" w:bidi="ar-SA"/>
        </w:rPr>
        <w:t>（三）相关建议</w:t>
      </w:r>
    </w:p>
    <w:p w14:paraId="41ECE5F6">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eastAsia="仿宋_GB2312" w:cs="Times New Roman"/>
          <w:color w:val="0F1115"/>
          <w:sz w:val="32"/>
          <w:szCs w:val="32"/>
          <w:lang w:eastAsia="zh-CN"/>
        </w:rPr>
        <w:t>1.</w:t>
      </w:r>
      <w:r>
        <w:rPr>
          <w:rFonts w:ascii="Times New Roman" w:hAnsi="Times New Roman" w:eastAsia="仿宋_GB2312" w:cs="Times New Roman"/>
          <w:color w:val="0F1115"/>
          <w:sz w:val="32"/>
          <w:szCs w:val="32"/>
        </w:rPr>
        <w:t>建议后续项目在编制进度计划时，充分考虑不利天气因素，预留合理工期；</w:t>
      </w:r>
    </w:p>
    <w:p w14:paraId="7BCFEE30">
      <w:pPr>
        <w:pBdr>
          <w:top w:val="none" w:color="auto" w:sz="0" w:space="0"/>
          <w:left w:val="none" w:color="auto" w:sz="0" w:space="0"/>
          <w:bottom w:val="none" w:color="auto" w:sz="0" w:space="0"/>
          <w:right w:val="none" w:color="auto" w:sz="0" w:space="0"/>
        </w:pBdr>
        <w:shd w:val="clear" w:color="auto" w:fill="FFFFFF"/>
        <w:adjustRightInd w:val="0"/>
        <w:snapToGrid w:val="0"/>
        <w:spacing w:beforeAutospacing="0" w:afterAutospacing="0" w:line="560" w:lineRule="exact"/>
        <w:ind w:left="0" w:firstLine="640" w:firstLineChars="200"/>
        <w:rPr>
          <w:rFonts w:ascii="Times New Roman" w:hAnsi="Times New Roman" w:eastAsia="仿宋_GB2312" w:cs="Times New Roman"/>
          <w:color w:val="0F1115"/>
          <w:sz w:val="32"/>
          <w:szCs w:val="32"/>
        </w:rPr>
      </w:pPr>
      <w:r>
        <w:rPr>
          <w:rFonts w:hint="eastAsia" w:eastAsia="仿宋_GB2312" w:cs="Times New Roman"/>
          <w:color w:val="0F1115"/>
          <w:sz w:val="32"/>
          <w:szCs w:val="32"/>
          <w:lang w:eastAsia="zh-CN"/>
        </w:rPr>
        <w:t>2.</w:t>
      </w:r>
      <w:r>
        <w:rPr>
          <w:rFonts w:ascii="Times New Roman" w:hAnsi="Times New Roman" w:eastAsia="仿宋_GB2312" w:cs="Times New Roman"/>
          <w:color w:val="0F1115"/>
          <w:sz w:val="32"/>
          <w:szCs w:val="32"/>
        </w:rPr>
        <w:t>优化资金支付审批程序，压缩内部流转时间，确保合同款项按约及时支付。</w:t>
      </w:r>
    </w:p>
    <w:p w14:paraId="1F14F3D7">
      <w:pPr>
        <w:rPr>
          <w:rFonts w:ascii="Times New Roman" w:hAnsi="Times New Roman" w:eastAsia="方正小标宋简体" w:cs="Times New Roman"/>
          <w:color w:val="auto"/>
          <w:kern w:val="2"/>
          <w:sz w:val="40"/>
          <w:szCs w:val="40"/>
          <w:lang w:val="en-US" w:eastAsia="zh-CN" w:bidi="ar-SA"/>
        </w:rPr>
      </w:pPr>
      <w:r>
        <w:rPr>
          <w:rFonts w:ascii="Times New Roman" w:hAnsi="Times New Roman" w:eastAsia="方正小标宋简体" w:cs="Times New Roman"/>
          <w:color w:val="auto"/>
          <w:kern w:val="2"/>
          <w:sz w:val="40"/>
          <w:szCs w:val="40"/>
          <w:lang w:val="en-US" w:eastAsia="zh-CN" w:bidi="ar-SA"/>
        </w:rPr>
        <w:br w:type="page"/>
      </w:r>
    </w:p>
    <w:p w14:paraId="1355D934">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13C72C0C">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0F4256BF">
      <w:pPr>
        <w:widowControl w:val="0"/>
        <w:spacing w:line="600" w:lineRule="exact"/>
        <w:ind w:firstLine="883"/>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地灾隐患点监测人员经费项目</w:t>
      </w:r>
      <w:r>
        <w:rPr>
          <w:rFonts w:ascii="Times New Roman" w:hAnsi="Times New Roman" w:eastAsia="仿宋_GB2312" w:cs="Times New Roman"/>
          <w:color w:val="auto"/>
          <w:kern w:val="2"/>
          <w:sz w:val="32"/>
          <w:szCs w:val="32"/>
          <w:lang w:val="zh-CN" w:eastAsia="zh-CN" w:bidi="ar-SA"/>
        </w:rPr>
        <w:t>）</w:t>
      </w:r>
    </w:p>
    <w:p w14:paraId="753543F9">
      <w:pPr>
        <w:widowControl w:val="0"/>
        <w:spacing w:line="600" w:lineRule="exact"/>
        <w:jc w:val="both"/>
        <w:rPr>
          <w:rFonts w:ascii="Times New Roman" w:hAnsi="Times New Roman" w:eastAsia="宋体" w:cs="Times New Roman"/>
          <w:color w:val="auto"/>
          <w:kern w:val="2"/>
          <w:sz w:val="32"/>
          <w:szCs w:val="32"/>
          <w:lang w:val="zh-CN" w:eastAsia="zh-CN" w:bidi="ar-SA"/>
        </w:rPr>
      </w:pPr>
    </w:p>
    <w:p w14:paraId="079F8C07">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33B0485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74FA09DC">
      <w:pPr>
        <w:adjustRightInd w:val="0"/>
        <w:snapToGrid w:val="0"/>
        <w:spacing w:line="600" w:lineRule="exact"/>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2024年经过汛后大排查，东区共确定区级地质灾害隐患点3个，设立专职监测员3名。</w:t>
      </w:r>
    </w:p>
    <w:p w14:paraId="26BC5B84">
      <w:pPr>
        <w:adjustRightInd w:val="0"/>
        <w:snapToGrid w:val="0"/>
        <w:spacing w:line="600" w:lineRule="exact"/>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攀枝花市东区东林巷东侧崩塌隐患点位于东区东林巷，隐患类型为中型崩塌，该处斜坡体上危岩变形破坏主要以坠落式、滑移式为主，一旦遇到地震、暴雨或</w:t>
      </w:r>
      <w:r>
        <w:rPr>
          <w:rFonts w:hint="eastAsia" w:eastAsia="仿宋_GB2312" w:cs="Times New Roman"/>
          <w:sz w:val="32"/>
          <w:szCs w:val="32"/>
          <w:lang w:val="en-US" w:eastAsia="zh-CN"/>
        </w:rPr>
        <w:t>其他</w:t>
      </w:r>
      <w:r>
        <w:rPr>
          <w:rFonts w:hint="eastAsia" w:ascii="Times New Roman" w:hAnsi="Times New Roman" w:eastAsia="仿宋_GB2312" w:cs="Times New Roman"/>
          <w:sz w:val="32"/>
          <w:szCs w:val="32"/>
          <w:lang w:val="en-US" w:eastAsia="zh-CN"/>
        </w:rPr>
        <w:t>不良外力作用时危岩易失稳破坏。崩塌威胁对象12户36人，威胁财产1200万元。</w:t>
      </w:r>
    </w:p>
    <w:p w14:paraId="619349DB">
      <w:pPr>
        <w:adjustRightInd w:val="0"/>
        <w:snapToGrid w:val="0"/>
        <w:spacing w:line="600" w:lineRule="exact"/>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攀枝花市东区银江镇攀枝花村52号崩塌隐患点位于攀枝花市东区银江镇攀枝花村，隐患类型为小型崩塌，该处隐患点在暴雨或不良外力作用时危岩易失稳破坏。崩塌威胁对象3户11人，威胁财产300万元。</w:t>
      </w:r>
    </w:p>
    <w:p w14:paraId="35F57AED">
      <w:pPr>
        <w:adjustRightInd w:val="0"/>
        <w:snapToGrid w:val="0"/>
        <w:spacing w:line="600" w:lineRule="exact"/>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攀枝花市东区银江镇聚宝路18号居民楼后侧崩塌隐患点位于银江镇聚宝路18号，隐患类型为小型崩塌。2022年该隐患点斜坡坡表岩土体受大气降雨冲沟汇水及斜坡坡面形成面流冲刷和入渗影响，岩土体发生崩塌。崩塌源后期在降雨及地表水入渗等不利因素影响下，或在极端暴雨或地震条件下，再次发生崩塌的可能性大，崩塌威胁对象3户12人，威胁财产600万元</w:t>
      </w:r>
      <w:r>
        <w:rPr>
          <w:rFonts w:hint="eastAsia" w:ascii="Times New Roman" w:hAnsi="Times New Roman" w:eastAsia="仿宋_GB2312" w:cs="Times New Roman"/>
          <w:sz w:val="32"/>
          <w:szCs w:val="32"/>
          <w:lang w:eastAsia="zh-CN"/>
        </w:rPr>
        <w:t>。</w:t>
      </w:r>
    </w:p>
    <w:p w14:paraId="5367B2BA">
      <w:pPr>
        <w:adjustRightInd w:val="0"/>
        <w:snapToGrid w:val="0"/>
        <w:spacing w:line="600" w:lineRule="exact"/>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2025年获得地灾防治专项资金1.08万元</w:t>
      </w:r>
      <w:r>
        <w:rPr>
          <w:rFonts w:hint="eastAsia" w:ascii="Times New Roman" w:hAnsi="Times New Roman" w:eastAsia="仿宋_GB2312" w:cs="Times New Roman"/>
          <w:sz w:val="32"/>
          <w:szCs w:val="32"/>
          <w:lang w:val="zh-CN" w:eastAsia="zh-CN"/>
        </w:rPr>
        <w:t>，</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攀财资环资〔202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），2024年结转地灾防治专项资金0.20万元</w:t>
      </w:r>
      <w:r>
        <w:rPr>
          <w:rFonts w:hint="default" w:ascii="Times New Roman" w:hAnsi="Times New Roman" w:eastAsia="仿宋_GB2312" w:cs="Times New Roman"/>
          <w:sz w:val="32"/>
          <w:szCs w:val="32"/>
          <w:lang w:val="en-US" w:eastAsia="zh-CN"/>
        </w:rPr>
        <w:t>（攀财资环</w:t>
      </w:r>
      <w:r>
        <w:rPr>
          <w:rFonts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p>
    <w:p w14:paraId="4404D4C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434333E5">
      <w:pPr>
        <w:adjustRightInd w:val="0"/>
        <w:snapToGrid w:val="0"/>
        <w:spacing w:line="600" w:lineRule="exact"/>
        <w:ind w:firstLine="640" w:firstLineChars="200"/>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东区共确定区级地质灾害隐患点3个，设立专职监测员3名，在汛期（5-10月）共6个月开展汛期地灾隐患点监测，发布预警时及时通知受威胁群众，监测员每月每人补助600元。经6个月监测，东区3处隐患点无明显变形。</w:t>
      </w:r>
    </w:p>
    <w:p w14:paraId="4F91A3E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101EC6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本次自评由地灾办牵头，会同办公室等相关股室，对照合同约定、资金支付条件、成果验收情况等进行综合评价。</w:t>
      </w:r>
    </w:p>
    <w:p w14:paraId="4B2C93B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31A6639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30B86E08">
      <w:pPr>
        <w:numPr>
          <w:ilvl w:val="0"/>
          <w:numId w:val="0"/>
        </w:num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2024年经过汛后大排查，东区共确定区级地质灾害隐患点3个，需设立专职监测员3名。东区分局将该项目资金需求1.08万元编制到《攀枝花市东区地质灾害全域综合整治2025年度实施方案》中。2025年1月，市财政批复向东区下达了2025年度第一批地质灾害综合防治体系项目建设省级补助资金1.08万元（攀财资环</w:t>
      </w:r>
      <w:r>
        <w:rPr>
          <w:rFonts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2024年结转地灾防治专项资金0.20万元</w:t>
      </w:r>
      <w:r>
        <w:rPr>
          <w:rFonts w:hint="default" w:ascii="Times New Roman" w:hAnsi="Times New Roman" w:eastAsia="仿宋_GB2312" w:cs="Times New Roman"/>
          <w:sz w:val="32"/>
          <w:szCs w:val="32"/>
          <w:lang w:val="en-US" w:eastAsia="zh-CN"/>
        </w:rPr>
        <w:t>（攀财资环</w:t>
      </w:r>
      <w:r>
        <w:rPr>
          <w:rFonts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分局及时全额支付，无扣留截用的情况。该地灾项目的</w:t>
      </w:r>
      <w:r>
        <w:rPr>
          <w:rFonts w:hint="default" w:ascii="Times New Roman" w:hAnsi="Times New Roman" w:eastAsia="仿宋_GB2312" w:cs="Times New Roman"/>
          <w:sz w:val="32"/>
          <w:szCs w:val="32"/>
          <w:lang w:val="zh-CN"/>
        </w:rPr>
        <w:t>评价符合</w:t>
      </w:r>
      <w:r>
        <w:rPr>
          <w:rFonts w:hint="default" w:ascii="Times New Roman" w:hAnsi="Times New Roman" w:eastAsia="仿宋_GB2312" w:cs="Times New Roman"/>
          <w:sz w:val="32"/>
          <w:szCs w:val="32"/>
          <w:lang w:val="en-US" w:eastAsia="zh-CN"/>
        </w:rPr>
        <w:t>地灾</w:t>
      </w:r>
      <w:r>
        <w:rPr>
          <w:rFonts w:hint="default" w:ascii="Times New Roman" w:hAnsi="Times New Roman" w:eastAsia="仿宋_GB2312" w:cs="Times New Roman"/>
          <w:sz w:val="32"/>
          <w:szCs w:val="32"/>
          <w:lang w:val="zh-CN"/>
        </w:rPr>
        <w:t>资金管理办法等相关规定。</w:t>
      </w:r>
    </w:p>
    <w:p w14:paraId="614ED10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w:t>
      </w:r>
    </w:p>
    <w:p w14:paraId="6E32243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sz w:val="32"/>
          <w:szCs w:val="32"/>
          <w:lang w:val="zh-CN"/>
        </w:rPr>
        <w:t>1</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en-US" w:eastAsia="zh-CN"/>
        </w:rPr>
        <w:t>2025年第一批地质灾害防治专项资金（省级），</w:t>
      </w:r>
      <w:r>
        <w:rPr>
          <w:rFonts w:hint="default" w:ascii="Times New Roman" w:hAnsi="Times New Roman" w:eastAsia="仿宋_GB2312" w:cs="Times New Roman"/>
          <w:sz w:val="32"/>
          <w:szCs w:val="32"/>
          <w:lang w:val="en-US" w:eastAsia="zh-CN"/>
        </w:rPr>
        <w:t>市财政批复下达资金</w:t>
      </w:r>
      <w:r>
        <w:rPr>
          <w:rFonts w:hint="eastAsia" w:ascii="Times New Roman" w:hAnsi="Times New Roman" w:eastAsia="仿宋_GB2312" w:cs="Times New Roman"/>
          <w:sz w:val="32"/>
          <w:szCs w:val="32"/>
          <w:lang w:val="en-US" w:eastAsia="zh-CN"/>
        </w:rPr>
        <w:t>1.08</w:t>
      </w:r>
      <w:r>
        <w:rPr>
          <w:rFonts w:hint="default" w:ascii="Times New Roman" w:hAnsi="Times New Roman" w:eastAsia="仿宋_GB2312" w:cs="Times New Roman"/>
          <w:sz w:val="32"/>
          <w:szCs w:val="32"/>
          <w:lang w:val="en-US" w:eastAsia="zh-CN"/>
        </w:rPr>
        <w:t>万元（攀财资环</w:t>
      </w:r>
      <w:r>
        <w:rPr>
          <w:rFonts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，2024年结转地灾防治专项资金0.20万元</w:t>
      </w:r>
      <w:r>
        <w:rPr>
          <w:rFonts w:hint="default" w:ascii="Times New Roman" w:hAnsi="Times New Roman" w:eastAsia="仿宋_GB2312" w:cs="Times New Roman"/>
          <w:sz w:val="32"/>
          <w:szCs w:val="32"/>
          <w:lang w:val="en-US" w:eastAsia="zh-CN"/>
        </w:rPr>
        <w:t>（攀财资环</w:t>
      </w:r>
      <w:r>
        <w:rPr>
          <w:rFonts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号）</w:t>
      </w:r>
      <w:r>
        <w:rPr>
          <w:rFonts w:ascii="Times New Roman" w:hAnsi="Times New Roman" w:eastAsia="仿宋_GB2312" w:cs="Times New Roman"/>
          <w:sz w:val="32"/>
          <w:szCs w:val="32"/>
          <w:lang w:val="zh-CN"/>
        </w:rPr>
        <w:t>。</w:t>
      </w:r>
    </w:p>
    <w:p w14:paraId="6B37B083">
      <w:pPr>
        <w:suppressAutoHyphens/>
        <w:adjustRightInd w:val="0"/>
        <w:snapToGrid w:val="0"/>
        <w:spacing w:line="560" w:lineRule="exact"/>
        <w:ind w:firstLine="720"/>
        <w:rPr>
          <w:rFonts w:hint="default" w:ascii="Times New Roman" w:hAnsi="Times New Roman" w:eastAsia="楷体_GB2312" w:cs="Times New Roman"/>
          <w:sz w:val="32"/>
          <w:szCs w:val="32"/>
          <w:lang w:val="zh-CN"/>
        </w:rPr>
      </w:pPr>
      <w:r>
        <w:rPr>
          <w:rFonts w:ascii="Times New Roman" w:hAnsi="Times New Roman" w:eastAsia="楷体_GB2312" w:cs="Times New Roman"/>
          <w:sz w:val="32"/>
          <w:szCs w:val="32"/>
          <w:lang w:val="zh-CN"/>
        </w:rPr>
        <w:t>2</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资金到位。</w:t>
      </w:r>
      <w:r>
        <w:rPr>
          <w:rFonts w:hint="eastAsia" w:ascii="Times New Roman" w:hAnsi="Times New Roman" w:eastAsia="楷体_GB2312" w:cs="Times New Roman"/>
          <w:sz w:val="32"/>
          <w:szCs w:val="32"/>
          <w:lang w:val="en-US" w:eastAsia="zh-CN"/>
        </w:rPr>
        <w:t>2025年</w:t>
      </w:r>
      <w:r>
        <w:rPr>
          <w:rFonts w:hint="default" w:ascii="Times New Roman" w:hAnsi="Times New Roman" w:eastAsia="仿宋_GB2312" w:cs="Times New Roman"/>
          <w:sz w:val="32"/>
          <w:szCs w:val="32"/>
          <w:lang w:val="en-US" w:eastAsia="zh-CN"/>
        </w:rPr>
        <w:t>市财政批复下达资金</w:t>
      </w:r>
      <w:r>
        <w:rPr>
          <w:rFonts w:hint="eastAsia" w:ascii="Times New Roman" w:hAnsi="Times New Roman" w:eastAsia="仿宋_GB2312" w:cs="Times New Roman"/>
          <w:sz w:val="32"/>
          <w:szCs w:val="32"/>
          <w:lang w:val="en-US" w:eastAsia="zh-CN"/>
        </w:rPr>
        <w:t>1.08</w:t>
      </w:r>
      <w:r>
        <w:rPr>
          <w:rFonts w:hint="default" w:ascii="Times New Roman" w:hAnsi="Times New Roman" w:eastAsia="仿宋_GB2312" w:cs="Times New Roman"/>
          <w:sz w:val="32"/>
          <w:szCs w:val="32"/>
          <w:lang w:val="en-US" w:eastAsia="zh-CN"/>
        </w:rPr>
        <w:t>万元，</w:t>
      </w:r>
      <w:r>
        <w:rPr>
          <w:rFonts w:hint="eastAsia" w:ascii="Times New Roman" w:hAnsi="Times New Roman" w:eastAsia="仿宋_GB2312" w:cs="Times New Roman"/>
          <w:sz w:val="32"/>
          <w:szCs w:val="32"/>
          <w:lang w:val="en-US" w:eastAsia="zh-CN"/>
        </w:rPr>
        <w:t>2024年结转0.20万元，</w:t>
      </w:r>
      <w:r>
        <w:rPr>
          <w:rFonts w:hint="default" w:ascii="Times New Roman" w:hAnsi="Times New Roman" w:eastAsia="仿宋_GB2312" w:cs="Times New Roman"/>
          <w:sz w:val="32"/>
          <w:szCs w:val="32"/>
          <w:lang w:val="en-US" w:eastAsia="zh-CN"/>
        </w:rPr>
        <w:t>最终到位</w:t>
      </w:r>
      <w:r>
        <w:rPr>
          <w:rFonts w:hint="eastAsia" w:ascii="Times New Roman" w:hAnsi="Times New Roman" w:eastAsia="仿宋_GB2312" w:cs="Times New Roman"/>
          <w:sz w:val="32"/>
          <w:szCs w:val="32"/>
          <w:lang w:val="en-US" w:eastAsia="zh-CN"/>
        </w:rPr>
        <w:t>1.28</w:t>
      </w:r>
      <w:r>
        <w:rPr>
          <w:rFonts w:hint="default" w:ascii="Times New Roman" w:hAnsi="Times New Roman" w:eastAsia="仿宋_GB2312" w:cs="Times New Roman"/>
          <w:sz w:val="32"/>
          <w:szCs w:val="32"/>
          <w:lang w:val="en-US" w:eastAsia="zh-CN"/>
        </w:rPr>
        <w:t>万元</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到位率100%，</w:t>
      </w:r>
      <w:r>
        <w:rPr>
          <w:rFonts w:hint="default" w:ascii="Times New Roman" w:hAnsi="Times New Roman" w:eastAsia="仿宋_GB2312" w:cs="Times New Roman"/>
          <w:sz w:val="32"/>
          <w:szCs w:val="32"/>
          <w:lang w:val="zh-CN"/>
        </w:rPr>
        <w:t>到位及时。</w:t>
      </w:r>
    </w:p>
    <w:p w14:paraId="62703CA1">
      <w:pPr>
        <w:adjustRightInd w:val="0"/>
        <w:snapToGrid w:val="0"/>
        <w:spacing w:line="600" w:lineRule="exact"/>
        <w:ind w:firstLine="640" w:firstLineChars="200"/>
        <w:rPr>
          <w:rFonts w:hint="default" w:ascii="Times New Roman" w:hAnsi="Times New Roman" w:eastAsia="仿宋_GB2312" w:cs="Times New Roman"/>
          <w:sz w:val="32"/>
          <w:szCs w:val="32"/>
          <w:lang w:val="zh-CN" w:eastAsia="zh-CN"/>
        </w:rPr>
      </w:pPr>
      <w:r>
        <w:rPr>
          <w:rFonts w:ascii="Times New Roman" w:hAnsi="Times New Roman" w:eastAsia="楷体_GB2312" w:cs="Times New Roman"/>
          <w:sz w:val="32"/>
          <w:szCs w:val="32"/>
          <w:lang w:val="zh-CN"/>
        </w:rPr>
        <w:t>3</w:t>
      </w:r>
      <w:r>
        <w:rPr>
          <w:rFonts w:hint="eastAsia" w:ascii="Times New Roman" w:hAnsi="Times New Roman" w:eastAsia="楷体_GB2312" w:cs="Times New Roman"/>
          <w:sz w:val="32"/>
          <w:szCs w:val="32"/>
          <w:lang w:val="en-US" w:eastAsia="zh-CN"/>
        </w:rPr>
        <w:t>.</w:t>
      </w:r>
      <w:r>
        <w:rPr>
          <w:rFonts w:ascii="Times New Roman" w:hAnsi="Times New Roman" w:eastAsia="楷体_GB2312" w:cs="Times New Roman"/>
          <w:sz w:val="32"/>
          <w:szCs w:val="32"/>
          <w:lang w:val="zh-CN"/>
        </w:rPr>
        <w:t>资金使用。</w:t>
      </w:r>
      <w:r>
        <w:rPr>
          <w:rFonts w:hint="default" w:ascii="Times New Roman" w:hAnsi="Times New Roman" w:eastAsia="仿宋_GB2312" w:cs="Times New Roman"/>
          <w:sz w:val="32"/>
          <w:szCs w:val="32"/>
          <w:lang w:val="en-US" w:eastAsia="zh-CN"/>
        </w:rPr>
        <w:t>该</w:t>
      </w:r>
      <w:r>
        <w:rPr>
          <w:rFonts w:hint="default" w:ascii="Times New Roman" w:hAnsi="Times New Roman" w:eastAsia="仿宋_GB2312" w:cs="Times New Roman"/>
          <w:sz w:val="32"/>
          <w:szCs w:val="32"/>
          <w:lang w:val="zh-CN" w:eastAsia="zh-CN"/>
        </w:rPr>
        <w:t>资金</w:t>
      </w:r>
      <w:r>
        <w:rPr>
          <w:rFonts w:hint="default" w:ascii="Times New Roman" w:hAnsi="Times New Roman" w:eastAsia="仿宋_GB2312" w:cs="Times New Roman"/>
          <w:sz w:val="32"/>
          <w:szCs w:val="32"/>
          <w:lang w:val="en-US" w:eastAsia="zh-CN"/>
        </w:rPr>
        <w:t>用于地灾治理项目支出，支付无扣留</w:t>
      </w:r>
      <w:r>
        <w:rPr>
          <w:rFonts w:hint="default" w:ascii="Times New Roman" w:hAnsi="Times New Roman" w:eastAsia="仿宋_GB2312" w:cs="Times New Roman"/>
          <w:sz w:val="32"/>
          <w:szCs w:val="32"/>
          <w:lang w:val="zh-CN" w:eastAsia="zh-CN"/>
        </w:rPr>
        <w:t>、</w:t>
      </w:r>
      <w:r>
        <w:rPr>
          <w:rFonts w:hint="eastAsia" w:eastAsia="仿宋_GB2312" w:cs="Times New Roman"/>
          <w:sz w:val="32"/>
          <w:szCs w:val="32"/>
          <w:lang w:val="zh-CN" w:eastAsia="zh-CN"/>
        </w:rPr>
        <w:t>截留</w:t>
      </w:r>
      <w:r>
        <w:rPr>
          <w:rFonts w:hint="default"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zh-CN" w:eastAsia="zh-CN"/>
        </w:rPr>
        <w:t>支付依据合规合法，资金支付与预算相符。</w:t>
      </w:r>
    </w:p>
    <w:p w14:paraId="4D8B94B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644C30F2">
      <w:pPr>
        <w:suppressAutoHyphens/>
        <w:adjustRightInd w:val="0"/>
        <w:snapToGrid w:val="0"/>
        <w:spacing w:line="560" w:lineRule="exact"/>
        <w:ind w:firstLine="72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分局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2CC0F1C2">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2FB3582D">
      <w:pPr>
        <w:widowControl w:val="0"/>
        <w:tabs>
          <w:tab w:val="left" w:pos="2160"/>
        </w:tabs>
        <w:spacing w:before="0" w:after="140" w:line="600" w:lineRule="exact"/>
        <w:ind w:firstLine="640" w:firstLineChars="200"/>
        <w:jc w:val="both"/>
        <w:rPr>
          <w:rFonts w:hint="default" w:ascii="Times New Roman" w:hAnsi="Times New Roman" w:eastAsia="仿宋_GB2312" w:cs="Times New Roman"/>
          <w:kern w:val="0"/>
          <w:sz w:val="32"/>
          <w:szCs w:val="32"/>
          <w:lang w:val="zh-CN" w:eastAsia="zh-CN" w:bidi="ar-SA"/>
        </w:rPr>
      </w:pPr>
      <w:r>
        <w:rPr>
          <w:rFonts w:hint="default" w:ascii="Times New Roman" w:hAnsi="Times New Roman" w:eastAsia="仿宋_GB2312" w:cs="Times New Roman"/>
          <w:kern w:val="0"/>
          <w:sz w:val="32"/>
          <w:szCs w:val="32"/>
          <w:lang w:val="zh-CN" w:eastAsia="zh-CN" w:bidi="ar-SA"/>
        </w:rPr>
        <w:t>该项目监测人员均通过街道镇社区推荐，未采取招投标、政府采购，符合相关规定。东区2025年第一批地质灾害综合防治体系项目建设省级补助资金主要用于专职监测员监测费。支付专业监测费1.08万元（</w:t>
      </w:r>
      <w:r>
        <w:rPr>
          <w:rFonts w:hint="default" w:ascii="Times New Roman" w:hAnsi="Times New Roman" w:eastAsia="仿宋_GB2312" w:cs="Times New Roman"/>
          <w:kern w:val="0"/>
          <w:sz w:val="32"/>
          <w:szCs w:val="32"/>
          <w:lang w:val="en-US" w:eastAsia="zh-CN" w:bidi="ar-SA"/>
        </w:rPr>
        <w:t>3</w:t>
      </w:r>
      <w:r>
        <w:rPr>
          <w:rFonts w:hint="default" w:ascii="Times New Roman" w:hAnsi="Times New Roman" w:eastAsia="仿宋_GB2312" w:cs="Times New Roman"/>
          <w:kern w:val="0"/>
          <w:sz w:val="32"/>
          <w:szCs w:val="32"/>
          <w:lang w:val="zh-CN" w:eastAsia="zh-CN" w:bidi="ar-SA"/>
        </w:rPr>
        <w:t>名专职监测员，按照四川省地质灾害专职监测员600元人/月标准，合计支付监测员专职监测费1.08万元，目前已全部支付完成。</w:t>
      </w:r>
    </w:p>
    <w:p w14:paraId="5281A9B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758C815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w:t>
      </w:r>
      <w:r>
        <w:rPr>
          <w:rFonts w:hint="eastAsia" w:ascii="Times New Roman" w:hAnsi="Times New Roman" w:eastAsia="楷体_GB2312" w:cs="Times New Roman"/>
          <w:sz w:val="32"/>
          <w:szCs w:val="32"/>
          <w:lang w:val="en-US" w:eastAsia="zh-CN"/>
        </w:rPr>
        <w:t>60</w:t>
      </w:r>
      <w:r>
        <w:rPr>
          <w:rFonts w:hint="default" w:ascii="Times New Roman" w:hAnsi="Times New Roman" w:eastAsia="楷体_GB2312" w:cs="Times New Roman"/>
          <w:sz w:val="32"/>
          <w:szCs w:val="32"/>
          <w:lang w:val="en-US" w:eastAsia="zh-CN"/>
        </w:rPr>
        <w:t>分）</w:t>
      </w:r>
    </w:p>
    <w:p w14:paraId="5A78DE65">
      <w:p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lang w:val="en-US" w:eastAsia="zh-CN"/>
        </w:rPr>
        <w:t>年度预算绩效资金为</w:t>
      </w:r>
      <w:r>
        <w:rPr>
          <w:rFonts w:hint="eastAsia" w:ascii="Times New Roman" w:hAnsi="Times New Roman" w:eastAsia="仿宋_GB2312" w:cs="Times New Roman"/>
          <w:kern w:val="0"/>
          <w:sz w:val="32"/>
          <w:szCs w:val="32"/>
          <w:lang w:val="en-US" w:eastAsia="zh-CN"/>
        </w:rPr>
        <w:t>1.28</w:t>
      </w:r>
      <w:r>
        <w:rPr>
          <w:rFonts w:hint="default" w:ascii="Times New Roman" w:hAnsi="Times New Roman" w:eastAsia="仿宋_GB2312" w:cs="Times New Roman"/>
          <w:kern w:val="0"/>
          <w:sz w:val="32"/>
          <w:szCs w:val="32"/>
          <w:lang w:val="en-US" w:eastAsia="zh-CN"/>
        </w:rPr>
        <w:t>万元，支付1</w:t>
      </w:r>
      <w:r>
        <w:rPr>
          <w:rFonts w:hint="eastAsia" w:ascii="Times New Roman" w:hAnsi="Times New Roman" w:eastAsia="仿宋_GB2312" w:cs="Times New Roman"/>
          <w:kern w:val="0"/>
          <w:sz w:val="32"/>
          <w:szCs w:val="32"/>
          <w:lang w:val="en-US" w:eastAsia="zh-CN"/>
        </w:rPr>
        <w:t>.08</w:t>
      </w:r>
      <w:r>
        <w:rPr>
          <w:rFonts w:hint="default" w:ascii="Times New Roman" w:hAnsi="Times New Roman" w:eastAsia="仿宋_GB2312" w:cs="Times New Roman"/>
          <w:kern w:val="0"/>
          <w:sz w:val="32"/>
          <w:szCs w:val="32"/>
          <w:lang w:val="en-US" w:eastAsia="zh-CN"/>
        </w:rPr>
        <w:t>万元，执行率为</w:t>
      </w:r>
      <w:r>
        <w:rPr>
          <w:rFonts w:hint="eastAsia" w:ascii="Times New Roman" w:hAnsi="Times New Roman" w:eastAsia="仿宋_GB2312" w:cs="Times New Roman"/>
          <w:kern w:val="0"/>
          <w:sz w:val="32"/>
          <w:szCs w:val="32"/>
          <w:lang w:val="en-US" w:eastAsia="zh-CN"/>
        </w:rPr>
        <w:t>84.38</w:t>
      </w:r>
      <w:r>
        <w:rPr>
          <w:rFonts w:hint="default" w:ascii="Times New Roman" w:hAnsi="Times New Roman" w:eastAsia="仿宋_GB2312" w:cs="Times New Roman"/>
          <w:kern w:val="0"/>
          <w:sz w:val="32"/>
          <w:szCs w:val="32"/>
          <w:lang w:val="en-US" w:eastAsia="zh-CN"/>
        </w:rPr>
        <w:t>%。（10分）</w:t>
      </w:r>
    </w:p>
    <w:p w14:paraId="499CE175">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数量指标：监测点数量</w:t>
      </w:r>
      <w:r>
        <w:rPr>
          <w:rFonts w:hint="eastAsia" w:ascii="Times New Roman" w:hAnsi="Times New Roman" w:eastAsia="仿宋_GB2312" w:cs="Times New Roman"/>
          <w:kern w:val="0"/>
          <w:sz w:val="32"/>
          <w:szCs w:val="32"/>
          <w:lang w:val="en-US" w:eastAsia="zh-CN"/>
        </w:rPr>
        <w:t>3</w:t>
      </w:r>
      <w:r>
        <w:rPr>
          <w:rFonts w:hint="default" w:ascii="Times New Roman" w:hAnsi="Times New Roman" w:eastAsia="仿宋_GB2312" w:cs="Times New Roman"/>
          <w:kern w:val="0"/>
          <w:sz w:val="32"/>
          <w:szCs w:val="32"/>
          <w:lang w:val="en-US" w:eastAsia="zh-CN"/>
        </w:rPr>
        <w:t>个。（</w:t>
      </w:r>
      <w:r>
        <w:rPr>
          <w:rFonts w:hint="eastAsia" w:ascii="Times New Roman" w:hAnsi="Times New Roman" w:eastAsia="仿宋_GB2312" w:cs="Times New Roman"/>
          <w:kern w:val="0"/>
          <w:sz w:val="32"/>
          <w:szCs w:val="32"/>
          <w:lang w:val="en-US" w:eastAsia="zh-CN"/>
        </w:rPr>
        <w:t>15</w:t>
      </w:r>
      <w:r>
        <w:rPr>
          <w:rFonts w:hint="default" w:ascii="Times New Roman" w:hAnsi="Times New Roman" w:eastAsia="仿宋_GB2312" w:cs="Times New Roman"/>
          <w:kern w:val="0"/>
          <w:sz w:val="32"/>
          <w:szCs w:val="32"/>
          <w:lang w:val="en-US" w:eastAsia="zh-CN"/>
        </w:rPr>
        <w:t>分）</w:t>
      </w:r>
    </w:p>
    <w:p w14:paraId="57B1D5CC">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2.</w:t>
      </w:r>
      <w:r>
        <w:rPr>
          <w:rFonts w:hint="default" w:ascii="Times New Roman" w:hAnsi="Times New Roman" w:eastAsia="仿宋_GB2312" w:cs="Times New Roman"/>
          <w:kern w:val="0"/>
          <w:sz w:val="32"/>
          <w:szCs w:val="32"/>
          <w:lang w:val="en-US" w:eastAsia="zh-CN"/>
        </w:rPr>
        <w:t>时效指标：</w:t>
      </w:r>
      <w:r>
        <w:rPr>
          <w:rFonts w:hint="eastAsia" w:ascii="Times New Roman" w:hAnsi="Times New Roman" w:eastAsia="仿宋_GB2312" w:cs="Times New Roman"/>
          <w:kern w:val="0"/>
          <w:sz w:val="32"/>
          <w:szCs w:val="32"/>
          <w:lang w:val="en-US" w:eastAsia="zh-CN"/>
        </w:rPr>
        <w:t>监测时间大于等于6个月</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15</w:t>
      </w:r>
      <w:r>
        <w:rPr>
          <w:rFonts w:hint="default" w:ascii="Times New Roman" w:hAnsi="Times New Roman" w:eastAsia="仿宋_GB2312" w:cs="Times New Roman"/>
          <w:kern w:val="0"/>
          <w:sz w:val="32"/>
          <w:szCs w:val="32"/>
          <w:lang w:val="en-US" w:eastAsia="zh-CN"/>
        </w:rPr>
        <w:t>分）</w:t>
      </w:r>
    </w:p>
    <w:p w14:paraId="775BE565">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3.</w:t>
      </w:r>
      <w:r>
        <w:rPr>
          <w:rFonts w:hint="default" w:ascii="Times New Roman" w:hAnsi="Times New Roman" w:eastAsia="仿宋_GB2312" w:cs="Times New Roman"/>
          <w:kern w:val="0"/>
          <w:sz w:val="32"/>
          <w:szCs w:val="32"/>
          <w:lang w:val="en-US" w:eastAsia="zh-CN"/>
        </w:rPr>
        <w:t>质量指标：</w:t>
      </w:r>
      <w:r>
        <w:rPr>
          <w:rFonts w:hint="eastAsia" w:ascii="Times New Roman" w:hAnsi="Times New Roman" w:eastAsia="仿宋_GB2312" w:cs="Times New Roman"/>
          <w:kern w:val="0"/>
          <w:sz w:val="32"/>
          <w:szCs w:val="32"/>
          <w:lang w:val="en-US" w:eastAsia="zh-CN"/>
        </w:rPr>
        <w:t>每月巡查次数大于等于30次</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20</w:t>
      </w:r>
      <w:r>
        <w:rPr>
          <w:rFonts w:hint="default" w:ascii="Times New Roman" w:hAnsi="Times New Roman" w:eastAsia="仿宋_GB2312" w:cs="Times New Roman"/>
          <w:kern w:val="0"/>
          <w:sz w:val="32"/>
          <w:szCs w:val="32"/>
          <w:lang w:val="en-US" w:eastAsia="zh-CN"/>
        </w:rPr>
        <w:t>分）</w:t>
      </w:r>
    </w:p>
    <w:p w14:paraId="17C597A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r>
        <w:rPr>
          <w:rFonts w:hint="eastAsia" w:ascii="楷体_GB2312" w:hAnsi="楷体_GB2312" w:eastAsia="楷体_GB2312" w:cs="楷体_GB2312"/>
          <w:sz w:val="32"/>
          <w:szCs w:val="32"/>
          <w:lang w:val="en-US" w:eastAsia="zh-CN"/>
        </w:rPr>
        <w:t>（得</w:t>
      </w:r>
      <w:r>
        <w:rPr>
          <w:rFonts w:hint="default" w:ascii="Times New Roman" w:hAnsi="Times New Roman" w:eastAsia="楷体_GB2312" w:cs="Times New Roman"/>
          <w:sz w:val="32"/>
          <w:szCs w:val="32"/>
          <w:lang w:val="en-US" w:eastAsia="zh-CN"/>
        </w:rPr>
        <w:t>分</w:t>
      </w:r>
      <w:r>
        <w:rPr>
          <w:rFonts w:hint="eastAsia" w:ascii="Times New Roman" w:hAnsi="Times New Roman" w:eastAsia="楷体_GB2312" w:cs="Times New Roman"/>
          <w:sz w:val="32"/>
          <w:szCs w:val="32"/>
          <w:lang w:val="en-US" w:eastAsia="zh-CN"/>
        </w:rPr>
        <w:t>40</w:t>
      </w:r>
      <w:r>
        <w:rPr>
          <w:rFonts w:hint="default" w:ascii="Times New Roman" w:hAnsi="Times New Roman" w:eastAsia="楷体_GB2312" w:cs="Times New Roman"/>
          <w:sz w:val="32"/>
          <w:szCs w:val="32"/>
          <w:lang w:val="en-US" w:eastAsia="zh-CN"/>
        </w:rPr>
        <w:t>分）</w:t>
      </w:r>
    </w:p>
    <w:p w14:paraId="6DCF5013">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1.</w:t>
      </w:r>
      <w:r>
        <w:rPr>
          <w:rFonts w:hint="default" w:ascii="Times New Roman" w:hAnsi="Times New Roman" w:eastAsia="仿宋_GB2312" w:cs="Times New Roman"/>
          <w:kern w:val="0"/>
          <w:sz w:val="32"/>
          <w:szCs w:val="32"/>
          <w:lang w:val="en-US" w:eastAsia="zh-CN"/>
        </w:rPr>
        <w:t>社会效益指标：</w:t>
      </w:r>
      <w:r>
        <w:rPr>
          <w:rFonts w:hint="eastAsia" w:ascii="Times New Roman" w:hAnsi="Times New Roman" w:eastAsia="仿宋_GB2312" w:cs="Times New Roman"/>
          <w:kern w:val="0"/>
          <w:sz w:val="32"/>
          <w:szCs w:val="32"/>
          <w:lang w:val="en-US" w:eastAsia="zh-CN"/>
        </w:rPr>
        <w:t>有效</w:t>
      </w:r>
      <w:r>
        <w:rPr>
          <w:rFonts w:hint="default" w:ascii="Times New Roman" w:hAnsi="Times New Roman" w:eastAsia="仿宋_GB2312" w:cs="Times New Roman"/>
          <w:kern w:val="0"/>
          <w:sz w:val="32"/>
          <w:szCs w:val="32"/>
          <w:lang w:val="en-US" w:eastAsia="zh-CN"/>
        </w:rPr>
        <w:t>保护群众1</w:t>
      </w:r>
      <w:r>
        <w:rPr>
          <w:rFonts w:hint="eastAsia" w:ascii="Times New Roman" w:hAnsi="Times New Roman" w:eastAsia="仿宋_GB2312" w:cs="Times New Roman"/>
          <w:kern w:val="0"/>
          <w:sz w:val="32"/>
          <w:szCs w:val="32"/>
          <w:lang w:val="en-US" w:eastAsia="zh-CN"/>
        </w:rPr>
        <w:t>200</w:t>
      </w:r>
      <w:r>
        <w:rPr>
          <w:rFonts w:hint="default" w:ascii="Times New Roman" w:hAnsi="Times New Roman" w:eastAsia="仿宋_GB2312" w:cs="Times New Roman"/>
          <w:kern w:val="0"/>
          <w:sz w:val="32"/>
          <w:szCs w:val="32"/>
          <w:lang w:val="en-US" w:eastAsia="zh-CN"/>
        </w:rPr>
        <w:t>人</w:t>
      </w:r>
      <w:r>
        <w:rPr>
          <w:rFonts w:hint="eastAsia" w:ascii="Times New Roman" w:hAnsi="Times New Roman" w:eastAsia="仿宋_GB2312" w:cs="Times New Roman"/>
          <w:kern w:val="0"/>
          <w:sz w:val="32"/>
          <w:szCs w:val="32"/>
          <w:lang w:val="en-US" w:eastAsia="zh-CN"/>
        </w:rPr>
        <w:t>。</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3</w:t>
      </w:r>
      <w:r>
        <w:rPr>
          <w:rFonts w:hint="default" w:ascii="Times New Roman" w:hAnsi="Times New Roman" w:eastAsia="仿宋_GB2312" w:cs="Times New Roman"/>
          <w:kern w:val="0"/>
          <w:sz w:val="32"/>
          <w:szCs w:val="32"/>
          <w:lang w:val="en-US" w:eastAsia="zh-CN"/>
        </w:rPr>
        <w:t>0分）</w:t>
      </w:r>
    </w:p>
    <w:p w14:paraId="5AFEF201">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2.</w:t>
      </w:r>
      <w:r>
        <w:rPr>
          <w:rFonts w:hint="default" w:ascii="Times New Roman" w:hAnsi="Times New Roman" w:eastAsia="仿宋_GB2312" w:cs="Times New Roman"/>
          <w:kern w:val="0"/>
          <w:sz w:val="32"/>
          <w:szCs w:val="32"/>
          <w:lang w:val="en-US" w:eastAsia="zh-CN"/>
        </w:rPr>
        <w:t>服务对象满意度指标：群</w:t>
      </w:r>
      <w:r>
        <w:rPr>
          <w:rFonts w:hint="eastAsia" w:ascii="Times New Roman" w:hAnsi="Times New Roman" w:eastAsia="仿宋_GB2312" w:cs="Times New Roman"/>
          <w:kern w:val="0"/>
          <w:sz w:val="32"/>
          <w:szCs w:val="32"/>
          <w:lang w:val="en-US" w:eastAsia="zh-CN"/>
        </w:rPr>
        <w:t>众</w:t>
      </w:r>
      <w:r>
        <w:rPr>
          <w:rFonts w:hint="default" w:ascii="Times New Roman" w:hAnsi="Times New Roman" w:eastAsia="仿宋_GB2312" w:cs="Times New Roman"/>
          <w:kern w:val="0"/>
          <w:sz w:val="32"/>
          <w:szCs w:val="32"/>
          <w:lang w:val="en-US" w:eastAsia="zh-CN"/>
        </w:rPr>
        <w:t>满意度大于</w:t>
      </w:r>
      <w:r>
        <w:rPr>
          <w:rFonts w:hint="eastAsia" w:ascii="Times New Roman" w:hAnsi="Times New Roman" w:eastAsia="仿宋_GB2312" w:cs="Times New Roman"/>
          <w:kern w:val="0"/>
          <w:sz w:val="32"/>
          <w:szCs w:val="32"/>
          <w:lang w:val="en-US" w:eastAsia="zh-CN"/>
        </w:rPr>
        <w:t>75</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（10分）</w:t>
      </w:r>
    </w:p>
    <w:p w14:paraId="486C0587">
      <w:pPr>
        <w:numPr>
          <w:ilvl w:val="0"/>
          <w:numId w:val="0"/>
        </w:numPr>
        <w:spacing w:line="578" w:lineRule="exact"/>
        <w:ind w:firstLine="640" w:firstLineChars="200"/>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lang w:val="en-US" w:eastAsia="zh-CN"/>
        </w:rPr>
        <w:t>通过本项目的实施，按时、按质、按量完成了绩效目标，取得了良好的社会效益和经济效益，群众满意度高，目标完成情况为优，个性指标得分100分。</w:t>
      </w:r>
    </w:p>
    <w:p w14:paraId="30B1C0F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55A540D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27D52674">
      <w:pPr>
        <w:adjustRightInd w:val="0"/>
        <w:snapToGrid w:val="0"/>
        <w:spacing w:line="560" w:lineRule="exact"/>
        <w:ind w:firstLine="720"/>
        <w:rPr>
          <w:rFonts w:ascii="Times New Roman" w:hAnsi="Times New Roman" w:eastAsia="仿宋_GB2312" w:cs="Times New Roman"/>
          <w:sz w:val="32"/>
          <w:szCs w:val="32"/>
          <w:bdr w:val="single" w:color="auto" w:sz="4" w:space="0"/>
          <w:lang w:val="zh-CN"/>
        </w:rPr>
      </w:pPr>
      <w:r>
        <w:rPr>
          <w:rFonts w:hint="eastAsia" w:ascii="仿宋_GB2312" w:hAnsi="仿宋_GB2312" w:eastAsia="仿宋_GB2312" w:cs="仿宋_GB2312"/>
          <w:kern w:val="0"/>
          <w:sz w:val="32"/>
          <w:szCs w:val="32"/>
          <w:lang w:eastAsia="zh-CN"/>
        </w:rPr>
        <w:t>总体上看，该项目立项依据充分，绩效目标明确，管理制度健全，组织实施有序，资金使用规范，实施效果良好</w:t>
      </w:r>
      <w:r>
        <w:rPr>
          <w:rFonts w:hint="eastAsia" w:ascii="仿宋_GB2312" w:hAnsi="仿宋_GB2312" w:eastAsia="仿宋_GB2312" w:cs="仿宋_GB2312"/>
          <w:kern w:val="0"/>
          <w:sz w:val="32"/>
          <w:szCs w:val="32"/>
          <w:lang w:val="zh-CN"/>
        </w:rPr>
        <w:t>。通过项目实施，</w:t>
      </w:r>
      <w:r>
        <w:rPr>
          <w:rFonts w:hint="default" w:ascii="Times New Roman" w:hAnsi="Times New Roman" w:eastAsia="仿宋_GB2312" w:cs="Times New Roman"/>
          <w:kern w:val="0"/>
          <w:sz w:val="32"/>
          <w:szCs w:val="32"/>
          <w:lang w:val="en-US" w:eastAsia="zh-CN"/>
        </w:rPr>
        <w:t>有效保护群众</w:t>
      </w:r>
      <w:r>
        <w:rPr>
          <w:rFonts w:hint="eastAsia" w:eastAsia="仿宋_GB2312" w:cs="Times New Roman"/>
          <w:kern w:val="0"/>
          <w:sz w:val="32"/>
          <w:szCs w:val="32"/>
          <w:lang w:val="en-US" w:eastAsia="zh-CN"/>
        </w:rPr>
        <w:t>生命财产安全</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取得了良好的社会效益和经济效益，评价</w:t>
      </w:r>
      <w:r>
        <w:rPr>
          <w:rFonts w:hint="eastAsia" w:eastAsia="仿宋_GB2312" w:cs="Times New Roman"/>
          <w:kern w:val="0"/>
          <w:sz w:val="32"/>
          <w:szCs w:val="32"/>
          <w:lang w:val="en-US" w:eastAsia="zh-CN"/>
        </w:rPr>
        <w:t>为</w:t>
      </w:r>
      <w:r>
        <w:rPr>
          <w:rFonts w:hint="eastAsia" w:ascii="Times New Roman" w:hAnsi="Times New Roman" w:eastAsia="仿宋_GB2312" w:cs="Times New Roman"/>
          <w:kern w:val="0"/>
          <w:sz w:val="32"/>
          <w:szCs w:val="32"/>
          <w:lang w:val="en-US" w:eastAsia="zh-CN"/>
        </w:rPr>
        <w:t>100分。</w:t>
      </w:r>
    </w:p>
    <w:p w14:paraId="7C47FA8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6C9219D8">
      <w:pPr>
        <w:adjustRightInd w:val="0"/>
        <w:snapToGrid w:val="0"/>
        <w:spacing w:line="352" w:lineRule="auto"/>
        <w:ind w:firstLine="640" w:firstLineChars="200"/>
        <w:rPr>
          <w:rFonts w:ascii="Times New Roman" w:hAnsi="Times New Roman" w:eastAsia="仿宋_GB2312" w:cs="Times New Roman"/>
          <w:sz w:val="32"/>
          <w:szCs w:val="32"/>
          <w:lang w:val="zh-CN"/>
        </w:rPr>
      </w:pPr>
      <w:r>
        <w:rPr>
          <w:rFonts w:hint="eastAsia" w:ascii="仿宋_GB2312" w:hAnsi="宋体" w:eastAsia="仿宋_GB2312" w:cs="Times New Roman"/>
          <w:sz w:val="32"/>
          <w:szCs w:val="32"/>
        </w:rPr>
        <w:t>该项目为监测人员补助费用，应当逐月发放，但部分月份项目资金支付不及时。</w:t>
      </w:r>
      <w:r>
        <w:rPr>
          <w:rFonts w:ascii="Times New Roman" w:hAnsi="Times New Roman" w:eastAsia="仿宋_GB2312" w:cs="Times New Roman"/>
          <w:sz w:val="32"/>
          <w:szCs w:val="32"/>
          <w:lang w:val="zh-CN"/>
        </w:rPr>
        <w:tab/>
      </w:r>
    </w:p>
    <w:p w14:paraId="0FF00D4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7B99CF81">
      <w:pPr>
        <w:adjustRightInd w:val="0"/>
        <w:snapToGrid w:val="0"/>
        <w:spacing w:line="352" w:lineRule="auto"/>
        <w:ind w:firstLine="640" w:firstLineChars="200"/>
        <w:rPr>
          <w:rFonts w:ascii="Times New Roman" w:hAnsi="Times New Roman" w:eastAsia="仿宋_GB2312" w:cs="Times New Roman"/>
          <w:sz w:val="32"/>
          <w:szCs w:val="32"/>
        </w:rPr>
      </w:pPr>
      <w:r>
        <w:rPr>
          <w:rFonts w:hint="eastAsia" w:ascii="仿宋_GB2312" w:hAnsi="宋体" w:eastAsia="仿宋_GB2312" w:cs="Times New Roman"/>
          <w:sz w:val="32"/>
          <w:szCs w:val="32"/>
          <w:lang w:val="zh-CN" w:eastAsia="zh-CN"/>
        </w:rPr>
        <w:t>请市级财政平台及时审批，确保补助资金可以逐月及时拨付到位。</w:t>
      </w:r>
    </w:p>
    <w:p w14:paraId="0D1ACCF7">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55100D4E">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4C8F7C53">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29BF8434">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11E9D5FC">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0A257E5B">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2F670BE0">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26566AE5">
      <w:pPr>
        <w:widowControl w:val="0"/>
        <w:spacing w:line="600" w:lineRule="exact"/>
        <w:ind w:firstLine="883"/>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2025年清理拖欠企业欠款（区级）</w:t>
      </w:r>
      <w:r>
        <w:rPr>
          <w:rFonts w:ascii="Times New Roman" w:hAnsi="Times New Roman" w:eastAsia="仿宋_GB2312" w:cs="Times New Roman"/>
          <w:color w:val="auto"/>
          <w:kern w:val="2"/>
          <w:sz w:val="32"/>
          <w:szCs w:val="32"/>
          <w:lang w:val="zh-CN" w:eastAsia="zh-CN" w:bidi="ar-SA"/>
        </w:rPr>
        <w:t>）</w:t>
      </w:r>
    </w:p>
    <w:p w14:paraId="5727AA35">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3C45AD36">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05E60B8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EE6350A">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zh-CN"/>
        </w:rPr>
        <w:t>主管单位职能职责</w:t>
      </w:r>
      <w:r>
        <w:rPr>
          <w:rFonts w:ascii="Times New Roman" w:hAnsi="Times New Roman" w:eastAsia="仿宋_GB2312" w:cs="Times New Roman"/>
          <w:sz w:val="32"/>
          <w:szCs w:val="32"/>
          <w:lang w:val="zh-CN"/>
        </w:rPr>
        <w:t>。</w:t>
      </w:r>
      <w:r>
        <w:rPr>
          <w:rFonts w:hint="eastAsia" w:ascii="仿宋_GB2312" w:hAnsi="Times New Roman" w:eastAsia="仿宋_GB2312" w:cs="Times New Roman"/>
          <w:sz w:val="32"/>
          <w:szCs w:val="32"/>
          <w:lang w:eastAsia="zh-CN"/>
        </w:rPr>
        <w:t>严格按照财务内控制度及上级要求，对历年拖欠企业欠款进行清理。</w:t>
      </w:r>
    </w:p>
    <w:p w14:paraId="463045A3">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en-US" w:eastAsia="zh-CN"/>
        </w:rPr>
        <w:t>2.</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该项资金为市级资金。</w:t>
      </w:r>
    </w:p>
    <w:p w14:paraId="3E332C51">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lang w:val="zh-CN"/>
        </w:rPr>
        <w:t>.资金分配的原则及考虑因素。</w:t>
      </w:r>
      <w:r>
        <w:rPr>
          <w:rFonts w:hint="eastAsia" w:ascii="Times New Roman" w:hAnsi="Times New Roman" w:eastAsia="仿宋_GB2312" w:cs="Times New Roman"/>
          <w:sz w:val="32"/>
          <w:szCs w:val="32"/>
          <w:lang w:val="zh-CN"/>
        </w:rPr>
        <w:t>根据项目清欠台账梳理确定项目支付金额。</w:t>
      </w:r>
    </w:p>
    <w:p w14:paraId="0F75EC3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6EED275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1.项目主要内容。</w:t>
      </w:r>
      <w:r>
        <w:rPr>
          <w:rFonts w:hint="eastAsia" w:ascii="Times New Roman" w:hAnsi="Times New Roman" w:eastAsia="仿宋_GB2312" w:cs="Times New Roman"/>
          <w:sz w:val="32"/>
          <w:szCs w:val="32"/>
          <w:lang w:val="zh-CN"/>
        </w:rPr>
        <w:t>切实做好梳理上报清欠</w:t>
      </w:r>
      <w:r>
        <w:rPr>
          <w:rFonts w:hint="eastAsia" w:ascii="Times New Roman" w:hAnsi="Times New Roman" w:eastAsia="仿宋_GB2312" w:cs="Times New Roman"/>
          <w:sz w:val="32"/>
          <w:szCs w:val="32"/>
          <w:lang w:val="en-US" w:eastAsia="zh-CN"/>
        </w:rPr>
        <w:t>2家中小企业欠款拨付工作</w:t>
      </w:r>
      <w:r>
        <w:rPr>
          <w:rFonts w:hint="eastAsia" w:ascii="Times New Roman" w:hAnsi="Times New Roman" w:eastAsia="仿宋_GB2312" w:cs="Times New Roman"/>
          <w:sz w:val="32"/>
          <w:szCs w:val="32"/>
          <w:lang w:val="zh-CN"/>
        </w:rPr>
        <w:t>。</w:t>
      </w:r>
    </w:p>
    <w:p w14:paraId="785EAD39">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2.项目应实现的具体绩效目标</w:t>
      </w:r>
      <w:r>
        <w:rPr>
          <w:rFonts w:hint="eastAsia" w:ascii="Times New Roman" w:hAnsi="Times New Roman" w:eastAsia="仿宋_GB2312" w:cs="Times New Roman"/>
          <w:sz w:val="32"/>
          <w:szCs w:val="32"/>
          <w:lang w:val="zh-CN"/>
        </w:rPr>
        <w:t>。数量指标：归还企业欠款</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val="zh-CN"/>
        </w:rPr>
        <w:t>家；社会效益指标：企业对政府工程更有信心≥</w:t>
      </w:r>
      <w:r>
        <w:rPr>
          <w:rFonts w:hint="eastAsia" w:ascii="Times New Roman" w:hAnsi="Times New Roman" w:eastAsia="仿宋_GB2312" w:cs="Times New Roman"/>
          <w:sz w:val="32"/>
          <w:szCs w:val="32"/>
          <w:lang w:val="en-US" w:eastAsia="zh-CN"/>
        </w:rPr>
        <w:t>85%</w:t>
      </w:r>
      <w:r>
        <w:rPr>
          <w:rFonts w:hint="eastAsia" w:ascii="Times New Roman" w:hAnsi="Times New Roman" w:eastAsia="仿宋_GB2312" w:cs="Times New Roman"/>
          <w:sz w:val="32"/>
          <w:szCs w:val="32"/>
          <w:lang w:val="zh-CN"/>
        </w:rPr>
        <w:t>；满意度指标：欠款企业满意≥</w:t>
      </w:r>
      <w:r>
        <w:rPr>
          <w:rFonts w:hint="eastAsia" w:ascii="Times New Roman" w:hAnsi="Times New Roman" w:eastAsia="仿宋_GB2312" w:cs="Times New Roman"/>
          <w:sz w:val="32"/>
          <w:szCs w:val="32"/>
          <w:lang w:val="en-US" w:eastAsia="zh-CN"/>
        </w:rPr>
        <w:t>90%。</w:t>
      </w:r>
    </w:p>
    <w:p w14:paraId="7502820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3.分析评价申报内容与实际相符，申报目标合理可行。</w:t>
      </w:r>
    </w:p>
    <w:p w14:paraId="147BB45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588C5BDE">
      <w:pPr>
        <w:numPr>
          <w:ilvl w:val="0"/>
          <w:numId w:val="0"/>
        </w:num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zh-CN" w:eastAsia="zh-CN"/>
        </w:rPr>
      </w:pPr>
      <w:r>
        <w:rPr>
          <w:rFonts w:hint="eastAsia" w:ascii="仿宋_GB2312" w:hAnsi="仿宋_GB2312" w:eastAsia="仿宋_GB2312" w:cs="仿宋_GB2312"/>
          <w:kern w:val="0"/>
          <w:sz w:val="32"/>
          <w:szCs w:val="32"/>
          <w:lang w:val="zh-CN" w:eastAsia="zh-CN"/>
        </w:rPr>
        <w:t>项目业主由攀枝花市自然资源和规划局西区分局担任，局长姚恬总负责，分管领导由杨旭副局长兼任，地矿股承担具体评价工作。根据预设项目绩效目标，</w:t>
      </w:r>
      <w:r>
        <w:rPr>
          <w:rFonts w:hint="eastAsia" w:ascii="仿宋_GB2312" w:hAnsi="仿宋_GB2312" w:eastAsia="仿宋_GB2312" w:cs="仿宋_GB2312"/>
          <w:kern w:val="0"/>
          <w:sz w:val="32"/>
          <w:szCs w:val="32"/>
          <w:lang w:val="zh-CN"/>
        </w:rPr>
        <w:t>结合项目自身特点、评价重点及管理办法等要求，围绕专项项目支出绩效评价指标体系对项目进行总体评价。评价方法如下：一是</w:t>
      </w:r>
      <w:r>
        <w:rPr>
          <w:rFonts w:hint="default" w:ascii="Times New Roman" w:hAnsi="Times New Roman" w:eastAsia="仿宋_GB2312" w:cs="Times New Roman"/>
          <w:sz w:val="32"/>
          <w:szCs w:val="32"/>
          <w:lang w:val="en-US" w:eastAsia="zh-CN"/>
        </w:rPr>
        <w:t>确定自评目的</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明确自评的目的，例如评估项目进度、评估项目质量、评估项目风险等。</w:t>
      </w:r>
      <w:r>
        <w:rPr>
          <w:rFonts w:hint="eastAsia" w:ascii="Times New Roman" w:hAnsi="Times New Roman" w:eastAsia="仿宋_GB2312" w:cs="Times New Roman"/>
          <w:sz w:val="32"/>
          <w:szCs w:val="32"/>
          <w:lang w:val="en-US" w:eastAsia="zh-CN"/>
        </w:rPr>
        <w:t>二是开展</w:t>
      </w:r>
      <w:r>
        <w:rPr>
          <w:rFonts w:hint="default" w:ascii="Times New Roman" w:hAnsi="Times New Roman" w:eastAsia="仿宋_GB2312" w:cs="Times New Roman"/>
          <w:sz w:val="32"/>
          <w:szCs w:val="32"/>
          <w:lang w:val="en-US" w:eastAsia="zh-CN"/>
        </w:rPr>
        <w:t>收集信息</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收集项目相关信息，包括项目计划、项目进度、项目成果、项目问题等。</w:t>
      </w:r>
      <w:r>
        <w:rPr>
          <w:rFonts w:hint="eastAsia" w:ascii="Times New Roman" w:hAnsi="Times New Roman" w:eastAsia="仿宋_GB2312" w:cs="Times New Roman"/>
          <w:sz w:val="32"/>
          <w:szCs w:val="32"/>
          <w:lang w:val="en-US" w:eastAsia="zh-CN"/>
        </w:rPr>
        <w:t>三是</w:t>
      </w:r>
      <w:r>
        <w:rPr>
          <w:rFonts w:hint="default" w:ascii="Times New Roman" w:hAnsi="Times New Roman" w:eastAsia="仿宋_GB2312" w:cs="Times New Roman"/>
          <w:sz w:val="32"/>
          <w:szCs w:val="32"/>
          <w:lang w:val="en-US" w:eastAsia="zh-CN"/>
        </w:rPr>
        <w:t>评估项目进度</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根据项目计划和实际进度进行比较，评估项目是否按时完成。</w:t>
      </w:r>
      <w:r>
        <w:rPr>
          <w:rFonts w:hint="eastAsia" w:ascii="Times New Roman" w:hAnsi="Times New Roman" w:eastAsia="仿宋_GB2312" w:cs="Times New Roman"/>
          <w:sz w:val="32"/>
          <w:szCs w:val="32"/>
          <w:lang w:val="en-US" w:eastAsia="zh-CN"/>
        </w:rPr>
        <w:t>四是</w:t>
      </w:r>
      <w:r>
        <w:rPr>
          <w:rFonts w:hint="default" w:ascii="Times New Roman" w:hAnsi="Times New Roman" w:eastAsia="仿宋_GB2312" w:cs="Times New Roman"/>
          <w:sz w:val="32"/>
          <w:szCs w:val="32"/>
          <w:lang w:val="en-US" w:eastAsia="zh-CN"/>
        </w:rPr>
        <w:t>评估项目质量</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根据项目成果和项目要求进行比较，评估项目成果是否符合要求。</w:t>
      </w:r>
      <w:r>
        <w:rPr>
          <w:rFonts w:hint="eastAsia" w:ascii="Times New Roman" w:hAnsi="Times New Roman" w:eastAsia="仿宋_GB2312" w:cs="Times New Roman"/>
          <w:sz w:val="32"/>
          <w:szCs w:val="32"/>
          <w:lang w:val="en-US" w:eastAsia="zh-CN"/>
        </w:rPr>
        <w:t>五是</w:t>
      </w:r>
      <w:r>
        <w:rPr>
          <w:rFonts w:hint="default" w:ascii="Times New Roman" w:hAnsi="Times New Roman" w:eastAsia="仿宋_GB2312" w:cs="Times New Roman"/>
          <w:sz w:val="32"/>
          <w:szCs w:val="32"/>
          <w:lang w:val="en-US" w:eastAsia="zh-CN"/>
        </w:rPr>
        <w:t>评估项目风险</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根据项目进程中出现的问题进行评估，评估项目未来可能出现的风险。</w:t>
      </w:r>
      <w:r>
        <w:rPr>
          <w:rFonts w:hint="eastAsia" w:ascii="Times New Roman" w:hAnsi="Times New Roman" w:eastAsia="仿宋_GB2312" w:cs="Times New Roman"/>
          <w:sz w:val="32"/>
          <w:szCs w:val="32"/>
          <w:lang w:val="en-US" w:eastAsia="zh-CN"/>
        </w:rPr>
        <w:t>六是</w:t>
      </w:r>
      <w:r>
        <w:rPr>
          <w:rFonts w:hint="default" w:ascii="Times New Roman" w:hAnsi="Times New Roman" w:eastAsia="仿宋_GB2312" w:cs="Times New Roman"/>
          <w:sz w:val="32"/>
          <w:szCs w:val="32"/>
          <w:lang w:val="en-US" w:eastAsia="zh-CN"/>
        </w:rPr>
        <w:t>总结评估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总结自评过程和结果，为今后的项目管理做出参考。</w:t>
      </w:r>
    </w:p>
    <w:p w14:paraId="59A8CD5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0B7B248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1AADFD8E">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该项目申报资金</w:t>
      </w:r>
      <w:r>
        <w:rPr>
          <w:rFonts w:hint="eastAsia" w:ascii="Times New Roman" w:hAnsi="Times New Roman" w:eastAsia="仿宋_GB2312" w:cs="Times New Roman"/>
          <w:sz w:val="32"/>
          <w:szCs w:val="32"/>
          <w:lang w:val="en-US" w:eastAsia="zh-CN"/>
        </w:rPr>
        <w:t>41.94万元，批复</w:t>
      </w:r>
      <w:r>
        <w:rPr>
          <w:rFonts w:hint="eastAsia" w:ascii="Times New Roman" w:hAnsi="Times New Roman" w:eastAsia="仿宋_GB2312" w:cs="Times New Roman"/>
          <w:sz w:val="32"/>
          <w:szCs w:val="32"/>
          <w:lang w:val="zh-CN"/>
        </w:rPr>
        <w:t>下达资金</w:t>
      </w:r>
      <w:r>
        <w:rPr>
          <w:rFonts w:hint="eastAsia" w:ascii="Times New Roman" w:hAnsi="Times New Roman" w:eastAsia="仿宋_GB2312" w:cs="Times New Roman"/>
          <w:sz w:val="32"/>
          <w:szCs w:val="32"/>
          <w:lang w:val="en-US" w:eastAsia="zh-CN"/>
        </w:rPr>
        <w:t>41.94万元。</w:t>
      </w:r>
    </w:p>
    <w:p w14:paraId="59B86EA5">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1378DFC9">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该项目资金全额来源于市级财政资金。</w:t>
      </w:r>
    </w:p>
    <w:p w14:paraId="5E65F4BC">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en-US" w:eastAsia="zh-CN"/>
        </w:rPr>
        <w:t>41.94万元全额到位，资金到位率100%。</w:t>
      </w:r>
    </w:p>
    <w:p w14:paraId="6478041A">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该项目下达资金</w:t>
      </w:r>
      <w:r>
        <w:rPr>
          <w:rFonts w:hint="eastAsia" w:ascii="Times New Roman" w:hAnsi="Times New Roman" w:eastAsia="仿宋_GB2312" w:cs="Times New Roman"/>
          <w:sz w:val="32"/>
          <w:szCs w:val="32"/>
          <w:lang w:val="en-US" w:eastAsia="zh-CN"/>
        </w:rPr>
        <w:t>41.94万元，实际使用资金41.94万元，使用率100%。</w:t>
      </w:r>
    </w:p>
    <w:p w14:paraId="4F6E196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7FB82AF4">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仿宋_GB2312" w:cs="Times New Roman"/>
          <w:sz w:val="32"/>
          <w:szCs w:val="32"/>
          <w:lang w:val="zh-CN"/>
        </w:rPr>
      </w:pPr>
      <w:r>
        <w:rPr>
          <w:rFonts w:hint="eastAsia" w:ascii="Calibri" w:hAnsi="Calibri" w:eastAsia="仿宋_GB2312" w:cs="Times New Roman"/>
          <w:sz w:val="32"/>
          <w:szCs w:val="32"/>
          <w:lang w:val="zh-CN"/>
        </w:rPr>
        <w:t>项目严格</w:t>
      </w:r>
      <w:r>
        <w:rPr>
          <w:rFonts w:ascii="Calibri" w:hAnsi="Calibri" w:eastAsia="仿宋_GB2312" w:cs="Times New Roman"/>
          <w:sz w:val="32"/>
          <w:szCs w:val="32"/>
          <w:lang w:val="zh-CN"/>
        </w:rPr>
        <w:t>按照国家有关法规，实行项目法人制、招投标制、工程监理制、工程验收制</w:t>
      </w:r>
      <w:r>
        <w:rPr>
          <w:rFonts w:hint="eastAsia" w:ascii="Calibri" w:hAnsi="Calibri" w:eastAsia="仿宋_GB2312" w:cs="Times New Roman"/>
          <w:sz w:val="32"/>
          <w:szCs w:val="32"/>
          <w:lang w:val="zh-CN"/>
        </w:rPr>
        <w:t>，项目管理规范</w:t>
      </w:r>
      <w:r>
        <w:rPr>
          <w:rFonts w:ascii="Calibri" w:hAnsi="Calibri" w:eastAsia="仿宋_GB2312" w:cs="Times New Roman"/>
          <w:sz w:val="32"/>
          <w:szCs w:val="32"/>
          <w:lang w:val="zh-CN"/>
        </w:rPr>
        <w:t>。</w:t>
      </w:r>
    </w:p>
    <w:p w14:paraId="43C99E0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D8A5254">
      <w:pPr>
        <w:keepNext w:val="0"/>
        <w:keepLines w:val="0"/>
        <w:pageBreakBefore w:val="0"/>
        <w:kinsoku/>
        <w:wordWrap/>
        <w:overflowPunct/>
        <w:topLinePunct w:val="0"/>
        <w:autoSpaceDE/>
        <w:autoSpaceDN/>
        <w:bidi w:val="0"/>
        <w:adjustRightInd w:val="0"/>
        <w:snapToGrid w:val="0"/>
        <w:spacing w:line="560" w:lineRule="exact"/>
        <w:ind w:firstLine="72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项目组织架构上，县区政府为责任主体，市自然资源和规划主管部门实施监督管理，县区自然资源和规划主管部门具体组织实施。财政补助资金项目按如下流程实施：县区自然资源和规划主管部门具体组织编制勘察、可行性研究及施工图设计并报市自然资源和规划主管部门审查，审查后由市自然资源和规划主管部门印发勘察、可行性研究、施工图设计等专家审查意见；县区自然资源和规划主管部门根据专家审查意见向市自然资源和规划主管部门报请立项；市自然资源和规划主管部门局务会或党委会研究同意后，下达立项批复；县区自然资源和规划主管部门根据市自然资源和规划主管部门的立项批复，组织施工、监理单位招投标，并确定施工、监理单位；县区自然资源和规划主管部门组织施工单位、监理单位进行施工；项目完工后，施工单位、监理单位进行自查总结，报请县区自然资源和规划主管部门申请初步验收；初步验收合格并整改完成后，县区自然资源和规划主管部门报请市自然资源和规划主管部门进行最终验收。</w:t>
      </w:r>
    </w:p>
    <w:p w14:paraId="5935045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70D1DAA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4BA4E3E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1.预算执行情况（得分</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33017BE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年度预算绩效资金为</w:t>
      </w:r>
      <w:r>
        <w:rPr>
          <w:rFonts w:hint="eastAsia" w:ascii="Times New Roman" w:hAnsi="Times New Roman" w:eastAsia="仿宋_GB2312" w:cs="仿宋_GB2312"/>
          <w:b w:val="0"/>
          <w:bCs w:val="0"/>
          <w:kern w:val="0"/>
          <w:position w:val="0"/>
          <w:sz w:val="32"/>
          <w:szCs w:val="32"/>
          <w:highlight w:val="none"/>
          <w:lang w:val="en-US" w:eastAsia="zh-CN" w:bidi="ar-SA"/>
        </w:rPr>
        <w:t>41.94</w:t>
      </w:r>
      <w:r>
        <w:rPr>
          <w:rFonts w:hint="eastAsia" w:ascii="Times New Roman" w:hAnsi="Times New Roman" w:eastAsia="仿宋_GB2312" w:cs="仿宋_GB2312"/>
          <w:b w:val="0"/>
          <w:bCs w:val="0"/>
          <w:kern w:val="0"/>
          <w:position w:val="0"/>
          <w:sz w:val="32"/>
          <w:szCs w:val="32"/>
          <w:highlight w:val="none"/>
          <w:lang w:val="zh-CN" w:eastAsia="zh-CN" w:bidi="ar-SA"/>
        </w:rPr>
        <w:t>万元，支付</w:t>
      </w:r>
      <w:r>
        <w:rPr>
          <w:rFonts w:hint="eastAsia" w:ascii="Times New Roman" w:hAnsi="Times New Roman" w:eastAsia="仿宋_GB2312" w:cs="仿宋_GB2312"/>
          <w:b w:val="0"/>
          <w:bCs w:val="0"/>
          <w:kern w:val="0"/>
          <w:position w:val="0"/>
          <w:sz w:val="32"/>
          <w:szCs w:val="32"/>
          <w:highlight w:val="none"/>
          <w:lang w:val="en-US" w:eastAsia="zh-CN" w:bidi="ar-SA"/>
        </w:rPr>
        <w:t>41.94</w:t>
      </w:r>
      <w:r>
        <w:rPr>
          <w:rFonts w:hint="eastAsia" w:ascii="Times New Roman" w:hAnsi="Times New Roman" w:eastAsia="仿宋_GB2312" w:cs="仿宋_GB2312"/>
          <w:b w:val="0"/>
          <w:bCs w:val="0"/>
          <w:kern w:val="0"/>
          <w:position w:val="0"/>
          <w:sz w:val="32"/>
          <w:szCs w:val="32"/>
          <w:highlight w:val="none"/>
          <w:lang w:val="zh-CN" w:eastAsia="zh-CN" w:bidi="ar-SA"/>
        </w:rPr>
        <w:t>万元，执行率为</w:t>
      </w:r>
      <w:r>
        <w:rPr>
          <w:rFonts w:hint="eastAsia" w:ascii="Times New Roman" w:hAnsi="Times New Roman" w:eastAsia="仿宋_GB2312" w:cs="仿宋_GB2312"/>
          <w:b w:val="0"/>
          <w:bCs w:val="0"/>
          <w:kern w:val="0"/>
          <w:position w:val="0"/>
          <w:sz w:val="32"/>
          <w:szCs w:val="32"/>
          <w:highlight w:val="none"/>
          <w:lang w:val="en-US" w:eastAsia="zh-CN" w:bidi="ar-SA"/>
        </w:rPr>
        <w:t>100</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00A38B7E">
      <w:pPr>
        <w:adjustRightInd w:val="0"/>
        <w:snapToGrid w:val="0"/>
        <w:spacing w:line="600" w:lineRule="exact"/>
        <w:ind w:firstLine="720"/>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2.绩效指标完成情况（得分90分）</w:t>
      </w:r>
    </w:p>
    <w:p w14:paraId="0698E79D">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①</w:t>
      </w:r>
      <w:r>
        <w:rPr>
          <w:rFonts w:hint="eastAsia" w:ascii="Times New Roman" w:hAnsi="Times New Roman" w:eastAsia="仿宋_GB2312" w:cs="Times New Roman"/>
          <w:sz w:val="32"/>
          <w:szCs w:val="32"/>
          <w:lang w:val="zh-CN"/>
        </w:rPr>
        <w:t>数量指标：归还企业欠款</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val="zh-CN"/>
        </w:rPr>
        <w:t>家。（</w:t>
      </w:r>
      <w:r>
        <w:rPr>
          <w:rFonts w:hint="eastAsia" w:ascii="Times New Roman" w:hAnsi="Times New Roman" w:eastAsia="仿宋_GB2312" w:cs="Times New Roman"/>
          <w:sz w:val="32"/>
          <w:szCs w:val="32"/>
          <w:lang w:val="en-US" w:eastAsia="zh-CN"/>
        </w:rPr>
        <w:t>60分</w:t>
      </w:r>
      <w:r>
        <w:rPr>
          <w:rFonts w:hint="eastAsia" w:ascii="Times New Roman" w:hAnsi="Times New Roman" w:eastAsia="仿宋_GB2312" w:cs="Times New Roman"/>
          <w:sz w:val="32"/>
          <w:szCs w:val="32"/>
          <w:lang w:val="zh-CN"/>
        </w:rPr>
        <w:t>）</w:t>
      </w:r>
    </w:p>
    <w:p w14:paraId="01342E0C">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②</w:t>
      </w:r>
      <w:r>
        <w:rPr>
          <w:rFonts w:hint="eastAsia" w:ascii="Times New Roman" w:hAnsi="Times New Roman" w:eastAsia="仿宋_GB2312" w:cs="Times New Roman"/>
          <w:sz w:val="32"/>
          <w:szCs w:val="32"/>
          <w:lang w:val="zh-CN"/>
        </w:rPr>
        <w:t>社会效益指标：企业对政府工程更有信心≥</w:t>
      </w:r>
      <w:r>
        <w:rPr>
          <w:rFonts w:hint="eastAsia" w:ascii="Times New Roman" w:hAnsi="Times New Roman" w:eastAsia="仿宋_GB2312" w:cs="Times New Roman"/>
          <w:sz w:val="32"/>
          <w:szCs w:val="32"/>
          <w:lang w:val="en-US" w:eastAsia="zh-CN"/>
        </w:rPr>
        <w:t>85%</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20分</w:t>
      </w:r>
      <w:r>
        <w:rPr>
          <w:rFonts w:hint="eastAsia" w:ascii="Times New Roman" w:hAnsi="Times New Roman" w:eastAsia="仿宋_GB2312" w:cs="Times New Roman"/>
          <w:sz w:val="32"/>
          <w:szCs w:val="32"/>
          <w:lang w:val="zh-CN"/>
        </w:rPr>
        <w:t>）</w:t>
      </w:r>
    </w:p>
    <w:p w14:paraId="0815EAAA">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仿宋_GB2312"/>
          <w:b w:val="0"/>
          <w:bCs w:val="0"/>
          <w:kern w:val="0"/>
          <w:position w:val="0"/>
          <w:sz w:val="32"/>
          <w:szCs w:val="32"/>
          <w:highlight w:val="none"/>
          <w:lang w:val="zh-CN" w:eastAsia="zh-CN" w:bidi="ar-SA"/>
        </w:rPr>
        <w:t>③</w:t>
      </w:r>
      <w:r>
        <w:rPr>
          <w:rFonts w:hint="eastAsia" w:ascii="Times New Roman" w:hAnsi="Times New Roman" w:eastAsia="仿宋_GB2312" w:cs="Times New Roman"/>
          <w:sz w:val="32"/>
          <w:szCs w:val="32"/>
          <w:lang w:val="zh-CN"/>
        </w:rPr>
        <w:t>满意度指标：欠款企业满</w:t>
      </w:r>
      <w:r>
        <w:rPr>
          <w:rFonts w:hint="eastAsia" w:eastAsia="仿宋_GB2312" w:cs="Times New Roman"/>
          <w:sz w:val="32"/>
          <w:szCs w:val="32"/>
          <w:lang w:val="zh-CN"/>
        </w:rPr>
        <w:t>意度</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90%。（10分）</w:t>
      </w:r>
      <w:r>
        <w:rPr>
          <w:rFonts w:hint="eastAsia" w:ascii="Times New Roman" w:hAnsi="Times New Roman" w:eastAsia="仿宋_GB2312" w:cs="Times New Roman"/>
          <w:sz w:val="32"/>
          <w:szCs w:val="32"/>
          <w:lang w:val="zh-CN"/>
        </w:rPr>
        <w:t>完成一项隐患排查工作；</w:t>
      </w:r>
    </w:p>
    <w:p w14:paraId="28FCB8C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6793CF3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11D6C2EE">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仿宋_GB2312" w:hAnsi="仿宋_GB2312" w:eastAsia="仿宋_GB2312" w:cs="仿宋_GB2312"/>
          <w:kern w:val="0"/>
          <w:sz w:val="32"/>
          <w:szCs w:val="32"/>
          <w:lang w:eastAsia="zh-CN"/>
        </w:rPr>
        <w:t>总体上看，该项目立项依据充分，绩效目标明确，管理制度健全，组织实施有序，资金使用规范，实施效果良好</w:t>
      </w:r>
      <w:r>
        <w:rPr>
          <w:rFonts w:hint="eastAsia" w:ascii="仿宋_GB2312" w:hAnsi="仿宋_GB2312" w:eastAsia="仿宋_GB2312" w:cs="仿宋_GB2312"/>
          <w:kern w:val="0"/>
          <w:sz w:val="32"/>
          <w:szCs w:val="32"/>
          <w:lang w:val="zh-CN"/>
        </w:rPr>
        <w:t>。通过项目实施，</w:t>
      </w:r>
      <w:r>
        <w:rPr>
          <w:rFonts w:hint="default" w:ascii="Times New Roman" w:hAnsi="Times New Roman" w:eastAsia="仿宋_GB2312" w:cs="Times New Roman"/>
          <w:kern w:val="0"/>
          <w:sz w:val="32"/>
          <w:szCs w:val="32"/>
          <w:lang w:val="en-US" w:eastAsia="zh-CN"/>
        </w:rPr>
        <w:t>有效保护群众</w:t>
      </w:r>
      <w:r>
        <w:rPr>
          <w:rFonts w:hint="eastAsia" w:eastAsia="仿宋_GB2312" w:cs="Times New Roman"/>
          <w:kern w:val="0"/>
          <w:sz w:val="32"/>
          <w:szCs w:val="32"/>
          <w:lang w:val="en-US" w:eastAsia="zh-CN"/>
        </w:rPr>
        <w:t>生命财产安全</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取得了良好的社会效益和经济效益，评价</w:t>
      </w:r>
      <w:r>
        <w:rPr>
          <w:rFonts w:hint="eastAsia" w:eastAsia="仿宋_GB2312" w:cs="Times New Roman"/>
          <w:kern w:val="0"/>
          <w:sz w:val="32"/>
          <w:szCs w:val="32"/>
          <w:lang w:val="en-US" w:eastAsia="zh-CN"/>
        </w:rPr>
        <w:t>为</w:t>
      </w:r>
      <w:r>
        <w:rPr>
          <w:rFonts w:hint="eastAsia" w:ascii="Times New Roman" w:hAnsi="Times New Roman" w:eastAsia="仿宋_GB2312" w:cs="Times New Roman"/>
          <w:kern w:val="0"/>
          <w:sz w:val="32"/>
          <w:szCs w:val="32"/>
          <w:lang w:val="en-US" w:eastAsia="zh-CN"/>
        </w:rPr>
        <w:t>100分</w:t>
      </w:r>
      <w:r>
        <w:rPr>
          <w:rFonts w:ascii="Times New Roman" w:hAnsi="Times New Roman" w:eastAsia="仿宋_GB2312" w:cs="Times New Roman"/>
          <w:sz w:val="32"/>
          <w:szCs w:val="32"/>
          <w:lang w:val="zh-CN"/>
        </w:rPr>
        <w:t>。</w:t>
      </w:r>
    </w:p>
    <w:p w14:paraId="6648855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0453473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7208BEE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58F36E17">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3636FCEF">
      <w:pPr>
        <w:rPr>
          <w:rFonts w:ascii="Times New Roman" w:hAnsi="Times New Roman" w:eastAsia="仿宋_GB2312" w:cs="Times New Roman"/>
          <w:sz w:val="32"/>
          <w:szCs w:val="32"/>
        </w:rPr>
      </w:pPr>
    </w:p>
    <w:p w14:paraId="64640576">
      <w:pPr>
        <w:pStyle w:val="6"/>
        <w:rPr>
          <w:rFonts w:hint="eastAsia"/>
        </w:rPr>
      </w:pPr>
    </w:p>
    <w:p w14:paraId="2738562F">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1A07E4FF">
      <w:pPr>
        <w:spacing w:line="600" w:lineRule="exact"/>
        <w:rPr>
          <w:rFonts w:hint="eastAsia" w:ascii="Times New Roman" w:hAnsi="Times New Roman" w:eastAsia="黑体" w:cs="Times New Roman"/>
          <w:sz w:val="32"/>
          <w:szCs w:val="32"/>
          <w:lang w:eastAsia="zh-CN"/>
        </w:rPr>
      </w:pPr>
      <w:r>
        <w:rPr>
          <w:rFonts w:hint="eastAsia" w:ascii="Times New Roman" w:hAnsi="Times New Roman" w:eastAsia="黑体"/>
          <w:color w:val="auto"/>
          <w:sz w:val="44"/>
          <w:szCs w:val="44"/>
          <w:highlight w:val="none"/>
        </w:rPr>
        <w:br w:type="page"/>
      </w:r>
      <w:r>
        <w:rPr>
          <w:rFonts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2</w:t>
      </w:r>
    </w:p>
    <w:p w14:paraId="332ED0B0">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42A6E069">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6957DCDD">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2025年清理拖欠企业欠款（市级）</w:t>
      </w:r>
      <w:r>
        <w:rPr>
          <w:rFonts w:ascii="Times New Roman" w:hAnsi="Times New Roman" w:eastAsia="仿宋_GB2312" w:cs="Times New Roman"/>
          <w:color w:val="auto"/>
          <w:kern w:val="2"/>
          <w:sz w:val="32"/>
          <w:szCs w:val="32"/>
          <w:lang w:val="zh-CN" w:eastAsia="zh-CN" w:bidi="ar-SA"/>
        </w:rPr>
        <w:t>）</w:t>
      </w:r>
    </w:p>
    <w:p w14:paraId="3DA72891">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2A0C0E73">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4E155AF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7B4B67C">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zh-CN"/>
        </w:rPr>
        <w:t>主管单位职能职责</w:t>
      </w:r>
      <w:r>
        <w:rPr>
          <w:rFonts w:ascii="Times New Roman" w:hAnsi="Times New Roman" w:eastAsia="仿宋_GB2312" w:cs="Times New Roman"/>
          <w:sz w:val="32"/>
          <w:szCs w:val="32"/>
          <w:lang w:val="zh-CN"/>
        </w:rPr>
        <w:t>。</w:t>
      </w:r>
      <w:r>
        <w:rPr>
          <w:rFonts w:hint="eastAsia" w:ascii="仿宋_GB2312" w:hAnsi="Times New Roman" w:eastAsia="仿宋_GB2312" w:cs="Times New Roman"/>
          <w:sz w:val="32"/>
          <w:szCs w:val="32"/>
          <w:lang w:eastAsia="zh-CN"/>
        </w:rPr>
        <w:t>严格按照财务内控制度及上级要求，对历年拖欠企业欠款进行清理。</w:t>
      </w:r>
    </w:p>
    <w:p w14:paraId="4D38E9AB">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en-US" w:eastAsia="zh-CN"/>
        </w:rPr>
        <w:t>2.</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该项资金为市级资金。</w:t>
      </w:r>
    </w:p>
    <w:p w14:paraId="50C70221">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lang w:val="zh-CN"/>
        </w:rPr>
        <w:t>.资金分配的原则及考虑因素。</w:t>
      </w:r>
      <w:r>
        <w:rPr>
          <w:rFonts w:hint="eastAsia" w:ascii="Times New Roman" w:hAnsi="Times New Roman" w:eastAsia="仿宋_GB2312" w:cs="Times New Roman"/>
          <w:sz w:val="32"/>
          <w:szCs w:val="32"/>
          <w:lang w:val="zh-CN"/>
        </w:rPr>
        <w:t>根据项目清欠台账梳理确定项目支付金额。</w:t>
      </w:r>
    </w:p>
    <w:p w14:paraId="2DEDF57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FFC21A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1.项目主要内容。</w:t>
      </w:r>
      <w:r>
        <w:rPr>
          <w:rFonts w:hint="eastAsia" w:ascii="Times New Roman" w:hAnsi="Times New Roman" w:eastAsia="仿宋_GB2312" w:cs="Times New Roman"/>
          <w:sz w:val="32"/>
          <w:szCs w:val="32"/>
          <w:lang w:val="zh-CN"/>
        </w:rPr>
        <w:t>切实做好梳理上报清欠</w:t>
      </w:r>
      <w:r>
        <w:rPr>
          <w:rFonts w:hint="eastAsia" w:ascii="Times New Roman" w:hAnsi="Times New Roman" w:eastAsia="仿宋_GB2312" w:cs="Times New Roman"/>
          <w:sz w:val="32"/>
          <w:szCs w:val="32"/>
          <w:lang w:val="en-US" w:eastAsia="zh-CN"/>
        </w:rPr>
        <w:t>9家中小企业欠款拨付工作</w:t>
      </w:r>
      <w:r>
        <w:rPr>
          <w:rFonts w:hint="eastAsia" w:ascii="Times New Roman" w:hAnsi="Times New Roman" w:eastAsia="仿宋_GB2312" w:cs="Times New Roman"/>
          <w:sz w:val="32"/>
          <w:szCs w:val="32"/>
          <w:lang w:val="zh-CN"/>
        </w:rPr>
        <w:t>。</w:t>
      </w:r>
    </w:p>
    <w:p w14:paraId="4A13A5F8">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2.项目应实现的具体绩效目标</w:t>
      </w:r>
      <w:r>
        <w:rPr>
          <w:rFonts w:hint="eastAsia" w:ascii="Times New Roman" w:hAnsi="Times New Roman" w:eastAsia="仿宋_GB2312" w:cs="Times New Roman"/>
          <w:sz w:val="32"/>
          <w:szCs w:val="32"/>
          <w:lang w:val="zh-CN"/>
        </w:rPr>
        <w:t>。数量指标：归还企业欠款9家；社会效益指标：企业对政府工程更有信心≥</w:t>
      </w:r>
      <w:r>
        <w:rPr>
          <w:rFonts w:hint="eastAsia" w:ascii="Times New Roman" w:hAnsi="Times New Roman" w:eastAsia="仿宋_GB2312" w:cs="Times New Roman"/>
          <w:sz w:val="32"/>
          <w:szCs w:val="32"/>
          <w:lang w:val="en-US" w:eastAsia="zh-CN"/>
        </w:rPr>
        <w:t>70%</w:t>
      </w:r>
      <w:r>
        <w:rPr>
          <w:rFonts w:hint="eastAsia" w:ascii="Times New Roman" w:hAnsi="Times New Roman" w:eastAsia="仿宋_GB2312" w:cs="Times New Roman"/>
          <w:sz w:val="32"/>
          <w:szCs w:val="32"/>
          <w:lang w:val="zh-CN"/>
        </w:rPr>
        <w:t>；满意度指标：欠款企业满意≥</w:t>
      </w:r>
      <w:r>
        <w:rPr>
          <w:rFonts w:hint="eastAsia" w:ascii="Times New Roman" w:hAnsi="Times New Roman" w:eastAsia="仿宋_GB2312" w:cs="Times New Roman"/>
          <w:sz w:val="32"/>
          <w:szCs w:val="32"/>
          <w:lang w:val="en-US" w:eastAsia="zh-CN"/>
        </w:rPr>
        <w:t>90%。</w:t>
      </w:r>
    </w:p>
    <w:p w14:paraId="73729BB2">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3.分析评价申报内容与实际相符，申报目标合理可行。</w:t>
      </w:r>
    </w:p>
    <w:p w14:paraId="7C87519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49F526F8">
      <w:pPr>
        <w:numPr>
          <w:ilvl w:val="0"/>
          <w:numId w:val="0"/>
        </w:num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zh-CN" w:eastAsia="zh-CN"/>
        </w:rPr>
      </w:pPr>
      <w:r>
        <w:rPr>
          <w:rFonts w:hint="eastAsia" w:ascii="仿宋_GB2312" w:hAnsi="仿宋_GB2312" w:eastAsia="仿宋_GB2312" w:cs="仿宋_GB2312"/>
          <w:kern w:val="0"/>
          <w:sz w:val="32"/>
          <w:szCs w:val="32"/>
          <w:lang w:val="zh-CN" w:eastAsia="zh-CN"/>
        </w:rPr>
        <w:t>项目业主由攀枝花市自然资源和规划局西区分局担任，局长姚恬总负责，分管领导由杨旭副局长兼任，地矿股承担具体评价工作。根据预设项目绩效目标，</w:t>
      </w:r>
      <w:r>
        <w:rPr>
          <w:rFonts w:hint="eastAsia" w:ascii="仿宋_GB2312" w:hAnsi="仿宋_GB2312" w:eastAsia="仿宋_GB2312" w:cs="仿宋_GB2312"/>
          <w:kern w:val="0"/>
          <w:sz w:val="32"/>
          <w:szCs w:val="32"/>
          <w:lang w:val="zh-CN"/>
        </w:rPr>
        <w:t>结合项目自身特点、评价重点及管理办法等要求，围绕专项项目支出绩效评价指标体系对项目进行总体评价。评价方法如下：一是</w:t>
      </w:r>
      <w:r>
        <w:rPr>
          <w:rFonts w:hint="default" w:ascii="Times New Roman" w:hAnsi="Times New Roman" w:eastAsia="仿宋_GB2312" w:cs="Times New Roman"/>
          <w:sz w:val="32"/>
          <w:szCs w:val="32"/>
          <w:lang w:val="en-US" w:eastAsia="zh-CN"/>
        </w:rPr>
        <w:t>确定自评目的</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明确自评的目的，例如评估项目进度、评估项目质量、评估项目风险等。</w:t>
      </w:r>
      <w:r>
        <w:rPr>
          <w:rFonts w:hint="eastAsia" w:ascii="Times New Roman" w:hAnsi="Times New Roman" w:eastAsia="仿宋_GB2312" w:cs="Times New Roman"/>
          <w:sz w:val="32"/>
          <w:szCs w:val="32"/>
          <w:lang w:val="en-US" w:eastAsia="zh-CN"/>
        </w:rPr>
        <w:t>二是开展</w:t>
      </w:r>
      <w:r>
        <w:rPr>
          <w:rFonts w:hint="default" w:ascii="Times New Roman" w:hAnsi="Times New Roman" w:eastAsia="仿宋_GB2312" w:cs="Times New Roman"/>
          <w:sz w:val="32"/>
          <w:szCs w:val="32"/>
          <w:lang w:val="en-US" w:eastAsia="zh-CN"/>
        </w:rPr>
        <w:t>收集信息</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收集项目相关信息，包括项目计划、项目进度、项目成果、项目问题等。</w:t>
      </w:r>
      <w:r>
        <w:rPr>
          <w:rFonts w:hint="eastAsia" w:ascii="Times New Roman" w:hAnsi="Times New Roman" w:eastAsia="仿宋_GB2312" w:cs="Times New Roman"/>
          <w:sz w:val="32"/>
          <w:szCs w:val="32"/>
          <w:lang w:val="en-US" w:eastAsia="zh-CN"/>
        </w:rPr>
        <w:t>三是</w:t>
      </w:r>
      <w:r>
        <w:rPr>
          <w:rFonts w:hint="default" w:ascii="Times New Roman" w:hAnsi="Times New Roman" w:eastAsia="仿宋_GB2312" w:cs="Times New Roman"/>
          <w:sz w:val="32"/>
          <w:szCs w:val="32"/>
          <w:lang w:val="en-US" w:eastAsia="zh-CN"/>
        </w:rPr>
        <w:t>评估项目进度</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根据项目计划和实际进度进行比较，评估项目是否按时完成。</w:t>
      </w:r>
      <w:r>
        <w:rPr>
          <w:rFonts w:hint="eastAsia" w:ascii="Times New Roman" w:hAnsi="Times New Roman" w:eastAsia="仿宋_GB2312" w:cs="Times New Roman"/>
          <w:sz w:val="32"/>
          <w:szCs w:val="32"/>
          <w:lang w:val="en-US" w:eastAsia="zh-CN"/>
        </w:rPr>
        <w:t>四是</w:t>
      </w:r>
      <w:r>
        <w:rPr>
          <w:rFonts w:hint="default" w:ascii="Times New Roman" w:hAnsi="Times New Roman" w:eastAsia="仿宋_GB2312" w:cs="Times New Roman"/>
          <w:sz w:val="32"/>
          <w:szCs w:val="32"/>
          <w:lang w:val="en-US" w:eastAsia="zh-CN"/>
        </w:rPr>
        <w:t>评估项目质量</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根据项目成果和项目要求进行比较，评估项目成果是否符合要求。</w:t>
      </w:r>
      <w:r>
        <w:rPr>
          <w:rFonts w:hint="eastAsia" w:ascii="Times New Roman" w:hAnsi="Times New Roman" w:eastAsia="仿宋_GB2312" w:cs="Times New Roman"/>
          <w:sz w:val="32"/>
          <w:szCs w:val="32"/>
          <w:lang w:val="en-US" w:eastAsia="zh-CN"/>
        </w:rPr>
        <w:t>五是</w:t>
      </w:r>
      <w:r>
        <w:rPr>
          <w:rFonts w:hint="default" w:ascii="Times New Roman" w:hAnsi="Times New Roman" w:eastAsia="仿宋_GB2312" w:cs="Times New Roman"/>
          <w:sz w:val="32"/>
          <w:szCs w:val="32"/>
          <w:lang w:val="en-US" w:eastAsia="zh-CN"/>
        </w:rPr>
        <w:t>评估项目风险</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根据项目进程中出现的问题进行评估，评估项目未来可能出现的风险。</w:t>
      </w:r>
      <w:r>
        <w:rPr>
          <w:rFonts w:hint="eastAsia" w:ascii="Times New Roman" w:hAnsi="Times New Roman" w:eastAsia="仿宋_GB2312" w:cs="Times New Roman"/>
          <w:sz w:val="32"/>
          <w:szCs w:val="32"/>
          <w:lang w:val="en-US" w:eastAsia="zh-CN"/>
        </w:rPr>
        <w:t>六是</w:t>
      </w:r>
      <w:r>
        <w:rPr>
          <w:rFonts w:hint="default" w:ascii="Times New Roman" w:hAnsi="Times New Roman" w:eastAsia="仿宋_GB2312" w:cs="Times New Roman"/>
          <w:sz w:val="32"/>
          <w:szCs w:val="32"/>
          <w:lang w:val="en-US" w:eastAsia="zh-CN"/>
        </w:rPr>
        <w:t>总结评估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总结自评过程和结果，为今后的项目管理做出参考。</w:t>
      </w:r>
    </w:p>
    <w:p w14:paraId="407B9EF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6C4DADD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15453F78">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该项目申报资金</w:t>
      </w:r>
      <w:r>
        <w:rPr>
          <w:rFonts w:hint="eastAsia" w:ascii="Times New Roman" w:hAnsi="Times New Roman" w:eastAsia="仿宋_GB2312" w:cs="Times New Roman"/>
          <w:sz w:val="32"/>
          <w:szCs w:val="32"/>
          <w:lang w:val="en-US" w:eastAsia="zh-CN"/>
        </w:rPr>
        <w:t>43.91万元，批复</w:t>
      </w:r>
      <w:r>
        <w:rPr>
          <w:rFonts w:hint="eastAsia" w:ascii="Times New Roman" w:hAnsi="Times New Roman" w:eastAsia="仿宋_GB2312" w:cs="Times New Roman"/>
          <w:sz w:val="32"/>
          <w:szCs w:val="32"/>
          <w:lang w:val="zh-CN"/>
        </w:rPr>
        <w:t>下达资金</w:t>
      </w:r>
      <w:r>
        <w:rPr>
          <w:rFonts w:hint="eastAsia" w:ascii="Times New Roman" w:hAnsi="Times New Roman" w:eastAsia="仿宋_GB2312" w:cs="Times New Roman"/>
          <w:sz w:val="32"/>
          <w:szCs w:val="32"/>
          <w:lang w:val="en-US" w:eastAsia="zh-CN"/>
        </w:rPr>
        <w:t>43.91万元。</w:t>
      </w:r>
    </w:p>
    <w:p w14:paraId="3DDC00F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1AABAF41">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该项目资金全额来源于市级财政资金。</w:t>
      </w:r>
    </w:p>
    <w:p w14:paraId="00A24ECA">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en-US" w:eastAsia="zh-CN"/>
        </w:rPr>
        <w:t>43.91万元全额到位，资金到位率100%。</w:t>
      </w:r>
    </w:p>
    <w:p w14:paraId="45DEC84B">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该项目下达资金</w:t>
      </w:r>
      <w:r>
        <w:rPr>
          <w:rFonts w:hint="eastAsia" w:ascii="Times New Roman" w:hAnsi="Times New Roman" w:eastAsia="仿宋_GB2312" w:cs="Times New Roman"/>
          <w:sz w:val="32"/>
          <w:szCs w:val="32"/>
          <w:lang w:val="en-US" w:eastAsia="zh-CN"/>
        </w:rPr>
        <w:t>43.91万元，实际使用资金43.91万元，使用率100%。</w:t>
      </w:r>
    </w:p>
    <w:p w14:paraId="5D2B10C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A1A3DE8">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仿宋_GB2312" w:cs="Times New Roman"/>
          <w:sz w:val="32"/>
          <w:szCs w:val="32"/>
          <w:lang w:val="zh-CN"/>
        </w:rPr>
      </w:pPr>
      <w:r>
        <w:rPr>
          <w:rFonts w:hint="eastAsia" w:ascii="Calibri" w:hAnsi="Calibri" w:eastAsia="仿宋_GB2312" w:cs="Times New Roman"/>
          <w:sz w:val="32"/>
          <w:szCs w:val="32"/>
          <w:lang w:val="zh-CN"/>
        </w:rPr>
        <w:t>项目严格</w:t>
      </w:r>
      <w:r>
        <w:rPr>
          <w:rFonts w:ascii="Calibri" w:hAnsi="Calibri" w:eastAsia="仿宋_GB2312" w:cs="Times New Roman"/>
          <w:sz w:val="32"/>
          <w:szCs w:val="32"/>
          <w:lang w:val="zh-CN"/>
        </w:rPr>
        <w:t>按照国家有关法规，实行项目法人制、招投标制、工程监理制、工程验收制</w:t>
      </w:r>
      <w:r>
        <w:rPr>
          <w:rFonts w:hint="eastAsia" w:ascii="Calibri" w:hAnsi="Calibri" w:eastAsia="仿宋_GB2312" w:cs="Times New Roman"/>
          <w:sz w:val="32"/>
          <w:szCs w:val="32"/>
          <w:lang w:val="zh-CN"/>
        </w:rPr>
        <w:t>，项目管理规范</w:t>
      </w:r>
      <w:r>
        <w:rPr>
          <w:rFonts w:ascii="Calibri" w:hAnsi="Calibri" w:eastAsia="仿宋_GB2312" w:cs="Times New Roman"/>
          <w:sz w:val="32"/>
          <w:szCs w:val="32"/>
          <w:lang w:val="zh-CN"/>
        </w:rPr>
        <w:t>。</w:t>
      </w:r>
    </w:p>
    <w:p w14:paraId="78965E3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1D762A19">
      <w:pPr>
        <w:keepNext w:val="0"/>
        <w:keepLines w:val="0"/>
        <w:pageBreakBefore w:val="0"/>
        <w:kinsoku/>
        <w:wordWrap/>
        <w:overflowPunct/>
        <w:topLinePunct w:val="0"/>
        <w:autoSpaceDE/>
        <w:autoSpaceDN/>
        <w:bidi w:val="0"/>
        <w:adjustRightInd w:val="0"/>
        <w:snapToGrid w:val="0"/>
        <w:spacing w:line="560" w:lineRule="exact"/>
        <w:ind w:firstLine="72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项目组织架构上，县区政府为责任主体，市自然资源和规划主管部门实施监督管理，县区自然资源和规划主管部门具体组织实施。财政补助资金项目按如下流程实施：县区自然资源和规划主管部门具体组织编制勘察、可行性研究及施工图设计并报市自然资源和规划主管部门审查，审查后由市自然资源和规划主管部门印发勘察、可行性研究、施工图设计等专家审查意见；县区自然资源和规划主管部门根据专家审查意见向市自然资源和规划主管部门报请立项；市自然资源和规划主管部门局务会或党委会研究同意后，下达立项批复；县区自然资源和规划主管部门根据市自然资源和规划主管部门的立项批复，组织施工、监理单位招投标，并确定施工、监理单位；县区自然资源和规划主管部门组织施工单位、监理单位进行施工；项目完工后，施工单位、监理单位进行自查总结，报请县区自然资源和规划主管部门申请初步验收；初步验收合格并整改完成后，县区自然资源和规划主管部门报请市自然资源和规划主管部门进行最终验收。</w:t>
      </w:r>
    </w:p>
    <w:p w14:paraId="0F22852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5C4BA3B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5B64F8C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1.预算执行情况（得分</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1CE50C1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年度预算绩效资金为</w:t>
      </w:r>
      <w:r>
        <w:rPr>
          <w:rFonts w:hint="eastAsia" w:ascii="Times New Roman" w:hAnsi="Times New Roman" w:eastAsia="仿宋_GB2312" w:cs="仿宋_GB2312"/>
          <w:b w:val="0"/>
          <w:bCs w:val="0"/>
          <w:kern w:val="0"/>
          <w:position w:val="0"/>
          <w:sz w:val="32"/>
          <w:szCs w:val="32"/>
          <w:highlight w:val="none"/>
          <w:lang w:val="en-US" w:eastAsia="zh-CN" w:bidi="ar-SA"/>
        </w:rPr>
        <w:t>43.91</w:t>
      </w:r>
      <w:r>
        <w:rPr>
          <w:rFonts w:hint="eastAsia" w:ascii="Times New Roman" w:hAnsi="Times New Roman" w:eastAsia="仿宋_GB2312" w:cs="仿宋_GB2312"/>
          <w:b w:val="0"/>
          <w:bCs w:val="0"/>
          <w:kern w:val="0"/>
          <w:position w:val="0"/>
          <w:sz w:val="32"/>
          <w:szCs w:val="32"/>
          <w:highlight w:val="none"/>
          <w:lang w:val="zh-CN" w:eastAsia="zh-CN" w:bidi="ar-SA"/>
        </w:rPr>
        <w:t>万元，支付</w:t>
      </w:r>
      <w:r>
        <w:rPr>
          <w:rFonts w:hint="eastAsia" w:ascii="Times New Roman" w:hAnsi="Times New Roman" w:eastAsia="仿宋_GB2312" w:cs="仿宋_GB2312"/>
          <w:b w:val="0"/>
          <w:bCs w:val="0"/>
          <w:kern w:val="0"/>
          <w:position w:val="0"/>
          <w:sz w:val="32"/>
          <w:szCs w:val="32"/>
          <w:highlight w:val="none"/>
          <w:lang w:val="en-US" w:eastAsia="zh-CN" w:bidi="ar-SA"/>
        </w:rPr>
        <w:t>43.91</w:t>
      </w:r>
      <w:r>
        <w:rPr>
          <w:rFonts w:hint="eastAsia" w:ascii="Times New Roman" w:hAnsi="Times New Roman" w:eastAsia="仿宋_GB2312" w:cs="仿宋_GB2312"/>
          <w:b w:val="0"/>
          <w:bCs w:val="0"/>
          <w:kern w:val="0"/>
          <w:position w:val="0"/>
          <w:sz w:val="32"/>
          <w:szCs w:val="32"/>
          <w:highlight w:val="none"/>
          <w:lang w:val="zh-CN" w:eastAsia="zh-CN" w:bidi="ar-SA"/>
        </w:rPr>
        <w:t>万元，执行率为</w:t>
      </w:r>
      <w:r>
        <w:rPr>
          <w:rFonts w:hint="eastAsia" w:ascii="Times New Roman" w:hAnsi="Times New Roman" w:eastAsia="仿宋_GB2312" w:cs="仿宋_GB2312"/>
          <w:b w:val="0"/>
          <w:bCs w:val="0"/>
          <w:kern w:val="0"/>
          <w:position w:val="0"/>
          <w:sz w:val="32"/>
          <w:szCs w:val="32"/>
          <w:highlight w:val="none"/>
          <w:lang w:val="en-US" w:eastAsia="zh-CN" w:bidi="ar-SA"/>
        </w:rPr>
        <w:t>100</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3C4AC134">
      <w:pPr>
        <w:adjustRightInd w:val="0"/>
        <w:snapToGrid w:val="0"/>
        <w:spacing w:line="600" w:lineRule="exact"/>
        <w:ind w:firstLine="720"/>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2.绩效指标完成情况（得分90分）</w:t>
      </w:r>
    </w:p>
    <w:p w14:paraId="29C3460C">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①</w:t>
      </w:r>
      <w:r>
        <w:rPr>
          <w:rFonts w:hint="eastAsia" w:ascii="Times New Roman" w:hAnsi="Times New Roman" w:eastAsia="仿宋_GB2312" w:cs="Times New Roman"/>
          <w:sz w:val="32"/>
          <w:szCs w:val="32"/>
          <w:lang w:val="zh-CN"/>
        </w:rPr>
        <w:t>数量指标：归还企业欠款9家。（</w:t>
      </w:r>
      <w:r>
        <w:rPr>
          <w:rFonts w:hint="eastAsia" w:ascii="Times New Roman" w:hAnsi="Times New Roman" w:eastAsia="仿宋_GB2312" w:cs="Times New Roman"/>
          <w:sz w:val="32"/>
          <w:szCs w:val="32"/>
          <w:lang w:val="en-US" w:eastAsia="zh-CN"/>
        </w:rPr>
        <w:t>60分</w:t>
      </w:r>
      <w:r>
        <w:rPr>
          <w:rFonts w:hint="eastAsia" w:ascii="Times New Roman" w:hAnsi="Times New Roman" w:eastAsia="仿宋_GB2312" w:cs="Times New Roman"/>
          <w:sz w:val="32"/>
          <w:szCs w:val="32"/>
          <w:lang w:val="zh-CN"/>
        </w:rPr>
        <w:t>）</w:t>
      </w:r>
    </w:p>
    <w:p w14:paraId="15F3463F">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②</w:t>
      </w:r>
      <w:r>
        <w:rPr>
          <w:rFonts w:hint="eastAsia" w:ascii="Times New Roman" w:hAnsi="Times New Roman" w:eastAsia="仿宋_GB2312" w:cs="Times New Roman"/>
          <w:sz w:val="32"/>
          <w:szCs w:val="32"/>
          <w:lang w:val="zh-CN"/>
        </w:rPr>
        <w:t>社会效益指标：企业对政府工程更有信心≥</w:t>
      </w:r>
      <w:r>
        <w:rPr>
          <w:rFonts w:hint="eastAsia" w:ascii="Times New Roman" w:hAnsi="Times New Roman" w:eastAsia="仿宋_GB2312" w:cs="Times New Roman"/>
          <w:sz w:val="32"/>
          <w:szCs w:val="32"/>
          <w:lang w:val="en-US" w:eastAsia="zh-CN"/>
        </w:rPr>
        <w:t>70%</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20分</w:t>
      </w:r>
      <w:r>
        <w:rPr>
          <w:rFonts w:hint="eastAsia" w:ascii="Times New Roman" w:hAnsi="Times New Roman" w:eastAsia="仿宋_GB2312" w:cs="Times New Roman"/>
          <w:sz w:val="32"/>
          <w:szCs w:val="32"/>
          <w:lang w:val="zh-CN"/>
        </w:rPr>
        <w:t>）</w:t>
      </w:r>
    </w:p>
    <w:p w14:paraId="779343B5">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仿宋_GB2312"/>
          <w:b w:val="0"/>
          <w:bCs w:val="0"/>
          <w:kern w:val="0"/>
          <w:position w:val="0"/>
          <w:sz w:val="32"/>
          <w:szCs w:val="32"/>
          <w:highlight w:val="none"/>
          <w:lang w:val="zh-CN" w:eastAsia="zh-CN" w:bidi="ar-SA"/>
        </w:rPr>
        <w:t>③</w:t>
      </w:r>
      <w:r>
        <w:rPr>
          <w:rFonts w:hint="eastAsia" w:ascii="Times New Roman" w:hAnsi="Times New Roman" w:eastAsia="仿宋_GB2312" w:cs="Times New Roman"/>
          <w:sz w:val="32"/>
          <w:szCs w:val="32"/>
          <w:lang w:val="zh-CN"/>
        </w:rPr>
        <w:t>满意度指标：欠款企业满</w:t>
      </w:r>
      <w:r>
        <w:rPr>
          <w:rFonts w:hint="eastAsia" w:eastAsia="仿宋_GB2312" w:cs="Times New Roman"/>
          <w:sz w:val="32"/>
          <w:szCs w:val="32"/>
          <w:lang w:val="zh-CN"/>
        </w:rPr>
        <w:t>意度</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90%。（10分）</w:t>
      </w:r>
      <w:r>
        <w:rPr>
          <w:rFonts w:hint="eastAsia" w:ascii="Times New Roman" w:hAnsi="Times New Roman" w:eastAsia="仿宋_GB2312" w:cs="Times New Roman"/>
          <w:sz w:val="32"/>
          <w:szCs w:val="32"/>
          <w:lang w:val="zh-CN"/>
        </w:rPr>
        <w:t>完成一项隐患排查工作；</w:t>
      </w:r>
    </w:p>
    <w:p w14:paraId="49DAA0C4">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176D034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68E94C33">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仿宋_GB2312" w:hAnsi="仿宋_GB2312" w:eastAsia="仿宋_GB2312" w:cs="仿宋_GB2312"/>
          <w:kern w:val="0"/>
          <w:sz w:val="32"/>
          <w:szCs w:val="32"/>
          <w:lang w:eastAsia="zh-CN"/>
        </w:rPr>
        <w:t>总体上看，该项目立项依据充分，绩效目标明确，管理制度健全，组织实施有序，资金使用规范，实施效果良好</w:t>
      </w:r>
      <w:r>
        <w:rPr>
          <w:rFonts w:hint="eastAsia" w:ascii="仿宋_GB2312" w:hAnsi="仿宋_GB2312" w:eastAsia="仿宋_GB2312" w:cs="仿宋_GB2312"/>
          <w:kern w:val="0"/>
          <w:sz w:val="32"/>
          <w:szCs w:val="32"/>
          <w:lang w:val="zh-CN"/>
        </w:rPr>
        <w:t>。通过项目实施，</w:t>
      </w:r>
      <w:r>
        <w:rPr>
          <w:rFonts w:hint="default" w:ascii="Times New Roman" w:hAnsi="Times New Roman" w:eastAsia="仿宋_GB2312" w:cs="Times New Roman"/>
          <w:kern w:val="0"/>
          <w:sz w:val="32"/>
          <w:szCs w:val="32"/>
          <w:lang w:val="en-US" w:eastAsia="zh-CN"/>
        </w:rPr>
        <w:t>有效保护群众</w:t>
      </w:r>
      <w:r>
        <w:rPr>
          <w:rFonts w:hint="eastAsia" w:eastAsia="仿宋_GB2312" w:cs="Times New Roman"/>
          <w:kern w:val="0"/>
          <w:sz w:val="32"/>
          <w:szCs w:val="32"/>
          <w:lang w:val="en-US" w:eastAsia="zh-CN"/>
        </w:rPr>
        <w:t>生命财产安全</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取得了良好的社会效益和经济效益，评价</w:t>
      </w:r>
      <w:r>
        <w:rPr>
          <w:rFonts w:hint="eastAsia" w:eastAsia="仿宋_GB2312" w:cs="Times New Roman"/>
          <w:kern w:val="0"/>
          <w:sz w:val="32"/>
          <w:szCs w:val="32"/>
          <w:lang w:val="en-US" w:eastAsia="zh-CN"/>
        </w:rPr>
        <w:t>为</w:t>
      </w:r>
      <w:r>
        <w:rPr>
          <w:rFonts w:hint="eastAsia" w:ascii="Times New Roman" w:hAnsi="Times New Roman" w:eastAsia="仿宋_GB2312" w:cs="Times New Roman"/>
          <w:kern w:val="0"/>
          <w:sz w:val="32"/>
          <w:szCs w:val="32"/>
          <w:lang w:val="en-US" w:eastAsia="zh-CN"/>
        </w:rPr>
        <w:t>100分</w:t>
      </w:r>
      <w:r>
        <w:rPr>
          <w:rFonts w:ascii="Times New Roman" w:hAnsi="Times New Roman" w:eastAsia="仿宋_GB2312" w:cs="Times New Roman"/>
          <w:sz w:val="32"/>
          <w:szCs w:val="32"/>
          <w:lang w:val="zh-CN"/>
        </w:rPr>
        <w:t>。</w:t>
      </w:r>
    </w:p>
    <w:p w14:paraId="0C86511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74C9A12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0CE3348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A678CCA">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41597F61">
      <w:pPr>
        <w:rPr>
          <w:rFonts w:ascii="Times New Roman" w:hAnsi="Times New Roman" w:eastAsia="仿宋_GB2312" w:cs="Times New Roman"/>
          <w:sz w:val="32"/>
          <w:szCs w:val="32"/>
        </w:rPr>
      </w:pPr>
    </w:p>
    <w:p w14:paraId="041F9189">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422AAA32">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6F1F96AF">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47F86EC3">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2025年清理拖欠企业欠款（市级）</w:t>
      </w:r>
      <w:r>
        <w:rPr>
          <w:rFonts w:ascii="Times New Roman" w:hAnsi="Times New Roman" w:eastAsia="仿宋_GB2312" w:cs="Times New Roman"/>
          <w:color w:val="auto"/>
          <w:kern w:val="2"/>
          <w:sz w:val="32"/>
          <w:szCs w:val="32"/>
          <w:lang w:val="zh-CN" w:eastAsia="zh-CN" w:bidi="ar-SA"/>
        </w:rPr>
        <w:t>）</w:t>
      </w:r>
    </w:p>
    <w:p w14:paraId="3FE08301">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7648B34B">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07351E1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23435EDD">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zh-CN"/>
        </w:rPr>
        <w:t>主管单位职能职责</w:t>
      </w:r>
      <w:r>
        <w:rPr>
          <w:rFonts w:ascii="Times New Roman" w:hAnsi="Times New Roman" w:eastAsia="仿宋_GB2312" w:cs="Times New Roman"/>
          <w:sz w:val="32"/>
          <w:szCs w:val="32"/>
          <w:lang w:val="zh-CN"/>
        </w:rPr>
        <w:t>。</w:t>
      </w:r>
      <w:r>
        <w:rPr>
          <w:rFonts w:hint="eastAsia" w:ascii="仿宋_GB2312" w:hAnsi="Times New Roman" w:eastAsia="仿宋_GB2312" w:cs="Times New Roman"/>
          <w:sz w:val="32"/>
          <w:szCs w:val="32"/>
          <w:lang w:eastAsia="zh-CN"/>
        </w:rPr>
        <w:t>严格按照财务内控制度及上级要求，对历年拖欠企业欠款进行清理。</w:t>
      </w:r>
    </w:p>
    <w:p w14:paraId="40687698">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en-US" w:eastAsia="zh-CN"/>
        </w:rPr>
        <w:t>2.</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该项资金为市级资金。</w:t>
      </w:r>
    </w:p>
    <w:p w14:paraId="55AF22C0">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lang w:val="zh-CN"/>
        </w:rPr>
        <w:t>.资金分配的原则及考虑因素。</w:t>
      </w:r>
      <w:r>
        <w:rPr>
          <w:rFonts w:hint="eastAsia" w:ascii="Times New Roman" w:hAnsi="Times New Roman" w:eastAsia="仿宋_GB2312" w:cs="Times New Roman"/>
          <w:sz w:val="32"/>
          <w:szCs w:val="32"/>
          <w:lang w:val="zh-CN"/>
        </w:rPr>
        <w:t>根据项目清欠台账梳理确定项目支付金额。</w:t>
      </w:r>
    </w:p>
    <w:p w14:paraId="0A18E5C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F3923B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1.项目主要内容。</w:t>
      </w:r>
      <w:r>
        <w:rPr>
          <w:rFonts w:hint="eastAsia" w:ascii="Times New Roman" w:hAnsi="Times New Roman" w:eastAsia="仿宋_GB2312" w:cs="Times New Roman"/>
          <w:sz w:val="32"/>
          <w:szCs w:val="32"/>
          <w:lang w:val="zh-CN"/>
        </w:rPr>
        <w:t>切实做好梳理上报清欠</w:t>
      </w:r>
      <w:r>
        <w:rPr>
          <w:rFonts w:hint="eastAsia" w:ascii="Times New Roman" w:hAnsi="Times New Roman" w:eastAsia="仿宋_GB2312" w:cs="Times New Roman"/>
          <w:sz w:val="32"/>
          <w:szCs w:val="32"/>
          <w:lang w:val="en-US" w:eastAsia="zh-CN"/>
        </w:rPr>
        <w:t>9家中小企业欠款拨付工作</w:t>
      </w:r>
      <w:r>
        <w:rPr>
          <w:rFonts w:hint="eastAsia" w:ascii="Times New Roman" w:hAnsi="Times New Roman" w:eastAsia="仿宋_GB2312" w:cs="Times New Roman"/>
          <w:sz w:val="32"/>
          <w:szCs w:val="32"/>
          <w:lang w:val="zh-CN"/>
        </w:rPr>
        <w:t>。</w:t>
      </w:r>
    </w:p>
    <w:p w14:paraId="2D9144DE">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2.项目应实现的具体绩效目标</w:t>
      </w:r>
      <w:r>
        <w:rPr>
          <w:rFonts w:hint="eastAsia" w:ascii="Times New Roman" w:hAnsi="Times New Roman" w:eastAsia="仿宋_GB2312" w:cs="Times New Roman"/>
          <w:sz w:val="32"/>
          <w:szCs w:val="32"/>
          <w:lang w:val="zh-CN"/>
        </w:rPr>
        <w:t>。数量指标：归还企业欠款9家；社会效益指标：企业对政府工程更有信心≥</w:t>
      </w:r>
      <w:r>
        <w:rPr>
          <w:rFonts w:hint="eastAsia" w:ascii="Times New Roman" w:hAnsi="Times New Roman" w:eastAsia="仿宋_GB2312" w:cs="Times New Roman"/>
          <w:sz w:val="32"/>
          <w:szCs w:val="32"/>
          <w:lang w:val="en-US" w:eastAsia="zh-CN"/>
        </w:rPr>
        <w:t>70%</w:t>
      </w:r>
      <w:r>
        <w:rPr>
          <w:rFonts w:hint="eastAsia" w:ascii="Times New Roman" w:hAnsi="Times New Roman" w:eastAsia="仿宋_GB2312" w:cs="Times New Roman"/>
          <w:sz w:val="32"/>
          <w:szCs w:val="32"/>
          <w:lang w:val="zh-CN"/>
        </w:rPr>
        <w:t>；满意度指标：欠款企业满意≥</w:t>
      </w:r>
      <w:r>
        <w:rPr>
          <w:rFonts w:hint="eastAsia" w:ascii="Times New Roman" w:hAnsi="Times New Roman" w:eastAsia="仿宋_GB2312" w:cs="Times New Roman"/>
          <w:sz w:val="32"/>
          <w:szCs w:val="32"/>
          <w:lang w:val="en-US" w:eastAsia="zh-CN"/>
        </w:rPr>
        <w:t>90%。</w:t>
      </w:r>
    </w:p>
    <w:p w14:paraId="154462B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3.分析评价申报内容与实际相符，申报目标合理可行。</w:t>
      </w:r>
    </w:p>
    <w:p w14:paraId="0C589B5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0589A037">
      <w:pPr>
        <w:numPr>
          <w:ilvl w:val="0"/>
          <w:numId w:val="0"/>
        </w:num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zh-CN" w:eastAsia="zh-CN"/>
        </w:rPr>
      </w:pPr>
      <w:r>
        <w:rPr>
          <w:rFonts w:hint="eastAsia" w:ascii="仿宋_GB2312" w:hAnsi="仿宋_GB2312" w:eastAsia="仿宋_GB2312" w:cs="仿宋_GB2312"/>
          <w:kern w:val="0"/>
          <w:sz w:val="32"/>
          <w:szCs w:val="32"/>
          <w:lang w:val="zh-CN" w:eastAsia="zh-CN"/>
        </w:rPr>
        <w:t>项目业主由攀枝花市自然资源和规划局西区分局担任，局长姚恬总负责，分管领导由杨旭副局长兼任，地矿股承担具体评价工作。根据预设项目绩效目标，</w:t>
      </w:r>
      <w:r>
        <w:rPr>
          <w:rFonts w:hint="eastAsia" w:ascii="仿宋_GB2312" w:hAnsi="仿宋_GB2312" w:eastAsia="仿宋_GB2312" w:cs="仿宋_GB2312"/>
          <w:kern w:val="0"/>
          <w:sz w:val="32"/>
          <w:szCs w:val="32"/>
          <w:lang w:val="zh-CN"/>
        </w:rPr>
        <w:t>结合项目自身特点、评价重点及管理办法等要求，围绕专项项目支出绩效评价指标体系对项目进行总体评价。评价方法如下：一是</w:t>
      </w:r>
      <w:r>
        <w:rPr>
          <w:rFonts w:hint="default" w:ascii="Times New Roman" w:hAnsi="Times New Roman" w:eastAsia="仿宋_GB2312" w:cs="Times New Roman"/>
          <w:sz w:val="32"/>
          <w:szCs w:val="32"/>
          <w:lang w:val="en-US" w:eastAsia="zh-CN"/>
        </w:rPr>
        <w:t>确定自评目的</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明确自评的目的，例如评估项目进度、评估项目质量、评估项目风险等。</w:t>
      </w:r>
      <w:r>
        <w:rPr>
          <w:rFonts w:hint="eastAsia" w:ascii="Times New Roman" w:hAnsi="Times New Roman" w:eastAsia="仿宋_GB2312" w:cs="Times New Roman"/>
          <w:sz w:val="32"/>
          <w:szCs w:val="32"/>
          <w:lang w:val="en-US" w:eastAsia="zh-CN"/>
        </w:rPr>
        <w:t>二是开展</w:t>
      </w:r>
      <w:r>
        <w:rPr>
          <w:rFonts w:hint="default" w:ascii="Times New Roman" w:hAnsi="Times New Roman" w:eastAsia="仿宋_GB2312" w:cs="Times New Roman"/>
          <w:sz w:val="32"/>
          <w:szCs w:val="32"/>
          <w:lang w:val="en-US" w:eastAsia="zh-CN"/>
        </w:rPr>
        <w:t>收集信息</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收集项目相关信息，包括项目计划、项目进度、项目成果、项目问题等。</w:t>
      </w:r>
      <w:r>
        <w:rPr>
          <w:rFonts w:hint="eastAsia" w:ascii="Times New Roman" w:hAnsi="Times New Roman" w:eastAsia="仿宋_GB2312" w:cs="Times New Roman"/>
          <w:sz w:val="32"/>
          <w:szCs w:val="32"/>
          <w:lang w:val="en-US" w:eastAsia="zh-CN"/>
        </w:rPr>
        <w:t>三是</w:t>
      </w:r>
      <w:r>
        <w:rPr>
          <w:rFonts w:hint="default" w:ascii="Times New Roman" w:hAnsi="Times New Roman" w:eastAsia="仿宋_GB2312" w:cs="Times New Roman"/>
          <w:sz w:val="32"/>
          <w:szCs w:val="32"/>
          <w:lang w:val="en-US" w:eastAsia="zh-CN"/>
        </w:rPr>
        <w:t>评估项目进度</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根据项目计划和实际进度进行比较，评估项目是否按时完成。</w:t>
      </w:r>
      <w:r>
        <w:rPr>
          <w:rFonts w:hint="eastAsia" w:ascii="Times New Roman" w:hAnsi="Times New Roman" w:eastAsia="仿宋_GB2312" w:cs="Times New Roman"/>
          <w:sz w:val="32"/>
          <w:szCs w:val="32"/>
          <w:lang w:val="en-US" w:eastAsia="zh-CN"/>
        </w:rPr>
        <w:t>四是</w:t>
      </w:r>
      <w:r>
        <w:rPr>
          <w:rFonts w:hint="default" w:ascii="Times New Roman" w:hAnsi="Times New Roman" w:eastAsia="仿宋_GB2312" w:cs="Times New Roman"/>
          <w:sz w:val="32"/>
          <w:szCs w:val="32"/>
          <w:lang w:val="en-US" w:eastAsia="zh-CN"/>
        </w:rPr>
        <w:t>评估项目质量</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根据项目成果和项目要求进行比较，评估项目成果是否符合要求。</w:t>
      </w:r>
      <w:r>
        <w:rPr>
          <w:rFonts w:hint="eastAsia" w:ascii="Times New Roman" w:hAnsi="Times New Roman" w:eastAsia="仿宋_GB2312" w:cs="Times New Roman"/>
          <w:sz w:val="32"/>
          <w:szCs w:val="32"/>
          <w:lang w:val="en-US" w:eastAsia="zh-CN"/>
        </w:rPr>
        <w:t>五是</w:t>
      </w:r>
      <w:r>
        <w:rPr>
          <w:rFonts w:hint="default" w:ascii="Times New Roman" w:hAnsi="Times New Roman" w:eastAsia="仿宋_GB2312" w:cs="Times New Roman"/>
          <w:sz w:val="32"/>
          <w:szCs w:val="32"/>
          <w:lang w:val="en-US" w:eastAsia="zh-CN"/>
        </w:rPr>
        <w:t>评估项目风险</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根据项目进程中出现的问题进行评估，评估项目未来可能出现的风险。</w:t>
      </w:r>
      <w:r>
        <w:rPr>
          <w:rFonts w:hint="eastAsia" w:ascii="Times New Roman" w:hAnsi="Times New Roman" w:eastAsia="仿宋_GB2312" w:cs="Times New Roman"/>
          <w:sz w:val="32"/>
          <w:szCs w:val="32"/>
          <w:lang w:val="en-US" w:eastAsia="zh-CN"/>
        </w:rPr>
        <w:t>六是</w:t>
      </w:r>
      <w:r>
        <w:rPr>
          <w:rFonts w:hint="default" w:ascii="Times New Roman" w:hAnsi="Times New Roman" w:eastAsia="仿宋_GB2312" w:cs="Times New Roman"/>
          <w:sz w:val="32"/>
          <w:szCs w:val="32"/>
          <w:lang w:val="en-US" w:eastAsia="zh-CN"/>
        </w:rPr>
        <w:t>总结评估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总结自评过程和结果，为今后的项目管理做出参考。</w:t>
      </w:r>
    </w:p>
    <w:p w14:paraId="43A0861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6B2A26E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1E7E9D83">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该项目申报资金</w:t>
      </w:r>
      <w:r>
        <w:rPr>
          <w:rFonts w:hint="eastAsia" w:ascii="Times New Roman" w:hAnsi="Times New Roman" w:eastAsia="仿宋_GB2312" w:cs="Times New Roman"/>
          <w:sz w:val="32"/>
          <w:szCs w:val="32"/>
          <w:lang w:val="en-US" w:eastAsia="zh-CN"/>
        </w:rPr>
        <w:t>43.91万元，批复</w:t>
      </w:r>
      <w:r>
        <w:rPr>
          <w:rFonts w:hint="eastAsia" w:ascii="Times New Roman" w:hAnsi="Times New Roman" w:eastAsia="仿宋_GB2312" w:cs="Times New Roman"/>
          <w:sz w:val="32"/>
          <w:szCs w:val="32"/>
          <w:lang w:val="zh-CN"/>
        </w:rPr>
        <w:t>下达资金</w:t>
      </w:r>
      <w:r>
        <w:rPr>
          <w:rFonts w:hint="eastAsia" w:ascii="Times New Roman" w:hAnsi="Times New Roman" w:eastAsia="仿宋_GB2312" w:cs="Times New Roman"/>
          <w:sz w:val="32"/>
          <w:szCs w:val="32"/>
          <w:lang w:val="en-US" w:eastAsia="zh-CN"/>
        </w:rPr>
        <w:t>43.91万元。</w:t>
      </w:r>
    </w:p>
    <w:p w14:paraId="231981D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592F4101">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该项目资金全额来源于市级财政资金。</w:t>
      </w:r>
    </w:p>
    <w:p w14:paraId="6E8588D6">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en-US" w:eastAsia="zh-CN"/>
        </w:rPr>
        <w:t>43.91万元全额到位，资金到位率100%。</w:t>
      </w:r>
    </w:p>
    <w:p w14:paraId="07BA335D">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该项目下达资金</w:t>
      </w:r>
      <w:r>
        <w:rPr>
          <w:rFonts w:hint="eastAsia" w:ascii="Times New Roman" w:hAnsi="Times New Roman" w:eastAsia="仿宋_GB2312" w:cs="Times New Roman"/>
          <w:sz w:val="32"/>
          <w:szCs w:val="32"/>
          <w:lang w:val="en-US" w:eastAsia="zh-CN"/>
        </w:rPr>
        <w:t>43.91万元，实际使用资金43.91万元，使用率100%。</w:t>
      </w:r>
    </w:p>
    <w:p w14:paraId="4CAF4AA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3C4C1D88">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仿宋_GB2312" w:cs="Times New Roman"/>
          <w:sz w:val="32"/>
          <w:szCs w:val="32"/>
          <w:lang w:val="zh-CN"/>
        </w:rPr>
      </w:pPr>
      <w:r>
        <w:rPr>
          <w:rFonts w:hint="eastAsia" w:ascii="Calibri" w:hAnsi="Calibri" w:eastAsia="仿宋_GB2312" w:cs="Times New Roman"/>
          <w:sz w:val="32"/>
          <w:szCs w:val="32"/>
          <w:lang w:val="zh-CN"/>
        </w:rPr>
        <w:t>项目严格</w:t>
      </w:r>
      <w:r>
        <w:rPr>
          <w:rFonts w:ascii="Calibri" w:hAnsi="Calibri" w:eastAsia="仿宋_GB2312" w:cs="Times New Roman"/>
          <w:sz w:val="32"/>
          <w:szCs w:val="32"/>
          <w:lang w:val="zh-CN"/>
        </w:rPr>
        <w:t>按照国家有关法规，实行项目法人制、招投标制、工程监理制、工程验收制</w:t>
      </w:r>
      <w:r>
        <w:rPr>
          <w:rFonts w:hint="eastAsia" w:ascii="Calibri" w:hAnsi="Calibri" w:eastAsia="仿宋_GB2312" w:cs="Times New Roman"/>
          <w:sz w:val="32"/>
          <w:szCs w:val="32"/>
          <w:lang w:val="zh-CN"/>
        </w:rPr>
        <w:t>，项目管理规范</w:t>
      </w:r>
      <w:r>
        <w:rPr>
          <w:rFonts w:ascii="Calibri" w:hAnsi="Calibri" w:eastAsia="仿宋_GB2312" w:cs="Times New Roman"/>
          <w:sz w:val="32"/>
          <w:szCs w:val="32"/>
          <w:lang w:val="zh-CN"/>
        </w:rPr>
        <w:t>。</w:t>
      </w:r>
    </w:p>
    <w:p w14:paraId="41630DE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97E7DA0">
      <w:pPr>
        <w:keepNext w:val="0"/>
        <w:keepLines w:val="0"/>
        <w:pageBreakBefore w:val="0"/>
        <w:kinsoku/>
        <w:wordWrap/>
        <w:overflowPunct/>
        <w:topLinePunct w:val="0"/>
        <w:autoSpaceDE/>
        <w:autoSpaceDN/>
        <w:bidi w:val="0"/>
        <w:adjustRightInd w:val="0"/>
        <w:snapToGrid w:val="0"/>
        <w:spacing w:line="560" w:lineRule="exact"/>
        <w:ind w:firstLine="72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项目组织架构上，县区政府为责任主体，市自然资源和规划主管部门实施监督管理，县区自然资源和规划主管部门具体组织实施。财政补助资金项目按如下流程实施：县区自然资源和规划主管部门具体组织编制勘察、可行性研究及施工图设计并报市自然资源和规划主管部门审查，审查后由市自然资源和规划主管部门印发勘察、可行性研究、施工图设计等专家审查意见；县区自然资源和规划主管部门根据专家审查意见向市自然资源和规划主管部门报请立项；市自然资源和规划主管部门局务会或党委会研究同意后，下达立项批复；县区自然资源和规划主管部门根据市自然资源和规划主管部门的立项批复，组织施工、监理单位招投标，并确定施工、监理单位；县区自然资源和规划主管部门组织施工单位、监理单位进行施工；项目完工后，施工单位、监理单位进行自查总结，报请县区自然资源和规划主管部门申请初步验收；初步验收合格并整改完成后，县区自然资源和规划主管部门报请市自然资源和规划主管部门进行最终验收。</w:t>
      </w:r>
    </w:p>
    <w:p w14:paraId="16E383C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F6D066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011CEA7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1.预算执行情况（得分</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640DE40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年度预算绩效资金为</w:t>
      </w:r>
      <w:r>
        <w:rPr>
          <w:rFonts w:hint="eastAsia" w:ascii="Times New Roman" w:hAnsi="Times New Roman" w:eastAsia="仿宋_GB2312" w:cs="仿宋_GB2312"/>
          <w:b w:val="0"/>
          <w:bCs w:val="0"/>
          <w:kern w:val="0"/>
          <w:position w:val="0"/>
          <w:sz w:val="32"/>
          <w:szCs w:val="32"/>
          <w:highlight w:val="none"/>
          <w:lang w:val="en-US" w:eastAsia="zh-CN" w:bidi="ar-SA"/>
        </w:rPr>
        <w:t>43.91</w:t>
      </w:r>
      <w:r>
        <w:rPr>
          <w:rFonts w:hint="eastAsia" w:ascii="Times New Roman" w:hAnsi="Times New Roman" w:eastAsia="仿宋_GB2312" w:cs="仿宋_GB2312"/>
          <w:b w:val="0"/>
          <w:bCs w:val="0"/>
          <w:kern w:val="0"/>
          <w:position w:val="0"/>
          <w:sz w:val="32"/>
          <w:szCs w:val="32"/>
          <w:highlight w:val="none"/>
          <w:lang w:val="zh-CN" w:eastAsia="zh-CN" w:bidi="ar-SA"/>
        </w:rPr>
        <w:t>万元，支付</w:t>
      </w:r>
      <w:r>
        <w:rPr>
          <w:rFonts w:hint="eastAsia" w:ascii="Times New Roman" w:hAnsi="Times New Roman" w:eastAsia="仿宋_GB2312" w:cs="仿宋_GB2312"/>
          <w:b w:val="0"/>
          <w:bCs w:val="0"/>
          <w:kern w:val="0"/>
          <w:position w:val="0"/>
          <w:sz w:val="32"/>
          <w:szCs w:val="32"/>
          <w:highlight w:val="none"/>
          <w:lang w:val="en-US" w:eastAsia="zh-CN" w:bidi="ar-SA"/>
        </w:rPr>
        <w:t>43.91</w:t>
      </w:r>
      <w:r>
        <w:rPr>
          <w:rFonts w:hint="eastAsia" w:ascii="Times New Roman" w:hAnsi="Times New Roman" w:eastAsia="仿宋_GB2312" w:cs="仿宋_GB2312"/>
          <w:b w:val="0"/>
          <w:bCs w:val="0"/>
          <w:kern w:val="0"/>
          <w:position w:val="0"/>
          <w:sz w:val="32"/>
          <w:szCs w:val="32"/>
          <w:highlight w:val="none"/>
          <w:lang w:val="zh-CN" w:eastAsia="zh-CN" w:bidi="ar-SA"/>
        </w:rPr>
        <w:t>万元，执行率为</w:t>
      </w:r>
      <w:r>
        <w:rPr>
          <w:rFonts w:hint="eastAsia" w:ascii="Times New Roman" w:hAnsi="Times New Roman" w:eastAsia="仿宋_GB2312" w:cs="仿宋_GB2312"/>
          <w:b w:val="0"/>
          <w:bCs w:val="0"/>
          <w:kern w:val="0"/>
          <w:position w:val="0"/>
          <w:sz w:val="32"/>
          <w:szCs w:val="32"/>
          <w:highlight w:val="none"/>
          <w:lang w:val="en-US" w:eastAsia="zh-CN" w:bidi="ar-SA"/>
        </w:rPr>
        <w:t>100</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3E613A69">
      <w:pPr>
        <w:adjustRightInd w:val="0"/>
        <w:snapToGrid w:val="0"/>
        <w:spacing w:line="600" w:lineRule="exact"/>
        <w:ind w:firstLine="720"/>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2.绩效指标完成情况（得分90分）</w:t>
      </w:r>
    </w:p>
    <w:p w14:paraId="7B4AB12A">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①</w:t>
      </w:r>
      <w:r>
        <w:rPr>
          <w:rFonts w:hint="eastAsia" w:ascii="Times New Roman" w:hAnsi="Times New Roman" w:eastAsia="仿宋_GB2312" w:cs="Times New Roman"/>
          <w:sz w:val="32"/>
          <w:szCs w:val="32"/>
          <w:lang w:val="zh-CN"/>
        </w:rPr>
        <w:t>数量指标：归还企业欠款9家。（</w:t>
      </w:r>
      <w:r>
        <w:rPr>
          <w:rFonts w:hint="eastAsia" w:ascii="Times New Roman" w:hAnsi="Times New Roman" w:eastAsia="仿宋_GB2312" w:cs="Times New Roman"/>
          <w:sz w:val="32"/>
          <w:szCs w:val="32"/>
          <w:lang w:val="en-US" w:eastAsia="zh-CN"/>
        </w:rPr>
        <w:t>60分</w:t>
      </w:r>
      <w:r>
        <w:rPr>
          <w:rFonts w:hint="eastAsia" w:ascii="Times New Roman" w:hAnsi="Times New Roman" w:eastAsia="仿宋_GB2312" w:cs="Times New Roman"/>
          <w:sz w:val="32"/>
          <w:szCs w:val="32"/>
          <w:lang w:val="zh-CN"/>
        </w:rPr>
        <w:t>）</w:t>
      </w:r>
    </w:p>
    <w:p w14:paraId="48AC20DB">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②</w:t>
      </w:r>
      <w:r>
        <w:rPr>
          <w:rFonts w:hint="eastAsia" w:ascii="Times New Roman" w:hAnsi="Times New Roman" w:eastAsia="仿宋_GB2312" w:cs="Times New Roman"/>
          <w:sz w:val="32"/>
          <w:szCs w:val="32"/>
          <w:lang w:val="zh-CN"/>
        </w:rPr>
        <w:t>社会效益指标：企业对政府工程更有信心≥</w:t>
      </w:r>
      <w:r>
        <w:rPr>
          <w:rFonts w:hint="eastAsia" w:ascii="Times New Roman" w:hAnsi="Times New Roman" w:eastAsia="仿宋_GB2312" w:cs="Times New Roman"/>
          <w:sz w:val="32"/>
          <w:szCs w:val="32"/>
          <w:lang w:val="en-US" w:eastAsia="zh-CN"/>
        </w:rPr>
        <w:t>70%</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20分</w:t>
      </w:r>
      <w:r>
        <w:rPr>
          <w:rFonts w:hint="eastAsia" w:ascii="Times New Roman" w:hAnsi="Times New Roman" w:eastAsia="仿宋_GB2312" w:cs="Times New Roman"/>
          <w:sz w:val="32"/>
          <w:szCs w:val="32"/>
          <w:lang w:val="zh-CN"/>
        </w:rPr>
        <w:t>）</w:t>
      </w:r>
    </w:p>
    <w:p w14:paraId="5AAFBBAA">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仿宋_GB2312"/>
          <w:b w:val="0"/>
          <w:bCs w:val="0"/>
          <w:kern w:val="0"/>
          <w:position w:val="0"/>
          <w:sz w:val="32"/>
          <w:szCs w:val="32"/>
          <w:highlight w:val="none"/>
          <w:lang w:val="zh-CN" w:eastAsia="zh-CN" w:bidi="ar-SA"/>
        </w:rPr>
        <w:t>③</w:t>
      </w:r>
      <w:r>
        <w:rPr>
          <w:rFonts w:hint="eastAsia" w:ascii="Times New Roman" w:hAnsi="Times New Roman" w:eastAsia="仿宋_GB2312" w:cs="Times New Roman"/>
          <w:sz w:val="32"/>
          <w:szCs w:val="32"/>
          <w:lang w:val="zh-CN"/>
        </w:rPr>
        <w:t>满意度指标：欠款企业满</w:t>
      </w:r>
      <w:r>
        <w:rPr>
          <w:rFonts w:hint="eastAsia" w:eastAsia="仿宋_GB2312" w:cs="Times New Roman"/>
          <w:sz w:val="32"/>
          <w:szCs w:val="32"/>
          <w:lang w:val="zh-CN"/>
        </w:rPr>
        <w:t>意度</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90%。（10分）</w:t>
      </w:r>
      <w:r>
        <w:rPr>
          <w:rFonts w:hint="eastAsia" w:ascii="Times New Roman" w:hAnsi="Times New Roman" w:eastAsia="仿宋_GB2312" w:cs="Times New Roman"/>
          <w:sz w:val="32"/>
          <w:szCs w:val="32"/>
          <w:lang w:val="zh-CN"/>
        </w:rPr>
        <w:t>完成一项隐患排查工作；</w:t>
      </w:r>
    </w:p>
    <w:p w14:paraId="63B7BB2D">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44FC9A6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FA5BC39">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仿宋_GB2312" w:hAnsi="仿宋_GB2312" w:eastAsia="仿宋_GB2312" w:cs="仿宋_GB2312"/>
          <w:kern w:val="0"/>
          <w:sz w:val="32"/>
          <w:szCs w:val="32"/>
          <w:lang w:eastAsia="zh-CN"/>
        </w:rPr>
        <w:t>总体上看，该项目立项依据充分，绩效目标明确，管理制度健全，组织实施有序，资金使用规范，实施效果良好</w:t>
      </w:r>
      <w:r>
        <w:rPr>
          <w:rFonts w:hint="eastAsia" w:ascii="仿宋_GB2312" w:hAnsi="仿宋_GB2312" w:eastAsia="仿宋_GB2312" w:cs="仿宋_GB2312"/>
          <w:kern w:val="0"/>
          <w:sz w:val="32"/>
          <w:szCs w:val="32"/>
          <w:lang w:val="zh-CN"/>
        </w:rPr>
        <w:t>。通过项目实施，</w:t>
      </w:r>
      <w:r>
        <w:rPr>
          <w:rFonts w:hint="default" w:ascii="Times New Roman" w:hAnsi="Times New Roman" w:eastAsia="仿宋_GB2312" w:cs="Times New Roman"/>
          <w:kern w:val="0"/>
          <w:sz w:val="32"/>
          <w:szCs w:val="32"/>
          <w:lang w:val="en-US" w:eastAsia="zh-CN"/>
        </w:rPr>
        <w:t>有效保护群众</w:t>
      </w:r>
      <w:r>
        <w:rPr>
          <w:rFonts w:hint="eastAsia" w:eastAsia="仿宋_GB2312" w:cs="Times New Roman"/>
          <w:kern w:val="0"/>
          <w:sz w:val="32"/>
          <w:szCs w:val="32"/>
          <w:lang w:val="en-US" w:eastAsia="zh-CN"/>
        </w:rPr>
        <w:t>生命财产安全</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取得了良好的社会效益和经济效益，评价</w:t>
      </w:r>
      <w:r>
        <w:rPr>
          <w:rFonts w:hint="eastAsia" w:eastAsia="仿宋_GB2312" w:cs="Times New Roman"/>
          <w:kern w:val="0"/>
          <w:sz w:val="32"/>
          <w:szCs w:val="32"/>
          <w:lang w:val="en-US" w:eastAsia="zh-CN"/>
        </w:rPr>
        <w:t>为</w:t>
      </w:r>
      <w:r>
        <w:rPr>
          <w:rFonts w:hint="eastAsia" w:ascii="Times New Roman" w:hAnsi="Times New Roman" w:eastAsia="仿宋_GB2312" w:cs="Times New Roman"/>
          <w:kern w:val="0"/>
          <w:sz w:val="32"/>
          <w:szCs w:val="32"/>
          <w:lang w:val="en-US" w:eastAsia="zh-CN"/>
        </w:rPr>
        <w:t>100分</w:t>
      </w:r>
      <w:r>
        <w:rPr>
          <w:rFonts w:ascii="Times New Roman" w:hAnsi="Times New Roman" w:eastAsia="仿宋_GB2312" w:cs="Times New Roman"/>
          <w:sz w:val="32"/>
          <w:szCs w:val="32"/>
          <w:lang w:val="zh-CN"/>
        </w:rPr>
        <w:t>。</w:t>
      </w:r>
    </w:p>
    <w:p w14:paraId="1A731DA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7EA2A979">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4B45492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B9B7897">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70F4DC09">
      <w:pPr>
        <w:rPr>
          <w:rFonts w:ascii="Times New Roman" w:hAnsi="Times New Roman" w:eastAsia="仿宋_GB2312" w:cs="Times New Roman"/>
          <w:sz w:val="32"/>
          <w:szCs w:val="32"/>
        </w:rPr>
      </w:pPr>
    </w:p>
    <w:p w14:paraId="7F9C65AE">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7E96A938">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09E95491">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527E8755">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三十六中小</w:t>
      </w:r>
      <w:r>
        <w:rPr>
          <w:rFonts w:ascii="Times New Roman" w:hAnsi="Times New Roman" w:eastAsia="仿宋_GB2312" w:cs="Times New Roman"/>
          <w:color w:val="auto"/>
          <w:kern w:val="2"/>
          <w:sz w:val="32"/>
          <w:szCs w:val="32"/>
          <w:lang w:val="zh-CN" w:eastAsia="zh-CN" w:bidi="ar-SA"/>
        </w:rPr>
        <w:t>）</w:t>
      </w:r>
    </w:p>
    <w:p w14:paraId="2D2472E4">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78F17DE3">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21568AB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8F105CE">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zh-CN"/>
        </w:rPr>
        <w:t>主管单位职能职责</w:t>
      </w:r>
      <w:r>
        <w:rPr>
          <w:rFonts w:ascii="Times New Roman" w:hAnsi="Times New Roman" w:eastAsia="仿宋_GB2312" w:cs="Times New Roman"/>
          <w:sz w:val="32"/>
          <w:szCs w:val="32"/>
          <w:lang w:val="zh-CN"/>
        </w:rPr>
        <w:t>。</w:t>
      </w:r>
      <w:r>
        <w:rPr>
          <w:rFonts w:hint="eastAsia" w:ascii="仿宋_GB2312" w:hAnsi="Times New Roman" w:eastAsia="仿宋_GB2312" w:cs="Times New Roman"/>
          <w:sz w:val="32"/>
          <w:szCs w:val="32"/>
          <w:lang w:eastAsia="zh-CN"/>
        </w:rPr>
        <w:t>严格按照市地灾防指办要求落实属地管理责任和行业监管责任，全面落实市、县、乡、村、组、点六级防灾责任制，要充分发挥各级地质灾害指挥部成员单位协同防灾作用，自然资源主管部门加强对地质灾害防治工作的组织、协调、指导、监督。强化组织保障和督察问效，落实地质灾害防治措施。</w:t>
      </w:r>
    </w:p>
    <w:p w14:paraId="2D667F89">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2.项目立项、资金申报的依据。</w:t>
      </w:r>
      <w:r>
        <w:rPr>
          <w:rFonts w:hint="eastAsia" w:ascii="Times New Roman" w:hAnsi="Times New Roman" w:eastAsia="仿宋_GB2312" w:cs="Times New Roman"/>
          <w:sz w:val="32"/>
          <w:szCs w:val="32"/>
          <w:lang w:val="zh-CN"/>
        </w:rPr>
        <w:t>根据《攀枝花市财政局关于下达2025年第一批地质灾害防治专项资金（中央和省级）的通知》（攀财资环资</w:t>
      </w:r>
      <w:r>
        <w:rPr>
          <w:rFonts w:hint="eastAsia" w:ascii="仿宋_GB2312" w:hAnsi="仿宋_GB2312" w:eastAsia="仿宋_GB2312" w:cs="仿宋_GB2312"/>
          <w:sz w:val="32"/>
          <w:szCs w:val="32"/>
          <w:lang w:val="zh-CN"/>
        </w:rPr>
        <w:t>〔</w:t>
      </w:r>
      <w:r>
        <w:rPr>
          <w:rFonts w:hint="eastAsia" w:ascii="Times New Roman" w:hAnsi="Times New Roman" w:eastAsia="仿宋_GB2312" w:cs="Times New Roman"/>
          <w:sz w:val="32"/>
          <w:szCs w:val="32"/>
          <w:lang w:val="zh-CN"/>
        </w:rPr>
        <w:t>2025</w:t>
      </w:r>
      <w:r>
        <w:rPr>
          <w:rFonts w:hint="eastAsia" w:ascii="仿宋_GB2312" w:hAnsi="仿宋_GB2312" w:eastAsia="仿宋_GB2312" w:cs="仿宋_GB2312"/>
          <w:sz w:val="32"/>
          <w:szCs w:val="32"/>
          <w:lang w:val="zh-CN"/>
        </w:rPr>
        <w:t>〕</w:t>
      </w:r>
      <w:r>
        <w:rPr>
          <w:rFonts w:hint="eastAsia" w:ascii="Times New Roman" w:hAnsi="Times New Roman" w:eastAsia="仿宋_GB2312" w:cs="Times New Roman"/>
          <w:sz w:val="32"/>
          <w:szCs w:val="32"/>
          <w:lang w:val="zh-CN"/>
        </w:rPr>
        <w:t>13号），下达攀枝花市西区陶家渡街道三十六中小花山校区滑坡工程治理项目资金</w:t>
      </w:r>
      <w:r>
        <w:rPr>
          <w:rFonts w:hint="eastAsia" w:ascii="Times New Roman" w:hAnsi="Times New Roman" w:eastAsia="仿宋_GB2312" w:cs="Times New Roman"/>
          <w:sz w:val="32"/>
          <w:szCs w:val="32"/>
          <w:lang w:val="en-US" w:eastAsia="zh-CN"/>
        </w:rPr>
        <w:t>117.55万元。</w:t>
      </w:r>
    </w:p>
    <w:p w14:paraId="07C87842">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该项资金为省级及以上专项补助资金。</w:t>
      </w:r>
    </w:p>
    <w:p w14:paraId="3EDA2684">
      <w:pPr>
        <w:adjustRightInd w:val="0"/>
        <w:snapToGrid w:val="0"/>
        <w:spacing w:line="600" w:lineRule="exact"/>
        <w:ind w:firstLine="720"/>
        <w:rPr>
          <w:rFonts w:hint="default" w:ascii="Times New Roman" w:hAnsi="Times New Roman" w:eastAsia="仿宋_GB2312" w:cs="Times New Roman"/>
          <w:sz w:val="32"/>
          <w:szCs w:val="32"/>
          <w:lang w:val="en-US"/>
        </w:rPr>
      </w:pPr>
      <w:r>
        <w:rPr>
          <w:rFonts w:ascii="Times New Roman" w:hAnsi="Times New Roman" w:eastAsia="仿宋_GB2312" w:cs="Times New Roman"/>
          <w:sz w:val="32"/>
          <w:szCs w:val="32"/>
          <w:lang w:val="zh-CN"/>
        </w:rPr>
        <w:t>4.资金分配的原则及考虑因素。</w:t>
      </w:r>
      <w:r>
        <w:rPr>
          <w:rFonts w:hint="eastAsia" w:ascii="Times New Roman" w:hAnsi="Times New Roman" w:eastAsia="仿宋_GB2312" w:cs="Times New Roman"/>
          <w:sz w:val="32"/>
          <w:szCs w:val="32"/>
          <w:lang w:eastAsia="zh-CN"/>
        </w:rPr>
        <w:t>按照《四川省地质灾害防治项目管理办法》，根据前期项目</w:t>
      </w:r>
      <w:r>
        <w:rPr>
          <w:rFonts w:hint="eastAsia" w:eastAsia="仿宋_GB2312" w:cs="Times New Roman"/>
          <w:sz w:val="32"/>
          <w:szCs w:val="32"/>
          <w:lang w:eastAsia="zh-CN"/>
        </w:rPr>
        <w:t>勘察</w:t>
      </w:r>
      <w:r>
        <w:rPr>
          <w:rFonts w:hint="eastAsia" w:ascii="Times New Roman" w:hAnsi="Times New Roman" w:eastAsia="仿宋_GB2312" w:cs="Times New Roman"/>
          <w:sz w:val="32"/>
          <w:szCs w:val="32"/>
          <w:lang w:eastAsia="zh-CN"/>
        </w:rPr>
        <w:t>、设计，并报请省、市自然资源部门批复，预算金额</w:t>
      </w:r>
      <w:r>
        <w:rPr>
          <w:rFonts w:hint="eastAsia" w:ascii="Times New Roman" w:hAnsi="Times New Roman" w:eastAsia="仿宋_GB2312" w:cs="Times New Roman"/>
          <w:sz w:val="32"/>
          <w:szCs w:val="32"/>
          <w:lang w:val="en-US" w:eastAsia="zh-CN"/>
        </w:rPr>
        <w:t>117.55万元。</w:t>
      </w:r>
    </w:p>
    <w:p w14:paraId="111D29F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29EAF4D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1.项目主要内容。</w:t>
      </w:r>
      <w:r>
        <w:rPr>
          <w:rFonts w:hint="eastAsia" w:ascii="Times New Roman" w:hAnsi="Times New Roman" w:eastAsia="仿宋_GB2312" w:cs="Times New Roman"/>
          <w:sz w:val="32"/>
          <w:szCs w:val="32"/>
          <w:lang w:val="zh-CN"/>
        </w:rPr>
        <w:t>根据三十六中小花山校区滑坡的特点，在稳定性分析的基础上，对该滑坡采用“挂网锚喷+锚杆格构+锚杆肋柱面板挡墙+浆砌片石护面墙、防渗硬化及砂浆抹面”等支挡措施的治理方案。</w:t>
      </w:r>
    </w:p>
    <w:p w14:paraId="65D9A027">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2.项目应实现的具体绩效目标</w:t>
      </w:r>
      <w:r>
        <w:rPr>
          <w:rFonts w:hint="eastAsia" w:ascii="Times New Roman" w:hAnsi="Times New Roman" w:eastAsia="仿宋_GB2312" w:cs="Times New Roman"/>
          <w:sz w:val="32"/>
          <w:szCs w:val="32"/>
          <w:lang w:val="zh-CN"/>
        </w:rPr>
        <w:t>。数量指标：完成三十六中小花山校区滑坡工程治理项目；质量指标：工程完工后直接减少威胁滑坡体前缘率大于等于95%；时效指标：完成期限2026年12月31日前；经济效益指标：减少潜在经济损失约1600万元；社会效益指标：减少灾害点威胁20户55人生命财产安全；满意度指标：受</w:t>
      </w:r>
      <w:r>
        <w:rPr>
          <w:rFonts w:hint="eastAsia" w:eastAsia="仿宋_GB2312" w:cs="Times New Roman"/>
          <w:sz w:val="32"/>
          <w:szCs w:val="32"/>
          <w:lang w:val="zh-CN"/>
        </w:rPr>
        <w:t>灾</w:t>
      </w:r>
      <w:r>
        <w:rPr>
          <w:rFonts w:hint="eastAsia" w:ascii="Times New Roman" w:hAnsi="Times New Roman" w:eastAsia="仿宋_GB2312" w:cs="Times New Roman"/>
          <w:sz w:val="32"/>
          <w:szCs w:val="32"/>
          <w:lang w:val="zh-CN"/>
        </w:rPr>
        <w:t>群众满意度大于等于95%；经济成本指标：财政拨款资金117.55万元</w:t>
      </w:r>
      <w:r>
        <w:rPr>
          <w:rFonts w:hint="eastAsia" w:ascii="Times New Roman" w:hAnsi="Times New Roman" w:eastAsia="仿宋_GB2312" w:cs="Times New Roman"/>
          <w:sz w:val="32"/>
          <w:szCs w:val="32"/>
          <w:lang w:val="en-US" w:eastAsia="zh-CN"/>
        </w:rPr>
        <w:t>。</w:t>
      </w:r>
    </w:p>
    <w:p w14:paraId="644A4F8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3.分析评价申报内容与实际相符，申报目标合理可行。</w:t>
      </w:r>
    </w:p>
    <w:p w14:paraId="5BAD2AD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629C2EF5">
      <w:pPr>
        <w:numPr>
          <w:ilvl w:val="0"/>
          <w:numId w:val="0"/>
        </w:num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zh-CN" w:eastAsia="zh-CN"/>
        </w:rPr>
      </w:pPr>
      <w:r>
        <w:rPr>
          <w:rFonts w:hint="eastAsia" w:ascii="仿宋_GB2312" w:hAnsi="仿宋_GB2312" w:eastAsia="仿宋_GB2312" w:cs="仿宋_GB2312"/>
          <w:kern w:val="0"/>
          <w:sz w:val="32"/>
          <w:szCs w:val="32"/>
          <w:lang w:val="zh-CN" w:eastAsia="zh-CN"/>
        </w:rPr>
        <w:t>项目业主由攀枝花市自然资源和规划局西区分局担任，局长姚恬总负责，分管领导由杨旭副局长兼任，地矿股承担具体评价工作。根据预设项目绩效目标，</w:t>
      </w:r>
      <w:r>
        <w:rPr>
          <w:rFonts w:hint="eastAsia" w:ascii="仿宋_GB2312" w:hAnsi="仿宋_GB2312" w:eastAsia="仿宋_GB2312" w:cs="仿宋_GB2312"/>
          <w:kern w:val="0"/>
          <w:sz w:val="32"/>
          <w:szCs w:val="32"/>
          <w:lang w:val="zh-CN"/>
        </w:rPr>
        <w:t>结合项目自身特点、评价重点及管理办法等要求，围绕专项项目支出绩效评价指标体系对项目进行总体评价。评价方法如下：一是</w:t>
      </w:r>
      <w:r>
        <w:rPr>
          <w:rFonts w:hint="default" w:ascii="Times New Roman" w:hAnsi="Times New Roman" w:eastAsia="仿宋_GB2312" w:cs="Times New Roman"/>
          <w:sz w:val="32"/>
          <w:szCs w:val="32"/>
          <w:lang w:val="en-US" w:eastAsia="zh-CN"/>
        </w:rPr>
        <w:t>确定自评目的</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明确自评的目的，例如评估项目进度、评估项目质量、评估项目风险等。</w:t>
      </w:r>
      <w:r>
        <w:rPr>
          <w:rFonts w:hint="eastAsia" w:ascii="Times New Roman" w:hAnsi="Times New Roman" w:eastAsia="仿宋_GB2312" w:cs="Times New Roman"/>
          <w:sz w:val="32"/>
          <w:szCs w:val="32"/>
          <w:lang w:val="en-US" w:eastAsia="zh-CN"/>
        </w:rPr>
        <w:t>二是开展</w:t>
      </w:r>
      <w:r>
        <w:rPr>
          <w:rFonts w:hint="default" w:ascii="Times New Roman" w:hAnsi="Times New Roman" w:eastAsia="仿宋_GB2312" w:cs="Times New Roman"/>
          <w:sz w:val="32"/>
          <w:szCs w:val="32"/>
          <w:lang w:val="en-US" w:eastAsia="zh-CN"/>
        </w:rPr>
        <w:t>收集信息</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收集项目相关信息，包括项目计划、项目进度、项目成果、项目问题等。</w:t>
      </w:r>
      <w:r>
        <w:rPr>
          <w:rFonts w:hint="eastAsia" w:ascii="Times New Roman" w:hAnsi="Times New Roman" w:eastAsia="仿宋_GB2312" w:cs="Times New Roman"/>
          <w:sz w:val="32"/>
          <w:szCs w:val="32"/>
          <w:lang w:val="en-US" w:eastAsia="zh-CN"/>
        </w:rPr>
        <w:t>三是</w:t>
      </w:r>
      <w:r>
        <w:rPr>
          <w:rFonts w:hint="default" w:ascii="Times New Roman" w:hAnsi="Times New Roman" w:eastAsia="仿宋_GB2312" w:cs="Times New Roman"/>
          <w:sz w:val="32"/>
          <w:szCs w:val="32"/>
          <w:lang w:val="en-US" w:eastAsia="zh-CN"/>
        </w:rPr>
        <w:t>评估项目进度</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根据项目计划和实际进度进行比较，评估项目是否按时完成。</w:t>
      </w:r>
      <w:r>
        <w:rPr>
          <w:rFonts w:hint="eastAsia" w:ascii="Times New Roman" w:hAnsi="Times New Roman" w:eastAsia="仿宋_GB2312" w:cs="Times New Roman"/>
          <w:sz w:val="32"/>
          <w:szCs w:val="32"/>
          <w:lang w:val="en-US" w:eastAsia="zh-CN"/>
        </w:rPr>
        <w:t>四是</w:t>
      </w:r>
      <w:r>
        <w:rPr>
          <w:rFonts w:hint="default" w:ascii="Times New Roman" w:hAnsi="Times New Roman" w:eastAsia="仿宋_GB2312" w:cs="Times New Roman"/>
          <w:sz w:val="32"/>
          <w:szCs w:val="32"/>
          <w:lang w:val="en-US" w:eastAsia="zh-CN"/>
        </w:rPr>
        <w:t>评估项目质量</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根据项目成果和项目要求进行比较，评估项目成果是否符合要求。</w:t>
      </w:r>
      <w:r>
        <w:rPr>
          <w:rFonts w:hint="eastAsia" w:ascii="Times New Roman" w:hAnsi="Times New Roman" w:eastAsia="仿宋_GB2312" w:cs="Times New Roman"/>
          <w:sz w:val="32"/>
          <w:szCs w:val="32"/>
          <w:lang w:val="en-US" w:eastAsia="zh-CN"/>
        </w:rPr>
        <w:t>五是</w:t>
      </w:r>
      <w:r>
        <w:rPr>
          <w:rFonts w:hint="default" w:ascii="Times New Roman" w:hAnsi="Times New Roman" w:eastAsia="仿宋_GB2312" w:cs="Times New Roman"/>
          <w:sz w:val="32"/>
          <w:szCs w:val="32"/>
          <w:lang w:val="en-US" w:eastAsia="zh-CN"/>
        </w:rPr>
        <w:t>评估项目风险</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根据项目进程中出现的问题进行评估，评估项目未来可能出现的风险。</w:t>
      </w:r>
      <w:r>
        <w:rPr>
          <w:rFonts w:hint="eastAsia" w:ascii="Times New Roman" w:hAnsi="Times New Roman" w:eastAsia="仿宋_GB2312" w:cs="Times New Roman"/>
          <w:sz w:val="32"/>
          <w:szCs w:val="32"/>
          <w:lang w:val="en-US" w:eastAsia="zh-CN"/>
        </w:rPr>
        <w:t>六是</w:t>
      </w:r>
      <w:r>
        <w:rPr>
          <w:rFonts w:hint="default" w:ascii="Times New Roman" w:hAnsi="Times New Roman" w:eastAsia="仿宋_GB2312" w:cs="Times New Roman"/>
          <w:sz w:val="32"/>
          <w:szCs w:val="32"/>
          <w:lang w:val="en-US" w:eastAsia="zh-CN"/>
        </w:rPr>
        <w:t>总结评估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总结自评过程和结果，为今后的项目管理做出参考。</w:t>
      </w:r>
    </w:p>
    <w:p w14:paraId="604DA54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476F5D6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51DECE40">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该项目申报资金</w:t>
      </w:r>
      <w:r>
        <w:rPr>
          <w:rFonts w:hint="eastAsia" w:ascii="Times New Roman" w:hAnsi="Times New Roman" w:eastAsia="仿宋_GB2312" w:cs="Times New Roman"/>
          <w:sz w:val="32"/>
          <w:szCs w:val="32"/>
          <w:lang w:val="en-US" w:eastAsia="zh-CN"/>
        </w:rPr>
        <w:t>117.55万元，批复</w:t>
      </w:r>
      <w:r>
        <w:rPr>
          <w:rFonts w:hint="eastAsia" w:ascii="Times New Roman" w:hAnsi="Times New Roman" w:eastAsia="仿宋_GB2312" w:cs="Times New Roman"/>
          <w:sz w:val="32"/>
          <w:szCs w:val="32"/>
          <w:lang w:val="zh-CN"/>
        </w:rPr>
        <w:t>下达资金</w:t>
      </w:r>
      <w:r>
        <w:rPr>
          <w:rFonts w:hint="eastAsia" w:ascii="Times New Roman" w:hAnsi="Times New Roman" w:eastAsia="仿宋_GB2312" w:cs="Times New Roman"/>
          <w:sz w:val="32"/>
          <w:szCs w:val="32"/>
          <w:lang w:val="en-US" w:eastAsia="zh-CN"/>
        </w:rPr>
        <w:t>117.55万元。</w:t>
      </w:r>
    </w:p>
    <w:p w14:paraId="5EDB968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71CCD40B">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该项目资金全额来源于省级以上补助资金，无</w:t>
      </w:r>
      <w:r>
        <w:rPr>
          <w:rFonts w:ascii="Times New Roman" w:hAnsi="Times New Roman" w:eastAsia="仿宋_GB2312" w:cs="Times New Roman"/>
          <w:sz w:val="32"/>
          <w:szCs w:val="32"/>
          <w:lang w:val="zh-CN"/>
        </w:rPr>
        <w:t>县（市、区）财政资金</w:t>
      </w:r>
      <w:r>
        <w:rPr>
          <w:rFonts w:hint="eastAsia" w:ascii="Times New Roman" w:hAnsi="Times New Roman" w:eastAsia="仿宋_GB2312" w:cs="Times New Roman"/>
          <w:sz w:val="32"/>
          <w:szCs w:val="32"/>
          <w:lang w:val="zh-CN"/>
        </w:rPr>
        <w:t>配套。</w:t>
      </w:r>
    </w:p>
    <w:p w14:paraId="73E20423">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en-US" w:eastAsia="zh-CN"/>
        </w:rPr>
        <w:t>117.55万元全额到位，资金到位率100%。</w:t>
      </w:r>
    </w:p>
    <w:p w14:paraId="654FED9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该项目下达资金</w:t>
      </w:r>
      <w:r>
        <w:rPr>
          <w:rFonts w:hint="eastAsia" w:ascii="Times New Roman" w:hAnsi="Times New Roman" w:eastAsia="仿宋_GB2312" w:cs="Times New Roman"/>
          <w:sz w:val="32"/>
          <w:szCs w:val="32"/>
          <w:lang w:val="en-US" w:eastAsia="zh-CN"/>
        </w:rPr>
        <w:t>117.55万元，实际使用资金80.63万元，主要由于该项目于2026年1月19日完成项目终验，项目施工尾款、审计、决算、运行监测等款项尚未支付。</w:t>
      </w:r>
    </w:p>
    <w:p w14:paraId="005BB77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6A3EAB43">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仿宋_GB2312" w:cs="Times New Roman"/>
          <w:sz w:val="32"/>
          <w:szCs w:val="32"/>
          <w:lang w:val="zh-CN"/>
        </w:rPr>
      </w:pPr>
      <w:r>
        <w:rPr>
          <w:rFonts w:hint="eastAsia" w:ascii="Calibri" w:hAnsi="Calibri" w:eastAsia="仿宋_GB2312" w:cs="Times New Roman"/>
          <w:sz w:val="32"/>
          <w:szCs w:val="32"/>
          <w:lang w:val="zh-CN"/>
        </w:rPr>
        <w:t>项目严格</w:t>
      </w:r>
      <w:r>
        <w:rPr>
          <w:rFonts w:ascii="Calibri" w:hAnsi="Calibri" w:eastAsia="仿宋_GB2312" w:cs="Times New Roman"/>
          <w:sz w:val="32"/>
          <w:szCs w:val="32"/>
          <w:lang w:val="zh-CN"/>
        </w:rPr>
        <w:t>按照国家有关法规，实行项目法人制、招投标制、工程监理制、工程验收制</w:t>
      </w:r>
      <w:r>
        <w:rPr>
          <w:rFonts w:hint="eastAsia" w:ascii="Calibri" w:hAnsi="Calibri" w:eastAsia="仿宋_GB2312" w:cs="Times New Roman"/>
          <w:sz w:val="32"/>
          <w:szCs w:val="32"/>
          <w:lang w:val="zh-CN"/>
        </w:rPr>
        <w:t>，项目管理规范</w:t>
      </w:r>
      <w:r>
        <w:rPr>
          <w:rFonts w:ascii="Calibri" w:hAnsi="Calibri" w:eastAsia="仿宋_GB2312" w:cs="Times New Roman"/>
          <w:sz w:val="32"/>
          <w:szCs w:val="32"/>
          <w:lang w:val="zh-CN"/>
        </w:rPr>
        <w:t>。</w:t>
      </w:r>
    </w:p>
    <w:p w14:paraId="1E49BE2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7EE3A92F">
      <w:pPr>
        <w:keepNext w:val="0"/>
        <w:keepLines w:val="0"/>
        <w:pageBreakBefore w:val="0"/>
        <w:kinsoku/>
        <w:wordWrap/>
        <w:overflowPunct/>
        <w:topLinePunct w:val="0"/>
        <w:autoSpaceDE/>
        <w:autoSpaceDN/>
        <w:bidi w:val="0"/>
        <w:adjustRightInd w:val="0"/>
        <w:snapToGrid w:val="0"/>
        <w:spacing w:line="560" w:lineRule="exact"/>
        <w:ind w:firstLine="72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项目组织架构上，县区政府为责任主体，市自然资源和规划主管部门实施监督管理，县区自然资源和规划主管部门具体组织实施。财政补助资金项目按如下流程实施：县区自然资源和规划主管部门具体组织编制勘察、可行性研究及施工图设计并报市自然资源和规划主管部门审查，审查后由市自然资源和规划主管部门印发勘察、可行性研究、施工图设计等专家审查意见；县区自然资源和规划主管部门根据专家审查意见向市自然资源和规划主管部门报请立项；市自然资源和规划主管部门局务会或党委会研究同意后，下达立项批复；县区自然资源和规划主管部门根据市自然资源和规划主管部门的立项批复，组织施工、监理单位招投标，并确定施工、监理单位；县区自然资源和规划主管部门组织施工单位、监理单位进行施工；项目完工后，施工单位、监理单位进行自查总结，报请县区自然资源和规划主管部门申请初步验收；初步验收合格并整改完成后，县区自然资源和规划主管部门报请市自然资源和规划主管部门进行最终验收。</w:t>
      </w:r>
    </w:p>
    <w:p w14:paraId="035BC03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950668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611138F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1.预算执行情况（得分</w:t>
      </w:r>
      <w:r>
        <w:rPr>
          <w:rFonts w:hint="eastAsia" w:ascii="Times New Roman" w:hAnsi="Times New Roman"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4E40D75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年度预算绩效资金为</w:t>
      </w:r>
      <w:r>
        <w:rPr>
          <w:rFonts w:hint="eastAsia" w:ascii="Times New Roman" w:hAnsi="Times New Roman" w:eastAsia="仿宋_GB2312" w:cs="仿宋_GB2312"/>
          <w:b w:val="0"/>
          <w:bCs w:val="0"/>
          <w:kern w:val="0"/>
          <w:position w:val="0"/>
          <w:sz w:val="32"/>
          <w:szCs w:val="32"/>
          <w:highlight w:val="none"/>
          <w:lang w:val="en-US" w:eastAsia="zh-CN" w:bidi="ar-SA"/>
        </w:rPr>
        <w:t>117.55</w:t>
      </w:r>
      <w:r>
        <w:rPr>
          <w:rFonts w:hint="eastAsia" w:ascii="Times New Roman" w:hAnsi="Times New Roman" w:eastAsia="仿宋_GB2312" w:cs="仿宋_GB2312"/>
          <w:b w:val="0"/>
          <w:bCs w:val="0"/>
          <w:kern w:val="0"/>
          <w:position w:val="0"/>
          <w:sz w:val="32"/>
          <w:szCs w:val="32"/>
          <w:highlight w:val="none"/>
          <w:lang w:val="zh-CN" w:eastAsia="zh-CN" w:bidi="ar-SA"/>
        </w:rPr>
        <w:t>万元，支付</w:t>
      </w:r>
      <w:r>
        <w:rPr>
          <w:rFonts w:hint="eastAsia" w:ascii="Times New Roman" w:hAnsi="Times New Roman" w:eastAsia="仿宋_GB2312" w:cs="仿宋_GB2312"/>
          <w:b w:val="0"/>
          <w:bCs w:val="0"/>
          <w:kern w:val="0"/>
          <w:position w:val="0"/>
          <w:sz w:val="32"/>
          <w:szCs w:val="32"/>
          <w:highlight w:val="none"/>
          <w:lang w:val="en-US" w:eastAsia="zh-CN" w:bidi="ar-SA"/>
        </w:rPr>
        <w:t>80.63</w:t>
      </w:r>
      <w:r>
        <w:rPr>
          <w:rFonts w:hint="eastAsia" w:ascii="Times New Roman" w:hAnsi="Times New Roman" w:eastAsia="仿宋_GB2312" w:cs="仿宋_GB2312"/>
          <w:b w:val="0"/>
          <w:bCs w:val="0"/>
          <w:kern w:val="0"/>
          <w:position w:val="0"/>
          <w:sz w:val="32"/>
          <w:szCs w:val="32"/>
          <w:highlight w:val="none"/>
          <w:lang w:val="zh-CN" w:eastAsia="zh-CN" w:bidi="ar-SA"/>
        </w:rPr>
        <w:t>万元，执行率为</w:t>
      </w:r>
      <w:r>
        <w:rPr>
          <w:rFonts w:hint="eastAsia" w:ascii="Times New Roman" w:hAnsi="Times New Roman" w:eastAsia="仿宋_GB2312" w:cs="仿宋_GB2312"/>
          <w:b w:val="0"/>
          <w:bCs w:val="0"/>
          <w:kern w:val="0"/>
          <w:position w:val="0"/>
          <w:sz w:val="32"/>
          <w:szCs w:val="32"/>
          <w:highlight w:val="none"/>
          <w:lang w:val="en-US" w:eastAsia="zh-CN" w:bidi="ar-SA"/>
        </w:rPr>
        <w:t>68.59</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3B5FF29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2.绩效指标完成情况（得分90分）</w:t>
      </w:r>
    </w:p>
    <w:p w14:paraId="2AB755C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①数量指标：</w:t>
      </w:r>
      <w:r>
        <w:rPr>
          <w:rFonts w:hint="eastAsia" w:ascii="Times New Roman" w:hAnsi="Times New Roman" w:eastAsia="仿宋_GB2312" w:cs="Times New Roman"/>
          <w:sz w:val="32"/>
          <w:szCs w:val="32"/>
          <w:lang w:val="zh-CN"/>
        </w:rPr>
        <w:t>完成三十六中小花山校区滑坡工程治理项目</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15</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40A7A62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②时效指标：</w:t>
      </w:r>
      <w:r>
        <w:rPr>
          <w:rFonts w:hint="eastAsia" w:ascii="Times New Roman" w:hAnsi="Times New Roman" w:eastAsia="仿宋_GB2312" w:cs="Times New Roman"/>
          <w:sz w:val="32"/>
          <w:szCs w:val="32"/>
          <w:lang w:val="zh-CN"/>
        </w:rPr>
        <w:t>完成期限2026年12月31日前</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6C21581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③质量指标：</w:t>
      </w:r>
      <w:r>
        <w:rPr>
          <w:rFonts w:hint="eastAsia" w:ascii="Times New Roman" w:hAnsi="Times New Roman" w:eastAsia="仿宋_GB2312" w:cs="Times New Roman"/>
          <w:sz w:val="32"/>
          <w:szCs w:val="32"/>
          <w:lang w:val="zh-CN"/>
        </w:rPr>
        <w:t>工程完工后直接减少威胁滑坡体前缘率大于等于95%</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15</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138FA32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仿宋_GB2312"/>
          <w:b w:val="0"/>
          <w:bCs w:val="0"/>
          <w:kern w:val="0"/>
          <w:position w:val="0"/>
          <w:sz w:val="32"/>
          <w:szCs w:val="32"/>
          <w:highlight w:val="none"/>
          <w:lang w:val="zh-CN" w:eastAsia="zh-CN" w:bidi="ar-SA"/>
        </w:rPr>
        <w:t>④</w:t>
      </w:r>
      <w:r>
        <w:rPr>
          <w:rFonts w:hint="eastAsia" w:ascii="Times New Roman" w:hAnsi="Times New Roman" w:eastAsia="仿宋_GB2312" w:cs="Times New Roman"/>
          <w:sz w:val="32"/>
          <w:szCs w:val="32"/>
          <w:lang w:val="zh-CN"/>
        </w:rPr>
        <w:t>经济效益指标：减少潜在经济损失约1600万元</w:t>
      </w:r>
      <w:r>
        <w:rPr>
          <w:rFonts w:hint="eastAsia" w:ascii="Times New Roman" w:hAnsi="Times New Roman" w:eastAsia="仿宋_GB2312" w:cs="Times New Roman"/>
          <w:sz w:val="32"/>
          <w:szCs w:val="32"/>
          <w:lang w:val="en-US" w:eastAsia="zh-CN"/>
        </w:rPr>
        <w:t>。（10分）</w:t>
      </w:r>
    </w:p>
    <w:p w14:paraId="5E483F2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⑤</w:t>
      </w:r>
      <w:r>
        <w:rPr>
          <w:rFonts w:hint="eastAsia" w:ascii="Times New Roman" w:hAnsi="Times New Roman" w:eastAsia="仿宋_GB2312" w:cs="Times New Roman"/>
          <w:sz w:val="32"/>
          <w:szCs w:val="32"/>
          <w:lang w:val="zh-CN"/>
        </w:rPr>
        <w:t>社会效益指标：减少灾害点威胁20户55人生命财产安全（</w:t>
      </w:r>
      <w:r>
        <w:rPr>
          <w:rFonts w:hint="eastAsia" w:ascii="Times New Roman" w:hAnsi="Times New Roman" w:eastAsia="仿宋_GB2312" w:cs="Times New Roman"/>
          <w:sz w:val="32"/>
          <w:szCs w:val="32"/>
          <w:lang w:val="en-US" w:eastAsia="zh-CN"/>
        </w:rPr>
        <w:t>10分</w:t>
      </w:r>
      <w:r>
        <w:rPr>
          <w:rFonts w:hint="eastAsia" w:ascii="Times New Roman" w:hAnsi="Times New Roman" w:eastAsia="仿宋_GB2312" w:cs="Times New Roman"/>
          <w:sz w:val="32"/>
          <w:szCs w:val="32"/>
          <w:lang w:val="zh-CN"/>
        </w:rPr>
        <w:t>）</w:t>
      </w:r>
    </w:p>
    <w:p w14:paraId="4BB8836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⑥</w:t>
      </w:r>
      <w:r>
        <w:rPr>
          <w:rFonts w:hint="eastAsia" w:ascii="Times New Roman" w:hAnsi="Times New Roman" w:eastAsia="仿宋_GB2312" w:cs="Times New Roman"/>
          <w:sz w:val="32"/>
          <w:szCs w:val="32"/>
          <w:lang w:val="zh-CN"/>
        </w:rPr>
        <w:t>满意度指标：受</w:t>
      </w:r>
      <w:r>
        <w:rPr>
          <w:rFonts w:hint="eastAsia" w:eastAsia="仿宋_GB2312" w:cs="Times New Roman"/>
          <w:sz w:val="32"/>
          <w:szCs w:val="32"/>
          <w:lang w:val="zh-CN"/>
        </w:rPr>
        <w:t>灾</w:t>
      </w:r>
      <w:r>
        <w:rPr>
          <w:rFonts w:hint="eastAsia" w:ascii="Times New Roman" w:hAnsi="Times New Roman" w:eastAsia="仿宋_GB2312" w:cs="Times New Roman"/>
          <w:sz w:val="32"/>
          <w:szCs w:val="32"/>
          <w:lang w:val="zh-CN"/>
        </w:rPr>
        <w:t>群众满意度大于等于95%。（</w:t>
      </w:r>
      <w:r>
        <w:rPr>
          <w:rFonts w:hint="eastAsia" w:ascii="Times New Roman" w:hAnsi="Times New Roman" w:eastAsia="仿宋_GB2312" w:cs="Times New Roman"/>
          <w:sz w:val="32"/>
          <w:szCs w:val="32"/>
          <w:lang w:val="en-US" w:eastAsia="zh-CN"/>
        </w:rPr>
        <w:t>10分</w:t>
      </w:r>
      <w:r>
        <w:rPr>
          <w:rFonts w:hint="eastAsia" w:ascii="Times New Roman" w:hAnsi="Times New Roman" w:eastAsia="仿宋_GB2312" w:cs="Times New Roman"/>
          <w:sz w:val="32"/>
          <w:szCs w:val="32"/>
          <w:lang w:val="zh-CN"/>
        </w:rPr>
        <w:t>）</w:t>
      </w:r>
    </w:p>
    <w:p w14:paraId="3233CD4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⑦经</w:t>
      </w:r>
      <w:r>
        <w:rPr>
          <w:rFonts w:hint="eastAsia" w:ascii="Times New Roman" w:hAnsi="Times New Roman" w:eastAsia="仿宋_GB2312" w:cs="Times New Roman"/>
          <w:sz w:val="32"/>
          <w:szCs w:val="32"/>
          <w:lang w:val="zh-CN"/>
        </w:rPr>
        <w:t>济成本指标：财政拨款资金117.55万元</w:t>
      </w:r>
      <w:r>
        <w:rPr>
          <w:rFonts w:hint="eastAsia" w:ascii="Times New Roman" w:hAnsi="Times New Roman" w:eastAsia="仿宋_GB2312" w:cs="Times New Roman"/>
          <w:sz w:val="32"/>
          <w:szCs w:val="32"/>
          <w:lang w:val="en-US" w:eastAsia="zh-CN"/>
        </w:rPr>
        <w:t>。（20分）</w:t>
      </w:r>
    </w:p>
    <w:p w14:paraId="07A36B5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通过本项目的实施，按时、按质、按量完成了绩效目标，取得了良好的社会效益和经济效益，群众满意度高，目标完成情况为优，个性指标得分</w:t>
      </w:r>
      <w:r>
        <w:rPr>
          <w:rFonts w:hint="eastAsia" w:ascii="Times New Roman" w:hAnsi="Times New Roman" w:eastAsia="仿宋_GB2312" w:cs="仿宋_GB2312"/>
          <w:b w:val="0"/>
          <w:bCs w:val="0"/>
          <w:kern w:val="0"/>
          <w:position w:val="0"/>
          <w:sz w:val="32"/>
          <w:szCs w:val="32"/>
          <w:highlight w:val="none"/>
          <w:lang w:val="en-US" w:eastAsia="zh-CN" w:bidi="ar-SA"/>
        </w:rPr>
        <w:t>97</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584326E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43BD608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AD78023">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仿宋_GB2312" w:hAnsi="仿宋_GB2312" w:eastAsia="仿宋_GB2312" w:cs="仿宋_GB2312"/>
          <w:kern w:val="0"/>
          <w:sz w:val="32"/>
          <w:szCs w:val="32"/>
          <w:lang w:eastAsia="zh-CN"/>
        </w:rPr>
        <w:t>总体上看，该项目立项依据充分，绩效目标明确，管理制度健全，组织实施有序，资金使用规范，实施效果良好</w:t>
      </w:r>
      <w:r>
        <w:rPr>
          <w:rFonts w:hint="eastAsia" w:ascii="仿宋_GB2312" w:hAnsi="仿宋_GB2312" w:eastAsia="仿宋_GB2312" w:cs="仿宋_GB2312"/>
          <w:kern w:val="0"/>
          <w:sz w:val="32"/>
          <w:szCs w:val="32"/>
          <w:lang w:val="zh-CN"/>
        </w:rPr>
        <w:t>。通过项目实施，</w:t>
      </w:r>
      <w:r>
        <w:rPr>
          <w:rFonts w:hint="default" w:ascii="Times New Roman" w:hAnsi="Times New Roman" w:eastAsia="仿宋_GB2312" w:cs="Times New Roman"/>
          <w:kern w:val="0"/>
          <w:sz w:val="32"/>
          <w:szCs w:val="32"/>
          <w:lang w:val="en-US" w:eastAsia="zh-CN"/>
        </w:rPr>
        <w:t>有效保护群众</w:t>
      </w:r>
      <w:r>
        <w:rPr>
          <w:rFonts w:hint="eastAsia" w:eastAsia="仿宋_GB2312" w:cs="Times New Roman"/>
          <w:kern w:val="0"/>
          <w:sz w:val="32"/>
          <w:szCs w:val="32"/>
          <w:lang w:val="en-US" w:eastAsia="zh-CN"/>
        </w:rPr>
        <w:t>生命财产安全</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取得了良好的社会效益和经济效益，评价</w:t>
      </w:r>
      <w:r>
        <w:rPr>
          <w:rFonts w:hint="eastAsia" w:eastAsia="仿宋_GB2312" w:cs="Times New Roman"/>
          <w:kern w:val="0"/>
          <w:sz w:val="32"/>
          <w:szCs w:val="32"/>
          <w:lang w:val="en-US" w:eastAsia="zh-CN"/>
        </w:rPr>
        <w:t>为</w:t>
      </w:r>
      <w:r>
        <w:rPr>
          <w:rFonts w:hint="eastAsia" w:ascii="Times New Roman" w:hAnsi="Times New Roman" w:eastAsia="仿宋_GB2312" w:cs="Times New Roman"/>
          <w:kern w:val="0"/>
          <w:sz w:val="32"/>
          <w:szCs w:val="32"/>
          <w:lang w:val="en-US" w:eastAsia="zh-CN"/>
        </w:rPr>
        <w:t>97分</w:t>
      </w:r>
      <w:r>
        <w:rPr>
          <w:rFonts w:ascii="Times New Roman" w:hAnsi="Times New Roman" w:eastAsia="仿宋_GB2312" w:cs="Times New Roman"/>
          <w:sz w:val="32"/>
          <w:szCs w:val="32"/>
          <w:lang w:val="zh-CN"/>
        </w:rPr>
        <w:t>。</w:t>
      </w:r>
    </w:p>
    <w:p w14:paraId="22CD1B3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5BC74A2F">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7EDB9C4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7550FB1">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66AE880A">
      <w:pPr>
        <w:rPr>
          <w:rFonts w:ascii="Times New Roman" w:hAnsi="Times New Roman" w:eastAsia="仿宋_GB2312" w:cs="Times New Roman"/>
          <w:sz w:val="32"/>
          <w:szCs w:val="32"/>
        </w:rPr>
      </w:pPr>
    </w:p>
    <w:p w14:paraId="55C3CCAD">
      <w:pPr>
        <w:rPr>
          <w:rFonts w:hint="eastAsia" w:ascii="Times New Roman" w:hAnsi="Times New Roman" w:eastAsia="黑体"/>
          <w:color w:val="auto"/>
          <w:sz w:val="44"/>
          <w:szCs w:val="44"/>
          <w:highlight w:val="none"/>
        </w:rPr>
      </w:pPr>
    </w:p>
    <w:p w14:paraId="4970CB2D">
      <w:pPr>
        <w:rPr>
          <w:rFonts w:hint="eastAsia" w:ascii="Times New Roman" w:hAnsi="Times New Roman" w:eastAsia="黑体"/>
          <w:color w:val="auto"/>
          <w:sz w:val="44"/>
          <w:szCs w:val="44"/>
          <w:highlight w:val="none"/>
        </w:rPr>
      </w:pPr>
    </w:p>
    <w:p w14:paraId="0FA5A73D">
      <w:pPr>
        <w:spacing w:line="600" w:lineRule="exact"/>
        <w:jc w:val="center"/>
        <w:rPr>
          <w:rFonts w:ascii="Times New Roman" w:hAnsi="Times New Roman" w:eastAsia="方正小标宋简体" w:cs="Times New Roman"/>
          <w:color w:val="auto"/>
          <w:kern w:val="2"/>
          <w:sz w:val="40"/>
          <w:szCs w:val="40"/>
          <w:lang w:val="zh-CN" w:eastAsia="zh-CN" w:bidi="ar-SA"/>
        </w:rPr>
      </w:pPr>
      <w:r>
        <w:rPr>
          <w:rFonts w:hint="eastAsia" w:ascii="Times New Roman" w:hAnsi="Times New Roman" w:eastAsia="黑体"/>
          <w:color w:val="auto"/>
          <w:sz w:val="44"/>
          <w:szCs w:val="44"/>
          <w:highlight w:val="none"/>
        </w:rPr>
        <w:br w:type="page"/>
      </w:r>
      <w:r>
        <w:rPr>
          <w:rFonts w:ascii="Times New Roman" w:hAnsi="Times New Roman" w:eastAsia="方正小标宋简体" w:cs="Times New Roman"/>
          <w:color w:val="auto"/>
          <w:kern w:val="2"/>
          <w:sz w:val="40"/>
          <w:szCs w:val="40"/>
          <w:lang w:val="zh-CN" w:eastAsia="zh-CN" w:bidi="ar-SA"/>
        </w:rPr>
        <w:t>专项预算项目支出绩效自评报告</w:t>
      </w:r>
    </w:p>
    <w:p w14:paraId="2CABD3EE">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斜坡详查</w:t>
      </w:r>
      <w:r>
        <w:rPr>
          <w:rFonts w:ascii="Times New Roman" w:hAnsi="Times New Roman" w:eastAsia="仿宋_GB2312" w:cs="Times New Roman"/>
          <w:color w:val="auto"/>
          <w:kern w:val="2"/>
          <w:sz w:val="32"/>
          <w:szCs w:val="32"/>
          <w:lang w:val="zh-CN" w:eastAsia="zh-CN" w:bidi="ar-SA"/>
        </w:rPr>
        <w:t>）</w:t>
      </w:r>
    </w:p>
    <w:p w14:paraId="204E7A0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144F1BE4">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68B7BF6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6BF4B4A7">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zh-CN"/>
        </w:rPr>
        <w:t>主管单位职能职责</w:t>
      </w:r>
      <w:r>
        <w:rPr>
          <w:rFonts w:ascii="Times New Roman" w:hAnsi="Times New Roman" w:eastAsia="仿宋_GB2312" w:cs="Times New Roman"/>
          <w:sz w:val="32"/>
          <w:szCs w:val="32"/>
          <w:lang w:val="zh-CN"/>
        </w:rPr>
        <w:t>。</w:t>
      </w:r>
      <w:r>
        <w:rPr>
          <w:rFonts w:hint="eastAsia" w:ascii="仿宋_GB2312" w:hAnsi="Times New Roman" w:eastAsia="仿宋_GB2312" w:cs="Times New Roman"/>
          <w:sz w:val="32"/>
          <w:szCs w:val="32"/>
          <w:lang w:eastAsia="zh-CN"/>
        </w:rPr>
        <w:t>严格按照市地灾防指办要求落实属地管理责任和行业监管责任，全面落实市、县、乡、村、组、点六级防灾责任制，要充分发挥各级地质灾害指挥部成员单位协同防灾作用，自然资源主管部门加强对地质灾害防治工作的组织、协调、指导、监督。强化组织保障和督察问效，落实地质灾害防治措施。</w:t>
      </w:r>
    </w:p>
    <w:p w14:paraId="109D1890">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2.项目立项、资金申报的依据。</w:t>
      </w:r>
      <w:r>
        <w:rPr>
          <w:rFonts w:hint="eastAsia" w:ascii="Times New Roman" w:hAnsi="Times New Roman" w:eastAsia="仿宋_GB2312" w:cs="Times New Roman"/>
          <w:sz w:val="32"/>
          <w:szCs w:val="32"/>
          <w:lang w:val="zh-CN"/>
        </w:rPr>
        <w:t>根据《攀枝花市财政局关于下达2025年第一批地质灾害防治专项资金（中央和省级）的通知》（攀财资环资</w:t>
      </w:r>
      <w:r>
        <w:rPr>
          <w:rFonts w:hint="eastAsia" w:ascii="仿宋_GB2312" w:hAnsi="仿宋_GB2312" w:eastAsia="仿宋_GB2312" w:cs="仿宋_GB2312"/>
          <w:sz w:val="32"/>
          <w:szCs w:val="32"/>
          <w:lang w:val="zh-CN"/>
        </w:rPr>
        <w:t>〔</w:t>
      </w:r>
      <w:r>
        <w:rPr>
          <w:rFonts w:hint="eastAsia" w:ascii="Times New Roman" w:hAnsi="Times New Roman" w:eastAsia="仿宋_GB2312" w:cs="Times New Roman"/>
          <w:sz w:val="32"/>
          <w:szCs w:val="32"/>
          <w:lang w:val="zh-CN"/>
        </w:rPr>
        <w:t>2025</w:t>
      </w:r>
      <w:r>
        <w:rPr>
          <w:rFonts w:hint="eastAsia" w:ascii="仿宋_GB2312" w:hAnsi="仿宋_GB2312" w:eastAsia="仿宋_GB2312" w:cs="仿宋_GB2312"/>
          <w:sz w:val="32"/>
          <w:szCs w:val="32"/>
          <w:lang w:val="zh-CN"/>
        </w:rPr>
        <w:t>〕</w:t>
      </w:r>
      <w:r>
        <w:rPr>
          <w:rFonts w:hint="eastAsia" w:ascii="Times New Roman" w:hAnsi="Times New Roman" w:eastAsia="仿宋_GB2312" w:cs="Times New Roman"/>
          <w:sz w:val="32"/>
          <w:szCs w:val="32"/>
          <w:lang w:val="zh-CN"/>
        </w:rPr>
        <w:t>13号），下达攀枝花市西区斜坡地质灾害隐患风险详查及重点乡镇1:10000精细化资金</w:t>
      </w:r>
      <w:r>
        <w:rPr>
          <w:rFonts w:hint="eastAsia" w:ascii="Times New Roman" w:hAnsi="Times New Roman" w:eastAsia="仿宋_GB2312" w:cs="Times New Roman"/>
          <w:sz w:val="32"/>
          <w:szCs w:val="32"/>
          <w:lang w:val="en-US" w:eastAsia="zh-CN"/>
        </w:rPr>
        <w:t>186.86万元。</w:t>
      </w:r>
    </w:p>
    <w:p w14:paraId="6FD0E917">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该项资金为省级及以上专项补助资金。</w:t>
      </w:r>
    </w:p>
    <w:p w14:paraId="0C916D60">
      <w:pPr>
        <w:adjustRightInd w:val="0"/>
        <w:snapToGrid w:val="0"/>
        <w:spacing w:line="600" w:lineRule="exact"/>
        <w:ind w:firstLine="720"/>
        <w:rPr>
          <w:rFonts w:hint="default" w:ascii="Times New Roman" w:hAnsi="Times New Roman" w:eastAsia="仿宋_GB2312" w:cs="Times New Roman"/>
          <w:sz w:val="32"/>
          <w:szCs w:val="32"/>
          <w:lang w:val="en-US"/>
        </w:rPr>
      </w:pPr>
      <w:r>
        <w:rPr>
          <w:rFonts w:ascii="Times New Roman" w:hAnsi="Times New Roman" w:eastAsia="仿宋_GB2312" w:cs="Times New Roman"/>
          <w:sz w:val="32"/>
          <w:szCs w:val="32"/>
          <w:lang w:val="zh-CN"/>
        </w:rPr>
        <w:t>4.资金分配的原则及考虑因素。</w:t>
      </w:r>
      <w:r>
        <w:rPr>
          <w:rFonts w:hint="eastAsia" w:ascii="Times New Roman" w:hAnsi="Times New Roman" w:eastAsia="仿宋_GB2312" w:cs="Times New Roman"/>
          <w:sz w:val="32"/>
          <w:szCs w:val="32"/>
          <w:lang w:eastAsia="zh-CN"/>
        </w:rPr>
        <w:t>按照《四川省地质灾害防治项目管理办法》，根据前期项目</w:t>
      </w:r>
      <w:r>
        <w:rPr>
          <w:rFonts w:hint="eastAsia" w:eastAsia="仿宋_GB2312" w:cs="Times New Roman"/>
          <w:sz w:val="32"/>
          <w:szCs w:val="32"/>
          <w:lang w:eastAsia="zh-CN"/>
        </w:rPr>
        <w:t>勘察</w:t>
      </w:r>
      <w:r>
        <w:rPr>
          <w:rFonts w:hint="eastAsia" w:ascii="Times New Roman" w:hAnsi="Times New Roman" w:eastAsia="仿宋_GB2312" w:cs="Times New Roman"/>
          <w:sz w:val="32"/>
          <w:szCs w:val="32"/>
          <w:lang w:eastAsia="zh-CN"/>
        </w:rPr>
        <w:t>、设计，并报请省、市自然资源部门批复，预算金额</w:t>
      </w:r>
      <w:r>
        <w:rPr>
          <w:rFonts w:hint="eastAsia" w:ascii="Times New Roman" w:hAnsi="Times New Roman" w:eastAsia="仿宋_GB2312" w:cs="Times New Roman"/>
          <w:sz w:val="32"/>
          <w:szCs w:val="32"/>
          <w:lang w:val="en-US" w:eastAsia="zh-CN"/>
        </w:rPr>
        <w:t>186.86万元。</w:t>
      </w:r>
    </w:p>
    <w:p w14:paraId="1B11E32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2AFB4B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1.项目主要内容。</w:t>
      </w:r>
      <w:r>
        <w:rPr>
          <w:rFonts w:hint="eastAsia" w:ascii="Times New Roman" w:hAnsi="Times New Roman" w:eastAsia="仿宋_GB2312" w:cs="Times New Roman"/>
          <w:sz w:val="32"/>
          <w:szCs w:val="32"/>
          <w:lang w:val="zh-CN"/>
        </w:rPr>
        <w:t>根据三十六中小花山校区滑坡的特点，在稳定性分析的基础上，对该滑坡采用“挂网锚喷+锚杆格构+锚杆肋柱面板挡墙+浆砌片石护面墙、防渗硬化及砂浆抹面”等支挡措施的治理方案。</w:t>
      </w:r>
    </w:p>
    <w:p w14:paraId="57A7997D">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2.项目应实现的具体绩效目标</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数量指标：开展1:2000地形测量12km2、布置GPSE级网控制点16处；质量指标：地形测绘、地质测量完成率100%；时效指标：完成时限</w:t>
      </w:r>
      <w:r>
        <w:rPr>
          <w:rFonts w:hint="eastAsia" w:eastAsia="仿宋_GB2312" w:cs="Times New Roman"/>
          <w:sz w:val="32"/>
          <w:szCs w:val="32"/>
          <w:lang w:val="en-US" w:eastAsia="zh-CN"/>
        </w:rPr>
        <w:t>截至</w:t>
      </w:r>
      <w:r>
        <w:rPr>
          <w:rFonts w:hint="eastAsia" w:ascii="Times New Roman" w:hAnsi="Times New Roman" w:eastAsia="仿宋_GB2312" w:cs="Times New Roman"/>
          <w:sz w:val="32"/>
          <w:szCs w:val="32"/>
          <w:lang w:val="en-US" w:eastAsia="zh-CN"/>
        </w:rPr>
        <w:t>2026年12月31日；社会效益指标：减少地质灾害发生率≤70%；可持续发展指标：保证地质灾害防治常态化；满意度指标：群众满意度≥95%；经济成本指标：财政投入资金≤186.86万元。</w:t>
      </w:r>
    </w:p>
    <w:p w14:paraId="1512250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3.分析评价申报内容与实际相符，申报目标合理可行。</w:t>
      </w:r>
    </w:p>
    <w:p w14:paraId="36798FA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5653DE03">
      <w:pPr>
        <w:numPr>
          <w:ilvl w:val="0"/>
          <w:numId w:val="0"/>
        </w:num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zh-CN" w:eastAsia="zh-CN"/>
        </w:rPr>
      </w:pPr>
      <w:r>
        <w:rPr>
          <w:rFonts w:hint="eastAsia" w:ascii="仿宋_GB2312" w:hAnsi="仿宋_GB2312" w:eastAsia="仿宋_GB2312" w:cs="仿宋_GB2312"/>
          <w:kern w:val="0"/>
          <w:sz w:val="32"/>
          <w:szCs w:val="32"/>
          <w:lang w:val="zh-CN" w:eastAsia="zh-CN"/>
        </w:rPr>
        <w:t>项目业主由攀枝花市自然资源和规划局西区分局担任，局长姚恬总负责，分管领导由杨旭副局长兼任，地矿股承担具体评价工作。根据预设项目绩效目标，</w:t>
      </w:r>
      <w:r>
        <w:rPr>
          <w:rFonts w:hint="eastAsia" w:ascii="仿宋_GB2312" w:hAnsi="仿宋_GB2312" w:eastAsia="仿宋_GB2312" w:cs="仿宋_GB2312"/>
          <w:kern w:val="0"/>
          <w:sz w:val="32"/>
          <w:szCs w:val="32"/>
          <w:lang w:val="zh-CN"/>
        </w:rPr>
        <w:t>结合项目自身特点、评价重点及管理办法等要求，围绕专项项目支出绩效评价指标体系对项目进行总体评价。评价方法如下：一是</w:t>
      </w:r>
      <w:r>
        <w:rPr>
          <w:rFonts w:hint="default" w:ascii="Times New Roman" w:hAnsi="Times New Roman" w:eastAsia="仿宋_GB2312" w:cs="Times New Roman"/>
          <w:sz w:val="32"/>
          <w:szCs w:val="32"/>
          <w:lang w:val="en-US" w:eastAsia="zh-CN"/>
        </w:rPr>
        <w:t>确定自评目的</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明确自评的目的，例如评估项目进度、评估项目质量、评估项目风险等。</w:t>
      </w:r>
      <w:r>
        <w:rPr>
          <w:rFonts w:hint="eastAsia" w:ascii="Times New Roman" w:hAnsi="Times New Roman" w:eastAsia="仿宋_GB2312" w:cs="Times New Roman"/>
          <w:sz w:val="32"/>
          <w:szCs w:val="32"/>
          <w:lang w:val="en-US" w:eastAsia="zh-CN"/>
        </w:rPr>
        <w:t>二是开展</w:t>
      </w:r>
      <w:r>
        <w:rPr>
          <w:rFonts w:hint="default" w:ascii="Times New Roman" w:hAnsi="Times New Roman" w:eastAsia="仿宋_GB2312" w:cs="Times New Roman"/>
          <w:sz w:val="32"/>
          <w:szCs w:val="32"/>
          <w:lang w:val="en-US" w:eastAsia="zh-CN"/>
        </w:rPr>
        <w:t>收集信息</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收集项目相关信息，包括项目计划、项目进度、项目成果、项目问题等。</w:t>
      </w:r>
      <w:r>
        <w:rPr>
          <w:rFonts w:hint="eastAsia" w:ascii="Times New Roman" w:hAnsi="Times New Roman" w:eastAsia="仿宋_GB2312" w:cs="Times New Roman"/>
          <w:sz w:val="32"/>
          <w:szCs w:val="32"/>
          <w:lang w:val="en-US" w:eastAsia="zh-CN"/>
        </w:rPr>
        <w:t>三是</w:t>
      </w:r>
      <w:r>
        <w:rPr>
          <w:rFonts w:hint="default" w:ascii="Times New Roman" w:hAnsi="Times New Roman" w:eastAsia="仿宋_GB2312" w:cs="Times New Roman"/>
          <w:sz w:val="32"/>
          <w:szCs w:val="32"/>
          <w:lang w:val="en-US" w:eastAsia="zh-CN"/>
        </w:rPr>
        <w:t>评估项目进度</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根据项目计划和实际进度进行比较，评估项目是否按时完成。</w:t>
      </w:r>
      <w:r>
        <w:rPr>
          <w:rFonts w:hint="eastAsia" w:ascii="Times New Roman" w:hAnsi="Times New Roman" w:eastAsia="仿宋_GB2312" w:cs="Times New Roman"/>
          <w:sz w:val="32"/>
          <w:szCs w:val="32"/>
          <w:lang w:val="en-US" w:eastAsia="zh-CN"/>
        </w:rPr>
        <w:t>四是</w:t>
      </w:r>
      <w:r>
        <w:rPr>
          <w:rFonts w:hint="default" w:ascii="Times New Roman" w:hAnsi="Times New Roman" w:eastAsia="仿宋_GB2312" w:cs="Times New Roman"/>
          <w:sz w:val="32"/>
          <w:szCs w:val="32"/>
          <w:lang w:val="en-US" w:eastAsia="zh-CN"/>
        </w:rPr>
        <w:t>评估项目质量</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根据项目成果和项目要求进行比较，评估项目成果是否符合要求。</w:t>
      </w:r>
      <w:r>
        <w:rPr>
          <w:rFonts w:hint="eastAsia" w:ascii="Times New Roman" w:hAnsi="Times New Roman" w:eastAsia="仿宋_GB2312" w:cs="Times New Roman"/>
          <w:sz w:val="32"/>
          <w:szCs w:val="32"/>
          <w:lang w:val="en-US" w:eastAsia="zh-CN"/>
        </w:rPr>
        <w:t>五是</w:t>
      </w:r>
      <w:r>
        <w:rPr>
          <w:rFonts w:hint="default" w:ascii="Times New Roman" w:hAnsi="Times New Roman" w:eastAsia="仿宋_GB2312" w:cs="Times New Roman"/>
          <w:sz w:val="32"/>
          <w:szCs w:val="32"/>
          <w:lang w:val="en-US" w:eastAsia="zh-CN"/>
        </w:rPr>
        <w:t>评估项目风险</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根据项目进程中出现的问题进行评估，评估项目未来可能出现的风险。</w:t>
      </w:r>
      <w:r>
        <w:rPr>
          <w:rFonts w:hint="eastAsia" w:ascii="Times New Roman" w:hAnsi="Times New Roman" w:eastAsia="仿宋_GB2312" w:cs="Times New Roman"/>
          <w:sz w:val="32"/>
          <w:szCs w:val="32"/>
          <w:lang w:val="en-US" w:eastAsia="zh-CN"/>
        </w:rPr>
        <w:t>六是</w:t>
      </w:r>
      <w:r>
        <w:rPr>
          <w:rFonts w:hint="default" w:ascii="Times New Roman" w:hAnsi="Times New Roman" w:eastAsia="仿宋_GB2312" w:cs="Times New Roman"/>
          <w:sz w:val="32"/>
          <w:szCs w:val="32"/>
          <w:lang w:val="en-US" w:eastAsia="zh-CN"/>
        </w:rPr>
        <w:t>总结评估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总结自评过程和结果，为今后的项目管理做出参考。</w:t>
      </w:r>
    </w:p>
    <w:p w14:paraId="66E8DB40">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5CFAF19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015D4B1D">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该项目申报资金</w:t>
      </w:r>
      <w:r>
        <w:rPr>
          <w:rFonts w:hint="eastAsia" w:ascii="Times New Roman" w:hAnsi="Times New Roman" w:eastAsia="仿宋_GB2312" w:cs="Times New Roman"/>
          <w:sz w:val="32"/>
          <w:szCs w:val="32"/>
          <w:lang w:val="en-US" w:eastAsia="zh-CN"/>
        </w:rPr>
        <w:t>186.86万元，批复</w:t>
      </w:r>
      <w:r>
        <w:rPr>
          <w:rFonts w:hint="eastAsia" w:ascii="Times New Roman" w:hAnsi="Times New Roman" w:eastAsia="仿宋_GB2312" w:cs="Times New Roman"/>
          <w:sz w:val="32"/>
          <w:szCs w:val="32"/>
          <w:lang w:val="zh-CN"/>
        </w:rPr>
        <w:t>下达资金</w:t>
      </w:r>
      <w:r>
        <w:rPr>
          <w:rFonts w:hint="eastAsia" w:ascii="Times New Roman" w:hAnsi="Times New Roman" w:eastAsia="仿宋_GB2312" w:cs="Times New Roman"/>
          <w:sz w:val="32"/>
          <w:szCs w:val="32"/>
          <w:lang w:val="en-US" w:eastAsia="zh-CN"/>
        </w:rPr>
        <w:t>186.86万元。</w:t>
      </w:r>
    </w:p>
    <w:p w14:paraId="3044F99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6E031D00">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该项目资金全额来源于省级以上补助资金，无</w:t>
      </w:r>
      <w:r>
        <w:rPr>
          <w:rFonts w:ascii="Times New Roman" w:hAnsi="Times New Roman" w:eastAsia="仿宋_GB2312" w:cs="Times New Roman"/>
          <w:sz w:val="32"/>
          <w:szCs w:val="32"/>
          <w:lang w:val="zh-CN"/>
        </w:rPr>
        <w:t>县（市、区）财政资金</w:t>
      </w:r>
      <w:r>
        <w:rPr>
          <w:rFonts w:hint="eastAsia" w:ascii="Times New Roman" w:hAnsi="Times New Roman" w:eastAsia="仿宋_GB2312" w:cs="Times New Roman"/>
          <w:sz w:val="32"/>
          <w:szCs w:val="32"/>
          <w:lang w:val="zh-CN"/>
        </w:rPr>
        <w:t>配套。</w:t>
      </w:r>
    </w:p>
    <w:p w14:paraId="1718FB6C">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en-US" w:eastAsia="zh-CN"/>
        </w:rPr>
        <w:t>186.86万元全额到位，资金到位率100%。</w:t>
      </w:r>
    </w:p>
    <w:p w14:paraId="7E311023">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该项目下达资金</w:t>
      </w:r>
      <w:r>
        <w:rPr>
          <w:rFonts w:hint="eastAsia" w:ascii="Times New Roman" w:hAnsi="Times New Roman" w:eastAsia="仿宋_GB2312" w:cs="Times New Roman"/>
          <w:sz w:val="32"/>
          <w:szCs w:val="32"/>
          <w:lang w:val="en-US" w:eastAsia="zh-CN"/>
        </w:rPr>
        <w:t>186.86万元，实际使用资金148万元，主要由于该项目目前只完成野外验收阶段，最终成果尚未完成验收。</w:t>
      </w:r>
    </w:p>
    <w:p w14:paraId="5053FB3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39436DE1">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仿宋_GB2312" w:cs="Times New Roman"/>
          <w:sz w:val="32"/>
          <w:szCs w:val="32"/>
          <w:lang w:val="zh-CN"/>
        </w:rPr>
      </w:pPr>
      <w:r>
        <w:rPr>
          <w:rFonts w:hint="eastAsia" w:ascii="Calibri" w:hAnsi="Calibri" w:eastAsia="仿宋_GB2312" w:cs="Times New Roman"/>
          <w:sz w:val="32"/>
          <w:szCs w:val="32"/>
          <w:lang w:val="zh-CN"/>
        </w:rPr>
        <w:t>项目严格</w:t>
      </w:r>
      <w:r>
        <w:rPr>
          <w:rFonts w:ascii="Calibri" w:hAnsi="Calibri" w:eastAsia="仿宋_GB2312" w:cs="Times New Roman"/>
          <w:sz w:val="32"/>
          <w:szCs w:val="32"/>
          <w:lang w:val="zh-CN"/>
        </w:rPr>
        <w:t>按照国家有关法规，实行项目法人制、招投标制、工程监理制、工程验收制</w:t>
      </w:r>
      <w:r>
        <w:rPr>
          <w:rFonts w:hint="eastAsia" w:ascii="Calibri" w:hAnsi="Calibri" w:eastAsia="仿宋_GB2312" w:cs="Times New Roman"/>
          <w:sz w:val="32"/>
          <w:szCs w:val="32"/>
          <w:lang w:val="zh-CN"/>
        </w:rPr>
        <w:t>，项目管理规范</w:t>
      </w:r>
      <w:r>
        <w:rPr>
          <w:rFonts w:ascii="Calibri" w:hAnsi="Calibri" w:eastAsia="仿宋_GB2312" w:cs="Times New Roman"/>
          <w:sz w:val="32"/>
          <w:szCs w:val="32"/>
          <w:lang w:val="zh-CN"/>
        </w:rPr>
        <w:t>。</w:t>
      </w:r>
    </w:p>
    <w:p w14:paraId="49E4A84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77129B29">
      <w:pPr>
        <w:keepNext w:val="0"/>
        <w:keepLines w:val="0"/>
        <w:pageBreakBefore w:val="0"/>
        <w:kinsoku/>
        <w:wordWrap/>
        <w:overflowPunct/>
        <w:topLinePunct w:val="0"/>
        <w:autoSpaceDE/>
        <w:autoSpaceDN/>
        <w:bidi w:val="0"/>
        <w:adjustRightInd w:val="0"/>
        <w:snapToGrid w:val="0"/>
        <w:spacing w:line="560" w:lineRule="exact"/>
        <w:ind w:firstLine="72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项目组织架构上，县区政府为责任主体，市自然资源和规划主管部门实施监督管理，县区自然资源和规划主管部门具体组织实施。财政补助资金项目按如下流程实施：县区自然资源和规划主管部门具体组织编制勘察、可行性研究及施工图设计并报市自然资源和规划主管部门审查，审查后由市自然资源和规划主管部门印发勘察、可行性研究、施工图设计等专家审查意见；县区自然资源和规划主管部门根据专家审查意见向市自然资源和规划主管部门报请立项；市自然资源和规划主管部门局务会或党委会研究同意后，下达立项批复；县区自然资源和规划主管部门根据市自然资源和规划主管部门的立项批复，组织施工、监理单位招投标，并确定施工、监理单位；县区自然资源和规划主管部门组织施工单位、监理单位进行施工；项目完工后，施工单位、监理单位进行自查总结，报请县区自然资源和规划主管部门申请初步验收；初步验收合格并整改完成后，县区自然资源和规划主管部门报请市自然资源和规划主管部门进行最终验收。</w:t>
      </w:r>
    </w:p>
    <w:p w14:paraId="488A98A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7DB935D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155ECBE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1.预算执行情况（得分</w:t>
      </w:r>
      <w:r>
        <w:rPr>
          <w:rFonts w:hint="eastAsia" w:ascii="Times New Roman" w:hAnsi="Times New Roman"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351589C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年度预算绩效资金为</w:t>
      </w:r>
      <w:r>
        <w:rPr>
          <w:rFonts w:hint="eastAsia" w:ascii="Times New Roman" w:hAnsi="Times New Roman" w:eastAsia="仿宋_GB2312" w:cs="仿宋_GB2312"/>
          <w:b w:val="0"/>
          <w:bCs w:val="0"/>
          <w:kern w:val="0"/>
          <w:position w:val="0"/>
          <w:sz w:val="32"/>
          <w:szCs w:val="32"/>
          <w:highlight w:val="none"/>
          <w:lang w:val="en-US" w:eastAsia="zh-CN" w:bidi="ar-SA"/>
        </w:rPr>
        <w:t>186.86</w:t>
      </w:r>
      <w:r>
        <w:rPr>
          <w:rFonts w:hint="eastAsia" w:ascii="Times New Roman" w:hAnsi="Times New Roman" w:eastAsia="仿宋_GB2312" w:cs="仿宋_GB2312"/>
          <w:b w:val="0"/>
          <w:bCs w:val="0"/>
          <w:kern w:val="0"/>
          <w:position w:val="0"/>
          <w:sz w:val="32"/>
          <w:szCs w:val="32"/>
          <w:highlight w:val="none"/>
          <w:lang w:val="zh-CN" w:eastAsia="zh-CN" w:bidi="ar-SA"/>
        </w:rPr>
        <w:t>万元，支付</w:t>
      </w:r>
      <w:r>
        <w:rPr>
          <w:rFonts w:hint="eastAsia" w:ascii="Times New Roman" w:hAnsi="Times New Roman" w:eastAsia="仿宋_GB2312" w:cs="仿宋_GB2312"/>
          <w:b w:val="0"/>
          <w:bCs w:val="0"/>
          <w:kern w:val="0"/>
          <w:position w:val="0"/>
          <w:sz w:val="32"/>
          <w:szCs w:val="32"/>
          <w:highlight w:val="none"/>
          <w:lang w:val="en-US" w:eastAsia="zh-CN" w:bidi="ar-SA"/>
        </w:rPr>
        <w:t>148</w:t>
      </w:r>
      <w:r>
        <w:rPr>
          <w:rFonts w:hint="eastAsia" w:ascii="Times New Roman" w:hAnsi="Times New Roman" w:eastAsia="仿宋_GB2312" w:cs="仿宋_GB2312"/>
          <w:b w:val="0"/>
          <w:bCs w:val="0"/>
          <w:kern w:val="0"/>
          <w:position w:val="0"/>
          <w:sz w:val="32"/>
          <w:szCs w:val="32"/>
          <w:highlight w:val="none"/>
          <w:lang w:val="zh-CN" w:eastAsia="zh-CN" w:bidi="ar-SA"/>
        </w:rPr>
        <w:t>万元，执行率为</w:t>
      </w:r>
      <w:r>
        <w:rPr>
          <w:rFonts w:hint="eastAsia" w:ascii="Times New Roman" w:hAnsi="Times New Roman" w:eastAsia="仿宋_GB2312" w:cs="仿宋_GB2312"/>
          <w:b w:val="0"/>
          <w:bCs w:val="0"/>
          <w:kern w:val="0"/>
          <w:position w:val="0"/>
          <w:sz w:val="32"/>
          <w:szCs w:val="32"/>
          <w:highlight w:val="none"/>
          <w:lang w:val="en-US" w:eastAsia="zh-CN" w:bidi="ar-SA"/>
        </w:rPr>
        <w:t>79</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8</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3424FAEA">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仿宋_GB2312"/>
          <w:b w:val="0"/>
          <w:bCs w:val="0"/>
          <w:kern w:val="0"/>
          <w:position w:val="0"/>
          <w:sz w:val="32"/>
          <w:szCs w:val="32"/>
          <w:highlight w:val="none"/>
          <w:lang w:val="zh-CN" w:eastAsia="zh-CN" w:bidi="ar-SA"/>
        </w:rPr>
        <w:t>2.绩效指标完成情况（得分90分）</w:t>
      </w:r>
    </w:p>
    <w:p w14:paraId="4FEB9BC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①数量指标：</w:t>
      </w:r>
      <w:r>
        <w:rPr>
          <w:rFonts w:hint="eastAsia" w:ascii="Times New Roman" w:hAnsi="Times New Roman" w:eastAsia="仿宋_GB2312" w:cs="Times New Roman"/>
          <w:sz w:val="32"/>
          <w:szCs w:val="32"/>
          <w:lang w:val="en-US" w:eastAsia="zh-CN"/>
        </w:rPr>
        <w:t>开展1:2000地形测量12km2、布置GPSE级网控制点16处</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20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508FAFB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②时效指标：</w:t>
      </w:r>
      <w:r>
        <w:rPr>
          <w:rFonts w:hint="eastAsia" w:ascii="Times New Roman" w:hAnsi="Times New Roman" w:eastAsia="仿宋_GB2312" w:cs="Times New Roman"/>
          <w:sz w:val="32"/>
          <w:szCs w:val="32"/>
          <w:lang w:val="en-US" w:eastAsia="zh-CN"/>
        </w:rPr>
        <w:t>完成时限</w:t>
      </w:r>
      <w:r>
        <w:rPr>
          <w:rFonts w:hint="eastAsia" w:eastAsia="仿宋_GB2312" w:cs="Times New Roman"/>
          <w:sz w:val="32"/>
          <w:szCs w:val="32"/>
          <w:lang w:val="en-US" w:eastAsia="zh-CN"/>
        </w:rPr>
        <w:t>截至</w:t>
      </w:r>
      <w:r>
        <w:rPr>
          <w:rFonts w:hint="eastAsia" w:ascii="Times New Roman" w:hAnsi="Times New Roman" w:eastAsia="仿宋_GB2312" w:cs="Times New Roman"/>
          <w:sz w:val="32"/>
          <w:szCs w:val="32"/>
          <w:lang w:val="en-US" w:eastAsia="zh-CN"/>
        </w:rPr>
        <w:t>2026年12月31日</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5E5254D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③质量指标：</w:t>
      </w:r>
      <w:r>
        <w:rPr>
          <w:rFonts w:hint="eastAsia" w:ascii="Times New Roman" w:hAnsi="Times New Roman" w:eastAsia="仿宋_GB2312" w:cs="Times New Roman"/>
          <w:sz w:val="32"/>
          <w:szCs w:val="32"/>
          <w:lang w:val="en-US" w:eastAsia="zh-CN"/>
        </w:rPr>
        <w:t>地形测绘、地质测量完成率100%</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7A310AA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仿宋_GB2312"/>
          <w:b w:val="0"/>
          <w:bCs w:val="0"/>
          <w:kern w:val="0"/>
          <w:position w:val="0"/>
          <w:sz w:val="32"/>
          <w:szCs w:val="32"/>
          <w:highlight w:val="none"/>
          <w:lang w:val="zh-CN" w:eastAsia="zh-CN" w:bidi="ar-SA"/>
        </w:rPr>
        <w:t>④</w:t>
      </w:r>
      <w:r>
        <w:rPr>
          <w:rFonts w:hint="eastAsia" w:ascii="Times New Roman" w:hAnsi="Times New Roman" w:eastAsia="仿宋_GB2312" w:cs="Times New Roman"/>
          <w:sz w:val="32"/>
          <w:szCs w:val="32"/>
          <w:lang w:val="en-US" w:eastAsia="zh-CN"/>
        </w:rPr>
        <w:t>可持续发展指标：保证地质灾害防治常态化。（10分）</w:t>
      </w:r>
    </w:p>
    <w:p w14:paraId="6851806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⑤</w:t>
      </w:r>
      <w:r>
        <w:rPr>
          <w:rFonts w:hint="eastAsia" w:ascii="Times New Roman" w:hAnsi="Times New Roman" w:eastAsia="仿宋_GB2312" w:cs="Times New Roman"/>
          <w:sz w:val="32"/>
          <w:szCs w:val="32"/>
          <w:lang w:val="zh-CN"/>
        </w:rPr>
        <w:t>社会效益指标：</w:t>
      </w:r>
      <w:r>
        <w:rPr>
          <w:rFonts w:hint="eastAsia" w:ascii="Times New Roman" w:hAnsi="Times New Roman" w:eastAsia="仿宋_GB2312" w:cs="Times New Roman"/>
          <w:sz w:val="32"/>
          <w:szCs w:val="32"/>
          <w:lang w:val="en-US" w:eastAsia="zh-CN"/>
        </w:rPr>
        <w:t>减少地质灾害发生率≤70%</w:t>
      </w:r>
      <w:r>
        <w:rPr>
          <w:rFonts w:hint="eastAsia" w:ascii="Times New Roman" w:hAnsi="Times New Roman" w:eastAsia="仿宋_GB2312" w:cs="Times New Roman"/>
          <w:sz w:val="32"/>
          <w:szCs w:val="32"/>
          <w:lang w:val="zh-CN"/>
        </w:rPr>
        <w:t>（</w:t>
      </w:r>
      <w:r>
        <w:rPr>
          <w:rFonts w:hint="eastAsia" w:ascii="Times New Roman" w:hAnsi="Times New Roman" w:eastAsia="仿宋_GB2312" w:cs="Times New Roman"/>
          <w:sz w:val="32"/>
          <w:szCs w:val="32"/>
          <w:lang w:val="en-US" w:eastAsia="zh-CN"/>
        </w:rPr>
        <w:t>10分</w:t>
      </w:r>
      <w:r>
        <w:rPr>
          <w:rFonts w:hint="eastAsia" w:ascii="Times New Roman" w:hAnsi="Times New Roman" w:eastAsia="仿宋_GB2312" w:cs="Times New Roman"/>
          <w:sz w:val="32"/>
          <w:szCs w:val="32"/>
          <w:lang w:val="zh-CN"/>
        </w:rPr>
        <w:t>）</w:t>
      </w:r>
    </w:p>
    <w:p w14:paraId="6FF17DB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⑥</w:t>
      </w:r>
      <w:r>
        <w:rPr>
          <w:rFonts w:hint="eastAsia" w:ascii="Times New Roman" w:hAnsi="Times New Roman" w:eastAsia="仿宋_GB2312" w:cs="Times New Roman"/>
          <w:sz w:val="32"/>
          <w:szCs w:val="32"/>
          <w:lang w:val="zh-CN"/>
        </w:rPr>
        <w:t>满意度指标：受</w:t>
      </w:r>
      <w:r>
        <w:rPr>
          <w:rFonts w:hint="eastAsia" w:eastAsia="仿宋_GB2312" w:cs="Times New Roman"/>
          <w:sz w:val="32"/>
          <w:szCs w:val="32"/>
          <w:lang w:val="zh-CN"/>
        </w:rPr>
        <w:t>灾</w:t>
      </w:r>
      <w:r>
        <w:rPr>
          <w:rFonts w:hint="eastAsia" w:ascii="Times New Roman" w:hAnsi="Times New Roman" w:eastAsia="仿宋_GB2312" w:cs="Times New Roman"/>
          <w:sz w:val="32"/>
          <w:szCs w:val="32"/>
          <w:lang w:val="zh-CN"/>
        </w:rPr>
        <w:t>群众满意度大于等于95%。（</w:t>
      </w:r>
      <w:r>
        <w:rPr>
          <w:rFonts w:hint="eastAsia" w:ascii="Times New Roman" w:hAnsi="Times New Roman" w:eastAsia="仿宋_GB2312" w:cs="Times New Roman"/>
          <w:sz w:val="32"/>
          <w:szCs w:val="32"/>
          <w:lang w:val="en-US" w:eastAsia="zh-CN"/>
        </w:rPr>
        <w:t>10分</w:t>
      </w:r>
      <w:r>
        <w:rPr>
          <w:rFonts w:hint="eastAsia" w:ascii="Times New Roman" w:hAnsi="Times New Roman" w:eastAsia="仿宋_GB2312" w:cs="Times New Roman"/>
          <w:sz w:val="32"/>
          <w:szCs w:val="32"/>
          <w:lang w:val="zh-CN"/>
        </w:rPr>
        <w:t>）</w:t>
      </w:r>
    </w:p>
    <w:p w14:paraId="17EDBE3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⑦经</w:t>
      </w:r>
      <w:r>
        <w:rPr>
          <w:rFonts w:hint="eastAsia" w:ascii="Times New Roman" w:hAnsi="Times New Roman" w:eastAsia="仿宋_GB2312" w:cs="Times New Roman"/>
          <w:sz w:val="32"/>
          <w:szCs w:val="32"/>
          <w:lang w:val="zh-CN"/>
        </w:rPr>
        <w:t>济成本指标：</w:t>
      </w:r>
      <w:r>
        <w:rPr>
          <w:rFonts w:hint="eastAsia" w:ascii="Times New Roman" w:hAnsi="Times New Roman" w:eastAsia="仿宋_GB2312" w:cs="Times New Roman"/>
          <w:sz w:val="32"/>
          <w:szCs w:val="32"/>
          <w:lang w:val="en-US" w:eastAsia="zh-CN"/>
        </w:rPr>
        <w:t>财政投入资金≤186.86万元。（20分）</w:t>
      </w:r>
    </w:p>
    <w:p w14:paraId="203974B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通过本项目的实施，按时、按质、按量完成了绩效目标，取得了良好的社会效益和经济效益，群众满意度高，目标完成情况为优，个性指标得分</w:t>
      </w:r>
      <w:r>
        <w:rPr>
          <w:rFonts w:hint="eastAsia" w:ascii="Times New Roman" w:hAnsi="Times New Roman" w:eastAsia="仿宋_GB2312" w:cs="仿宋_GB2312"/>
          <w:b w:val="0"/>
          <w:bCs w:val="0"/>
          <w:kern w:val="0"/>
          <w:position w:val="0"/>
          <w:sz w:val="32"/>
          <w:szCs w:val="32"/>
          <w:highlight w:val="none"/>
          <w:lang w:val="en-US" w:eastAsia="zh-CN" w:bidi="ar-SA"/>
        </w:rPr>
        <w:t>98</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7596092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5CB98D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1759E86A">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仿宋_GB2312" w:hAnsi="仿宋_GB2312" w:eastAsia="仿宋_GB2312" w:cs="仿宋_GB2312"/>
          <w:kern w:val="0"/>
          <w:sz w:val="32"/>
          <w:szCs w:val="32"/>
          <w:lang w:eastAsia="zh-CN"/>
        </w:rPr>
        <w:t>总体上看，该项目立项依据充分，绩效目标明确，管理制度健全，组织实施有序，资金使用规范，实施效果良好</w:t>
      </w:r>
      <w:r>
        <w:rPr>
          <w:rFonts w:hint="eastAsia" w:ascii="仿宋_GB2312" w:hAnsi="仿宋_GB2312" w:eastAsia="仿宋_GB2312" w:cs="仿宋_GB2312"/>
          <w:kern w:val="0"/>
          <w:sz w:val="32"/>
          <w:szCs w:val="32"/>
          <w:lang w:val="zh-CN"/>
        </w:rPr>
        <w:t>。通过项目实施，</w:t>
      </w:r>
      <w:r>
        <w:rPr>
          <w:rFonts w:hint="default" w:ascii="Times New Roman" w:hAnsi="Times New Roman" w:eastAsia="仿宋_GB2312" w:cs="Times New Roman"/>
          <w:kern w:val="0"/>
          <w:sz w:val="32"/>
          <w:szCs w:val="32"/>
          <w:lang w:val="en-US" w:eastAsia="zh-CN"/>
        </w:rPr>
        <w:t>有效保护群众</w:t>
      </w:r>
      <w:r>
        <w:rPr>
          <w:rFonts w:hint="eastAsia" w:eastAsia="仿宋_GB2312" w:cs="Times New Roman"/>
          <w:kern w:val="0"/>
          <w:sz w:val="32"/>
          <w:szCs w:val="32"/>
          <w:lang w:val="en-US" w:eastAsia="zh-CN"/>
        </w:rPr>
        <w:t>生命财产安全</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取得了良好的社会效益和经济效益，评价</w:t>
      </w:r>
      <w:r>
        <w:rPr>
          <w:rFonts w:hint="eastAsia" w:eastAsia="仿宋_GB2312" w:cs="Times New Roman"/>
          <w:kern w:val="0"/>
          <w:sz w:val="32"/>
          <w:szCs w:val="32"/>
          <w:lang w:val="en-US" w:eastAsia="zh-CN"/>
        </w:rPr>
        <w:t>为</w:t>
      </w:r>
      <w:r>
        <w:rPr>
          <w:rFonts w:hint="eastAsia" w:ascii="Times New Roman" w:hAnsi="Times New Roman" w:eastAsia="仿宋_GB2312" w:cs="Times New Roman"/>
          <w:kern w:val="0"/>
          <w:sz w:val="32"/>
          <w:szCs w:val="32"/>
          <w:lang w:val="en-US" w:eastAsia="zh-CN"/>
        </w:rPr>
        <w:t>98分</w:t>
      </w:r>
      <w:r>
        <w:rPr>
          <w:rFonts w:ascii="Times New Roman" w:hAnsi="Times New Roman" w:eastAsia="仿宋_GB2312" w:cs="Times New Roman"/>
          <w:sz w:val="32"/>
          <w:szCs w:val="32"/>
          <w:lang w:val="zh-CN"/>
        </w:rPr>
        <w:t>。</w:t>
      </w:r>
    </w:p>
    <w:p w14:paraId="4450DC7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1BD14219">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48E4786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2F458DF7">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6B413666">
      <w:pPr>
        <w:rPr>
          <w:rFonts w:ascii="Times New Roman" w:hAnsi="Times New Roman" w:eastAsia="仿宋_GB2312" w:cs="Times New Roman"/>
          <w:sz w:val="32"/>
          <w:szCs w:val="32"/>
        </w:rPr>
      </w:pPr>
    </w:p>
    <w:p w14:paraId="51456335">
      <w:pPr>
        <w:rPr>
          <w:rFonts w:hint="eastAsia" w:ascii="Times New Roman" w:hAnsi="Times New Roman" w:eastAsia="黑体"/>
          <w:color w:val="auto"/>
          <w:sz w:val="44"/>
          <w:szCs w:val="44"/>
          <w:highlight w:val="none"/>
        </w:rPr>
      </w:pPr>
    </w:p>
    <w:p w14:paraId="37AB0258">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0F76B9C1">
      <w:pPr>
        <w:widowControl w:val="0"/>
        <w:spacing w:line="600" w:lineRule="exact"/>
        <w:jc w:val="both"/>
        <w:rPr>
          <w:rFonts w:ascii="Times New Roman" w:hAnsi="Times New Roman" w:eastAsia="方正小标宋简体" w:cs="Times New Roman"/>
          <w:color w:val="auto"/>
          <w:kern w:val="2"/>
          <w:sz w:val="40"/>
          <w:szCs w:val="40"/>
          <w:lang w:val="en-US" w:eastAsia="zh-CN" w:bidi="ar-SA"/>
        </w:rPr>
      </w:pPr>
    </w:p>
    <w:p w14:paraId="12522EE2">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2ABC78EB">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专项地质灾害隐患排查</w:t>
      </w:r>
      <w:r>
        <w:rPr>
          <w:rFonts w:ascii="Times New Roman" w:hAnsi="Times New Roman" w:eastAsia="仿宋_GB2312" w:cs="Times New Roman"/>
          <w:color w:val="auto"/>
          <w:kern w:val="2"/>
          <w:sz w:val="32"/>
          <w:szCs w:val="32"/>
          <w:lang w:val="zh-CN" w:eastAsia="zh-CN" w:bidi="ar-SA"/>
        </w:rPr>
        <w:t>）</w:t>
      </w:r>
    </w:p>
    <w:p w14:paraId="7D4D1485">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2B3B0FB7">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3FB9797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46CCC058">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eastAsia="仿宋_GB2312" w:cs="Times New Roman"/>
          <w:sz w:val="32"/>
          <w:szCs w:val="32"/>
          <w:lang w:val="zh-CN"/>
        </w:rPr>
        <w:t>1.</w:t>
      </w:r>
      <w:r>
        <w:rPr>
          <w:rFonts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zh-CN"/>
        </w:rPr>
        <w:t>主管单位职能职责</w:t>
      </w:r>
      <w:r>
        <w:rPr>
          <w:rFonts w:ascii="Times New Roman" w:hAnsi="Times New Roman" w:eastAsia="仿宋_GB2312" w:cs="Times New Roman"/>
          <w:sz w:val="32"/>
          <w:szCs w:val="32"/>
          <w:lang w:val="zh-CN"/>
        </w:rPr>
        <w:t>。</w:t>
      </w:r>
      <w:r>
        <w:rPr>
          <w:rFonts w:hint="eastAsia" w:ascii="仿宋_GB2312" w:hAnsi="Times New Roman" w:eastAsia="仿宋_GB2312" w:cs="Times New Roman"/>
          <w:sz w:val="32"/>
          <w:szCs w:val="32"/>
          <w:lang w:eastAsia="zh-CN"/>
        </w:rPr>
        <w:t>严格按照市地灾防指办要求落实属地管理责任和行业监管责任，全面落实市、县、乡、村、组、点六级防灾责任制，要充分发挥各级地质灾害指挥部成员单位协同防灾作用，自然资源主管部门加强对地质灾害防治工作的组织、协调、指导、监督。强化组织保障和督察问效，落实地质灾害防治措施。</w:t>
      </w:r>
    </w:p>
    <w:p w14:paraId="6D7901C3">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2.项目立项、资金申报的依据。</w:t>
      </w:r>
      <w:r>
        <w:rPr>
          <w:rFonts w:hint="eastAsia" w:ascii="Times New Roman" w:hAnsi="Times New Roman" w:eastAsia="仿宋_GB2312" w:cs="Times New Roman"/>
          <w:sz w:val="32"/>
          <w:szCs w:val="32"/>
          <w:lang w:val="zh-CN"/>
        </w:rPr>
        <w:t>根据《</w:t>
      </w:r>
      <w:r>
        <w:rPr>
          <w:rFonts w:hint="eastAsia" w:ascii="Times New Roman" w:hAnsi="Times New Roman" w:eastAsia="仿宋_GB2312" w:cs="Times New Roman"/>
          <w:sz w:val="32"/>
          <w:szCs w:val="32"/>
          <w:lang w:val="zh-CN" w:eastAsia="zh-CN"/>
        </w:rPr>
        <w:t>关于下达攀枝花市2025年第三批</w:t>
      </w:r>
      <w:r>
        <w:rPr>
          <w:rFonts w:hint="eastAsia" w:ascii="Times New Roman" w:hAnsi="Times New Roman" w:eastAsia="仿宋_GB2312" w:cs="Times New Roman"/>
          <w:sz w:val="32"/>
          <w:szCs w:val="32"/>
          <w:lang w:val="zh-CN"/>
        </w:rPr>
        <w:t>地质灾害防治专项资金（省级）项目任务的通知》（</w:t>
      </w:r>
      <w:r>
        <w:rPr>
          <w:rFonts w:hint="eastAsia" w:ascii="Times New Roman" w:hAnsi="Times New Roman" w:eastAsia="仿宋_GB2312" w:cs="Times New Roman"/>
          <w:sz w:val="32"/>
          <w:szCs w:val="32"/>
          <w:lang w:val="zh-CN" w:eastAsia="zh-CN"/>
        </w:rPr>
        <w:t>攀资源规划发〔2025〕35号</w:t>
      </w:r>
      <w:r>
        <w:rPr>
          <w:rFonts w:hint="eastAsia" w:ascii="Times New Roman" w:hAnsi="Times New Roman" w:eastAsia="仿宋_GB2312" w:cs="Times New Roman"/>
          <w:sz w:val="32"/>
          <w:szCs w:val="32"/>
          <w:lang w:val="zh-CN"/>
        </w:rPr>
        <w:t>），下达专项排查经费</w:t>
      </w:r>
      <w:r>
        <w:rPr>
          <w:rFonts w:hint="eastAsia" w:ascii="Times New Roman" w:hAnsi="Times New Roman" w:eastAsia="仿宋_GB2312" w:cs="Times New Roman"/>
          <w:sz w:val="32"/>
          <w:szCs w:val="32"/>
          <w:lang w:val="en-US" w:eastAsia="zh-CN"/>
        </w:rPr>
        <w:t>2.5万元。</w:t>
      </w:r>
    </w:p>
    <w:p w14:paraId="409BD63A">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仿宋_GB2312" w:cs="Times New Roman"/>
          <w:sz w:val="32"/>
          <w:szCs w:val="32"/>
          <w:lang w:val="zh-CN"/>
        </w:rPr>
        <w:t>3.</w:t>
      </w:r>
      <w:r>
        <w:rPr>
          <w:rFonts w:ascii="Times New Roman" w:hAnsi="Times New Roman" w:eastAsia="仿宋_GB2312" w:cs="Times New Roman"/>
          <w:sz w:val="32"/>
          <w:szCs w:val="32"/>
          <w:lang w:val="zh-CN"/>
        </w:rPr>
        <w:t>资金管理办法制定情况，资金支持具体项目的条件、范围与支持方式概况。</w:t>
      </w:r>
      <w:r>
        <w:rPr>
          <w:rFonts w:hint="eastAsia" w:ascii="Times New Roman" w:hAnsi="Times New Roman" w:eastAsia="仿宋_GB2312" w:cs="Times New Roman"/>
          <w:sz w:val="32"/>
          <w:szCs w:val="32"/>
          <w:lang w:val="zh-CN"/>
        </w:rPr>
        <w:t>该项资金为省级及以上专项补助资金。</w:t>
      </w:r>
    </w:p>
    <w:p w14:paraId="2611633B">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lang w:val="zh-CN"/>
        </w:rPr>
        <w:t>4.资金分配的原则及考虑因素。</w:t>
      </w:r>
      <w:r>
        <w:rPr>
          <w:rFonts w:hint="eastAsia" w:ascii="Times New Roman" w:hAnsi="Times New Roman" w:eastAsia="仿宋_GB2312" w:cs="Times New Roman"/>
          <w:sz w:val="32"/>
          <w:szCs w:val="32"/>
          <w:lang w:val="zh-CN"/>
        </w:rPr>
        <w:t>根据《</w:t>
      </w:r>
      <w:r>
        <w:rPr>
          <w:rFonts w:hint="eastAsia" w:ascii="Times New Roman" w:hAnsi="Times New Roman" w:eastAsia="仿宋_GB2312" w:cs="Times New Roman"/>
          <w:sz w:val="32"/>
          <w:szCs w:val="32"/>
          <w:lang w:val="zh-CN" w:eastAsia="zh-CN"/>
        </w:rPr>
        <w:t>关于下达攀枝花市2025年第三批</w:t>
      </w:r>
      <w:r>
        <w:rPr>
          <w:rFonts w:hint="eastAsia" w:ascii="Times New Roman" w:hAnsi="Times New Roman" w:eastAsia="仿宋_GB2312" w:cs="Times New Roman"/>
          <w:sz w:val="32"/>
          <w:szCs w:val="32"/>
          <w:lang w:val="zh-CN"/>
        </w:rPr>
        <w:t>地质灾害防治专项资金（省级）项目任务的通知》（</w:t>
      </w:r>
      <w:r>
        <w:rPr>
          <w:rFonts w:hint="eastAsia" w:ascii="Times New Roman" w:hAnsi="Times New Roman" w:eastAsia="仿宋_GB2312" w:cs="Times New Roman"/>
          <w:sz w:val="32"/>
          <w:szCs w:val="32"/>
          <w:lang w:val="zh-CN" w:eastAsia="zh-CN"/>
        </w:rPr>
        <w:t>攀资源规划发〔2025〕35号</w:t>
      </w:r>
      <w:r>
        <w:rPr>
          <w:rFonts w:hint="eastAsia" w:ascii="Times New Roman" w:hAnsi="Times New Roman" w:eastAsia="仿宋_GB2312" w:cs="Times New Roman"/>
          <w:sz w:val="32"/>
          <w:szCs w:val="32"/>
          <w:lang w:val="zh-CN"/>
        </w:rPr>
        <w:t>），下达专项排查经费</w:t>
      </w:r>
      <w:r>
        <w:rPr>
          <w:rFonts w:hint="eastAsia" w:ascii="Times New Roman" w:hAnsi="Times New Roman" w:eastAsia="仿宋_GB2312" w:cs="Times New Roman"/>
          <w:sz w:val="32"/>
          <w:szCs w:val="32"/>
          <w:lang w:val="en-US" w:eastAsia="zh-CN"/>
        </w:rPr>
        <w:t>2.5万元。</w:t>
      </w:r>
    </w:p>
    <w:p w14:paraId="7E702D4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1607040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1.项目主要内容。</w:t>
      </w:r>
      <w:r>
        <w:rPr>
          <w:rFonts w:hint="eastAsia" w:ascii="Times New Roman" w:hAnsi="Times New Roman" w:eastAsia="仿宋_GB2312" w:cs="Times New Roman"/>
          <w:sz w:val="32"/>
          <w:szCs w:val="32"/>
          <w:lang w:val="zh-CN"/>
        </w:rPr>
        <w:t>切实做好本辖区地质灾害隐患排查，特别是高陡斜坡山体裂缝、重点山洪泥石流沟及强水弱土弱岩等区域地质灾害</w:t>
      </w:r>
      <w:r>
        <w:rPr>
          <w:rFonts w:hint="eastAsia" w:eastAsia="仿宋_GB2312" w:cs="Times New Roman"/>
          <w:sz w:val="32"/>
          <w:szCs w:val="32"/>
          <w:lang w:val="zh-CN"/>
        </w:rPr>
        <w:t>风险隐患排查</w:t>
      </w:r>
      <w:r>
        <w:rPr>
          <w:rFonts w:hint="eastAsia" w:ascii="Times New Roman" w:hAnsi="Times New Roman" w:eastAsia="仿宋_GB2312" w:cs="Times New Roman"/>
          <w:sz w:val="32"/>
          <w:szCs w:val="32"/>
          <w:lang w:val="zh-CN"/>
        </w:rPr>
        <w:t>工作。</w:t>
      </w:r>
    </w:p>
    <w:p w14:paraId="500F1C5C">
      <w:pPr>
        <w:adjustRightInd w:val="0"/>
        <w:snapToGrid w:val="0"/>
        <w:spacing w:line="600" w:lineRule="exact"/>
        <w:ind w:firstLine="720"/>
        <w:rPr>
          <w:rFonts w:hint="eastAsia"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2.项目应实现的具体绩效目标</w:t>
      </w:r>
      <w:r>
        <w:rPr>
          <w:rFonts w:hint="eastAsia" w:ascii="Times New Roman" w:hAnsi="Times New Roman" w:eastAsia="仿宋_GB2312" w:cs="Times New Roman"/>
          <w:sz w:val="32"/>
          <w:szCs w:val="32"/>
          <w:lang w:val="zh-CN"/>
        </w:rPr>
        <w:t>。数量指标：完成一项隐患排查工作；质量指标：完工验收合格率</w:t>
      </w:r>
      <w:r>
        <w:rPr>
          <w:rFonts w:hint="eastAsia" w:ascii="Times New Roman" w:hAnsi="Times New Roman" w:eastAsia="仿宋_GB2312" w:cs="Times New Roman"/>
          <w:sz w:val="32"/>
          <w:szCs w:val="32"/>
          <w:lang w:val="en-US" w:eastAsia="zh-CN"/>
        </w:rPr>
        <w:t>100%；</w:t>
      </w:r>
      <w:r>
        <w:rPr>
          <w:rFonts w:hint="eastAsia" w:ascii="Times New Roman" w:hAnsi="Times New Roman" w:eastAsia="仿宋_GB2312" w:cs="Times New Roman"/>
          <w:sz w:val="32"/>
          <w:szCs w:val="32"/>
          <w:lang w:val="zh-CN"/>
        </w:rPr>
        <w:t>时效指标：2025年12月31日前完成；可持续发展指标：维护本地区可持续发展；满意度指标</w:t>
      </w:r>
      <w:r>
        <w:rPr>
          <w:rFonts w:hint="eastAsia" w:eastAsia="仿宋_GB2312" w:cs="Times New Roman"/>
          <w:sz w:val="32"/>
          <w:szCs w:val="32"/>
          <w:lang w:val="zh-CN"/>
        </w:rPr>
        <w:t>：</w:t>
      </w:r>
      <w:r>
        <w:rPr>
          <w:rFonts w:hint="eastAsia" w:ascii="Times New Roman" w:hAnsi="Times New Roman" w:eastAsia="仿宋_GB2312" w:cs="Times New Roman"/>
          <w:sz w:val="32"/>
          <w:szCs w:val="32"/>
          <w:lang w:val="zh-CN"/>
        </w:rPr>
        <w:t>群众满意度大于等于95%；经济成本指标：财政资金2.5万元。</w:t>
      </w:r>
    </w:p>
    <w:p w14:paraId="57021282">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lang w:val="zh-CN"/>
        </w:rPr>
        <w:t>3.分析评价申报内容与实际相符，申报目标合理可行。</w:t>
      </w:r>
    </w:p>
    <w:p w14:paraId="6FB2725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2809D5A6">
      <w:pPr>
        <w:numPr>
          <w:ilvl w:val="0"/>
          <w:numId w:val="0"/>
        </w:numPr>
        <w:suppressAutoHyphens/>
        <w:adjustRightInd w:val="0"/>
        <w:snapToGrid w:val="0"/>
        <w:spacing w:line="560" w:lineRule="exact"/>
        <w:ind w:firstLine="640" w:firstLineChars="200"/>
        <w:rPr>
          <w:rFonts w:hint="eastAsia" w:ascii="Times New Roman" w:hAnsi="Times New Roman" w:eastAsia="仿宋_GB2312" w:cs="Times New Roman"/>
          <w:sz w:val="32"/>
          <w:szCs w:val="32"/>
          <w:lang w:val="zh-CN" w:eastAsia="zh-CN"/>
        </w:rPr>
      </w:pPr>
      <w:r>
        <w:rPr>
          <w:rFonts w:hint="eastAsia" w:ascii="仿宋_GB2312" w:hAnsi="仿宋_GB2312" w:eastAsia="仿宋_GB2312" w:cs="仿宋_GB2312"/>
          <w:kern w:val="0"/>
          <w:sz w:val="32"/>
          <w:szCs w:val="32"/>
          <w:lang w:val="zh-CN" w:eastAsia="zh-CN"/>
        </w:rPr>
        <w:t>项目业主由攀枝花市自然资源和规划局西区分局担任，局长姚恬总负责，分管领导由杨旭副局长兼任，地矿股承担具体评价工作。根据预设项目绩效目标，</w:t>
      </w:r>
      <w:r>
        <w:rPr>
          <w:rFonts w:hint="eastAsia" w:ascii="仿宋_GB2312" w:hAnsi="仿宋_GB2312" w:eastAsia="仿宋_GB2312" w:cs="仿宋_GB2312"/>
          <w:kern w:val="0"/>
          <w:sz w:val="32"/>
          <w:szCs w:val="32"/>
          <w:lang w:val="zh-CN"/>
        </w:rPr>
        <w:t>结合项目自身特点、评价重点及管理办法等要求，围绕专项项目支出绩效评价指标体系对项目进行总体评价。评价方法如下：一是</w:t>
      </w:r>
      <w:r>
        <w:rPr>
          <w:rFonts w:hint="default" w:ascii="Times New Roman" w:hAnsi="Times New Roman" w:eastAsia="仿宋_GB2312" w:cs="Times New Roman"/>
          <w:sz w:val="32"/>
          <w:szCs w:val="32"/>
          <w:lang w:val="en-US" w:eastAsia="zh-CN"/>
        </w:rPr>
        <w:t>确定自评目的</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明确自评的目的，例如评估项目进度、评估项目质量、评估项目风险等。</w:t>
      </w:r>
      <w:r>
        <w:rPr>
          <w:rFonts w:hint="eastAsia" w:ascii="Times New Roman" w:hAnsi="Times New Roman" w:eastAsia="仿宋_GB2312" w:cs="Times New Roman"/>
          <w:sz w:val="32"/>
          <w:szCs w:val="32"/>
          <w:lang w:val="en-US" w:eastAsia="zh-CN"/>
        </w:rPr>
        <w:t>二是开展</w:t>
      </w:r>
      <w:r>
        <w:rPr>
          <w:rFonts w:hint="default" w:ascii="Times New Roman" w:hAnsi="Times New Roman" w:eastAsia="仿宋_GB2312" w:cs="Times New Roman"/>
          <w:sz w:val="32"/>
          <w:szCs w:val="32"/>
          <w:lang w:val="en-US" w:eastAsia="zh-CN"/>
        </w:rPr>
        <w:t>收集信息</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收集项目相关信息，包括项目计划、项目进度、项目成果、项目问题等。</w:t>
      </w:r>
      <w:r>
        <w:rPr>
          <w:rFonts w:hint="eastAsia" w:ascii="Times New Roman" w:hAnsi="Times New Roman" w:eastAsia="仿宋_GB2312" w:cs="Times New Roman"/>
          <w:sz w:val="32"/>
          <w:szCs w:val="32"/>
          <w:lang w:val="en-US" w:eastAsia="zh-CN"/>
        </w:rPr>
        <w:t>三是</w:t>
      </w:r>
      <w:r>
        <w:rPr>
          <w:rFonts w:hint="default" w:ascii="Times New Roman" w:hAnsi="Times New Roman" w:eastAsia="仿宋_GB2312" w:cs="Times New Roman"/>
          <w:sz w:val="32"/>
          <w:szCs w:val="32"/>
          <w:lang w:val="en-US" w:eastAsia="zh-CN"/>
        </w:rPr>
        <w:t>评估项目进度</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根据项目计划和实际进度进行比较，评估项目是否按时完成。</w:t>
      </w:r>
      <w:r>
        <w:rPr>
          <w:rFonts w:hint="eastAsia" w:ascii="Times New Roman" w:hAnsi="Times New Roman" w:eastAsia="仿宋_GB2312" w:cs="Times New Roman"/>
          <w:sz w:val="32"/>
          <w:szCs w:val="32"/>
          <w:lang w:val="en-US" w:eastAsia="zh-CN"/>
        </w:rPr>
        <w:t>四是</w:t>
      </w:r>
      <w:r>
        <w:rPr>
          <w:rFonts w:hint="default" w:ascii="Times New Roman" w:hAnsi="Times New Roman" w:eastAsia="仿宋_GB2312" w:cs="Times New Roman"/>
          <w:sz w:val="32"/>
          <w:szCs w:val="32"/>
          <w:lang w:val="en-US" w:eastAsia="zh-CN"/>
        </w:rPr>
        <w:t>评估项目质量</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根据项目成果和项目要求进行比较，评估项目成果是否符合要求。</w:t>
      </w:r>
      <w:r>
        <w:rPr>
          <w:rFonts w:hint="eastAsia" w:ascii="Times New Roman" w:hAnsi="Times New Roman" w:eastAsia="仿宋_GB2312" w:cs="Times New Roman"/>
          <w:sz w:val="32"/>
          <w:szCs w:val="32"/>
          <w:lang w:val="en-US" w:eastAsia="zh-CN"/>
        </w:rPr>
        <w:t>五是</w:t>
      </w:r>
      <w:r>
        <w:rPr>
          <w:rFonts w:hint="default" w:ascii="Times New Roman" w:hAnsi="Times New Roman" w:eastAsia="仿宋_GB2312" w:cs="Times New Roman"/>
          <w:sz w:val="32"/>
          <w:szCs w:val="32"/>
          <w:lang w:val="en-US" w:eastAsia="zh-CN"/>
        </w:rPr>
        <w:t>评估项目风险</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根据项目进程中出现的问题进行评估，评估项目未来可能出现的风险。</w:t>
      </w:r>
      <w:r>
        <w:rPr>
          <w:rFonts w:hint="eastAsia" w:ascii="Times New Roman" w:hAnsi="Times New Roman" w:eastAsia="仿宋_GB2312" w:cs="Times New Roman"/>
          <w:sz w:val="32"/>
          <w:szCs w:val="32"/>
          <w:lang w:val="en-US" w:eastAsia="zh-CN"/>
        </w:rPr>
        <w:t>六是</w:t>
      </w:r>
      <w:r>
        <w:rPr>
          <w:rFonts w:hint="default" w:ascii="Times New Roman" w:hAnsi="Times New Roman" w:eastAsia="仿宋_GB2312" w:cs="Times New Roman"/>
          <w:sz w:val="32"/>
          <w:szCs w:val="32"/>
          <w:lang w:val="en-US" w:eastAsia="zh-CN"/>
        </w:rPr>
        <w:t>总结评估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总结自评过程和结果，为今后的项目管理做出参考。</w:t>
      </w:r>
    </w:p>
    <w:p w14:paraId="09FE9A8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279DD06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34BCBE82">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该项目申报资金</w:t>
      </w:r>
      <w:r>
        <w:rPr>
          <w:rFonts w:hint="eastAsia" w:ascii="Times New Roman" w:hAnsi="Times New Roman" w:eastAsia="仿宋_GB2312" w:cs="Times New Roman"/>
          <w:sz w:val="32"/>
          <w:szCs w:val="32"/>
          <w:lang w:val="en-US" w:eastAsia="zh-CN"/>
        </w:rPr>
        <w:t>2.5万元，批复</w:t>
      </w:r>
      <w:r>
        <w:rPr>
          <w:rFonts w:hint="eastAsia" w:ascii="Times New Roman" w:hAnsi="Times New Roman" w:eastAsia="仿宋_GB2312" w:cs="Times New Roman"/>
          <w:sz w:val="32"/>
          <w:szCs w:val="32"/>
          <w:lang w:val="zh-CN"/>
        </w:rPr>
        <w:t>下达资金</w:t>
      </w:r>
      <w:r>
        <w:rPr>
          <w:rFonts w:hint="eastAsia" w:ascii="Times New Roman" w:hAnsi="Times New Roman" w:eastAsia="仿宋_GB2312" w:cs="Times New Roman"/>
          <w:sz w:val="32"/>
          <w:szCs w:val="32"/>
          <w:lang w:val="en-US" w:eastAsia="zh-CN"/>
        </w:rPr>
        <w:t>2.5万元。</w:t>
      </w:r>
    </w:p>
    <w:p w14:paraId="798E48E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26ADD128">
      <w:pPr>
        <w:adjustRightInd w:val="0"/>
        <w:snapToGrid w:val="0"/>
        <w:spacing w:line="600" w:lineRule="exact"/>
        <w:ind w:firstLine="720"/>
        <w:rPr>
          <w:rFonts w:hint="eastAsia"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仿宋_GB2312" w:cs="Times New Roman"/>
          <w:sz w:val="32"/>
          <w:szCs w:val="32"/>
          <w:lang w:val="zh-CN"/>
        </w:rPr>
        <w:t>该项目资金全额来源于省级以上补助资金，无</w:t>
      </w:r>
      <w:r>
        <w:rPr>
          <w:rFonts w:ascii="Times New Roman" w:hAnsi="Times New Roman" w:eastAsia="仿宋_GB2312" w:cs="Times New Roman"/>
          <w:sz w:val="32"/>
          <w:szCs w:val="32"/>
          <w:lang w:val="zh-CN"/>
        </w:rPr>
        <w:t>县（市、区）财政资金</w:t>
      </w:r>
      <w:r>
        <w:rPr>
          <w:rFonts w:hint="eastAsia" w:ascii="Times New Roman" w:hAnsi="Times New Roman" w:eastAsia="仿宋_GB2312" w:cs="Times New Roman"/>
          <w:sz w:val="32"/>
          <w:szCs w:val="32"/>
          <w:lang w:val="zh-CN"/>
        </w:rPr>
        <w:t>配套。</w:t>
      </w:r>
    </w:p>
    <w:p w14:paraId="7F4F72A7">
      <w:pPr>
        <w:adjustRightInd w:val="0"/>
        <w:snapToGrid w:val="0"/>
        <w:spacing w:line="600" w:lineRule="exact"/>
        <w:ind w:firstLine="720"/>
        <w:rPr>
          <w:rFonts w:hint="default" w:ascii="Times New Roman" w:hAnsi="Times New Roman" w:eastAsia="仿宋_GB2312" w:cs="Times New Roman"/>
          <w:sz w:val="32"/>
          <w:szCs w:val="32"/>
          <w:lang w:val="en-US"/>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hint="eastAsia" w:ascii="Times New Roman" w:hAnsi="Times New Roman" w:eastAsia="仿宋_GB2312" w:cs="Times New Roman"/>
          <w:sz w:val="32"/>
          <w:szCs w:val="32"/>
          <w:lang w:val="zh-CN"/>
        </w:rPr>
        <w:t>项目</w:t>
      </w:r>
      <w:r>
        <w:rPr>
          <w:rFonts w:hint="eastAsia" w:ascii="Times New Roman" w:hAnsi="Times New Roman" w:eastAsia="仿宋_GB2312" w:cs="Times New Roman"/>
          <w:sz w:val="32"/>
          <w:szCs w:val="32"/>
          <w:lang w:val="en-US" w:eastAsia="zh-CN"/>
        </w:rPr>
        <w:t>2.5万元全额到位，资金到位率100%。</w:t>
      </w:r>
    </w:p>
    <w:p w14:paraId="1EA1D5B6">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hint="eastAsia" w:ascii="Times New Roman" w:hAnsi="Times New Roman" w:eastAsia="仿宋_GB2312" w:cs="Times New Roman"/>
          <w:sz w:val="32"/>
          <w:szCs w:val="32"/>
          <w:lang w:val="zh-CN"/>
        </w:rPr>
        <w:t>该项目下达资金</w:t>
      </w:r>
      <w:r>
        <w:rPr>
          <w:rFonts w:hint="eastAsia" w:ascii="Times New Roman" w:hAnsi="Times New Roman" w:eastAsia="仿宋_GB2312" w:cs="Times New Roman"/>
          <w:sz w:val="32"/>
          <w:szCs w:val="32"/>
          <w:lang w:val="en-US" w:eastAsia="zh-CN"/>
        </w:rPr>
        <w:t>2.5万元，实际使用资金0万元，主要由于2025年底，作业单位尚未提供汛后核查报告，尚未达到资金支付条件。目前，已提交成果资料，达到支付条件，正在申请支付。</w:t>
      </w:r>
    </w:p>
    <w:p w14:paraId="5104645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258BAAA">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ascii="Times New Roman" w:hAnsi="Times New Roman" w:eastAsia="仿宋_GB2312" w:cs="Times New Roman"/>
          <w:sz w:val="32"/>
          <w:szCs w:val="32"/>
          <w:lang w:val="zh-CN"/>
        </w:rPr>
      </w:pPr>
      <w:r>
        <w:rPr>
          <w:rFonts w:hint="eastAsia" w:ascii="Calibri" w:hAnsi="Calibri" w:eastAsia="仿宋_GB2312" w:cs="Times New Roman"/>
          <w:sz w:val="32"/>
          <w:szCs w:val="32"/>
          <w:lang w:val="zh-CN"/>
        </w:rPr>
        <w:t>项目严格</w:t>
      </w:r>
      <w:r>
        <w:rPr>
          <w:rFonts w:ascii="Calibri" w:hAnsi="Calibri" w:eastAsia="仿宋_GB2312" w:cs="Times New Roman"/>
          <w:sz w:val="32"/>
          <w:szCs w:val="32"/>
          <w:lang w:val="zh-CN"/>
        </w:rPr>
        <w:t>按照国家有关法规，实行项目法人制、招投标制、工程监理制、工程验收制</w:t>
      </w:r>
      <w:r>
        <w:rPr>
          <w:rFonts w:hint="eastAsia" w:ascii="Calibri" w:hAnsi="Calibri" w:eastAsia="仿宋_GB2312" w:cs="Times New Roman"/>
          <w:sz w:val="32"/>
          <w:szCs w:val="32"/>
          <w:lang w:val="zh-CN"/>
        </w:rPr>
        <w:t>，项目管理规范</w:t>
      </w:r>
      <w:r>
        <w:rPr>
          <w:rFonts w:ascii="Calibri" w:hAnsi="Calibri" w:eastAsia="仿宋_GB2312" w:cs="Times New Roman"/>
          <w:sz w:val="32"/>
          <w:szCs w:val="32"/>
          <w:lang w:val="zh-CN"/>
        </w:rPr>
        <w:t>。</w:t>
      </w:r>
    </w:p>
    <w:p w14:paraId="7BDF6D22">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2C67AF15">
      <w:pPr>
        <w:keepNext w:val="0"/>
        <w:keepLines w:val="0"/>
        <w:pageBreakBefore w:val="0"/>
        <w:kinsoku/>
        <w:wordWrap/>
        <w:overflowPunct/>
        <w:topLinePunct w:val="0"/>
        <w:autoSpaceDE/>
        <w:autoSpaceDN/>
        <w:bidi w:val="0"/>
        <w:adjustRightInd w:val="0"/>
        <w:snapToGrid w:val="0"/>
        <w:spacing w:line="560" w:lineRule="exact"/>
        <w:ind w:firstLine="720"/>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zh-CN"/>
        </w:rPr>
        <w:t>项目组织架构上，县区政府为责任主体，市自然资源和规划主管部门实施监督管理，县区自然资源和规划主管部门具体组织实施。财政补助资金项目按如下流程实施：县区自然资源和规划主管部门具体组织编制勘察、可行性研究及施工图设计并报市自然资源和规划主管部门审查，审查后由市自然资源和规划主管部门印发勘察、可行性研究、施工图设计等专家审查意见；县区自然资源和规划主管部门根据专家审查意见向市自然资源和规划主管部门报请立项；市自然资源和规划主管部门局务会或党委会研究同意后，下达立项批复；县区自然资源和规划主管部门根据市自然资源和规划主管部门的立项批复，组织施工、监理单位招投标，并确定施工、监理单位；县区自然资源和规划主管部门组织施工单位、监理单位进行施工；项目完工后，施工单位、监理单位进行自查总结，报请县区自然资源和规划主管部门申请初步验收；初步验收合格并整改完成后，县区自然资源和规划主管部门报请市自然资源和规划主管部门进行最终验收。</w:t>
      </w:r>
    </w:p>
    <w:p w14:paraId="1529026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670D1E4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4768DD6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1.预算执行情况（得分</w:t>
      </w:r>
      <w:r>
        <w:rPr>
          <w:rFonts w:hint="eastAsia" w:ascii="Times New Roman" w:hAnsi="Times New Roman"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17D72F2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年度预算绩效资金为</w:t>
      </w:r>
      <w:r>
        <w:rPr>
          <w:rFonts w:hint="eastAsia" w:ascii="Times New Roman" w:hAnsi="Times New Roman" w:eastAsia="仿宋_GB2312" w:cs="仿宋_GB2312"/>
          <w:b w:val="0"/>
          <w:bCs w:val="0"/>
          <w:kern w:val="0"/>
          <w:position w:val="0"/>
          <w:sz w:val="32"/>
          <w:szCs w:val="32"/>
          <w:highlight w:val="none"/>
          <w:lang w:val="en-US" w:eastAsia="zh-CN" w:bidi="ar-SA"/>
        </w:rPr>
        <w:t>2.5</w:t>
      </w:r>
      <w:r>
        <w:rPr>
          <w:rFonts w:hint="eastAsia" w:ascii="Times New Roman" w:hAnsi="Times New Roman" w:eastAsia="仿宋_GB2312" w:cs="仿宋_GB2312"/>
          <w:b w:val="0"/>
          <w:bCs w:val="0"/>
          <w:kern w:val="0"/>
          <w:position w:val="0"/>
          <w:sz w:val="32"/>
          <w:szCs w:val="32"/>
          <w:highlight w:val="none"/>
          <w:lang w:val="zh-CN" w:eastAsia="zh-CN" w:bidi="ar-SA"/>
        </w:rPr>
        <w:t>万元，支付</w:t>
      </w:r>
      <w:r>
        <w:rPr>
          <w:rFonts w:hint="eastAsia" w:ascii="Times New Roman" w:hAnsi="Times New Roman" w:eastAsia="仿宋_GB2312" w:cs="仿宋_GB2312"/>
          <w:b w:val="0"/>
          <w:bCs w:val="0"/>
          <w:kern w:val="0"/>
          <w:position w:val="0"/>
          <w:sz w:val="32"/>
          <w:szCs w:val="32"/>
          <w:highlight w:val="none"/>
          <w:lang w:val="en-US" w:eastAsia="zh-CN" w:bidi="ar-SA"/>
        </w:rPr>
        <w:t>0</w:t>
      </w:r>
      <w:r>
        <w:rPr>
          <w:rFonts w:hint="eastAsia" w:ascii="Times New Roman" w:hAnsi="Times New Roman" w:eastAsia="仿宋_GB2312" w:cs="仿宋_GB2312"/>
          <w:b w:val="0"/>
          <w:bCs w:val="0"/>
          <w:kern w:val="0"/>
          <w:position w:val="0"/>
          <w:sz w:val="32"/>
          <w:szCs w:val="32"/>
          <w:highlight w:val="none"/>
          <w:lang w:val="zh-CN" w:eastAsia="zh-CN" w:bidi="ar-SA"/>
        </w:rPr>
        <w:t>万元，执行率为</w:t>
      </w:r>
      <w:r>
        <w:rPr>
          <w:rFonts w:hint="eastAsia" w:ascii="Times New Roman" w:hAnsi="Times New Roman" w:eastAsia="仿宋_GB2312" w:cs="仿宋_GB2312"/>
          <w:b w:val="0"/>
          <w:bCs w:val="0"/>
          <w:kern w:val="0"/>
          <w:position w:val="0"/>
          <w:sz w:val="32"/>
          <w:szCs w:val="32"/>
          <w:highlight w:val="none"/>
          <w:lang w:val="en-US" w:eastAsia="zh-CN" w:bidi="ar-SA"/>
        </w:rPr>
        <w:t>0</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2A8BEA85">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仿宋_GB2312"/>
          <w:b w:val="0"/>
          <w:bCs w:val="0"/>
          <w:kern w:val="0"/>
          <w:position w:val="0"/>
          <w:sz w:val="32"/>
          <w:szCs w:val="32"/>
          <w:highlight w:val="none"/>
          <w:lang w:val="zh-CN" w:eastAsia="zh-CN" w:bidi="ar-SA"/>
        </w:rPr>
        <w:t>2.绩效指标完成情况（得分90分）</w:t>
      </w:r>
      <w:r>
        <w:rPr>
          <w:rFonts w:hint="eastAsia" w:ascii="Times New Roman" w:hAnsi="Times New Roman" w:eastAsia="仿宋_GB2312" w:cs="Times New Roman"/>
          <w:sz w:val="32"/>
          <w:szCs w:val="32"/>
          <w:lang w:val="zh-CN"/>
        </w:rPr>
        <w:t>数量指标：完成一项隐患排查工作；质量指标：完工验收合格率</w:t>
      </w:r>
      <w:r>
        <w:rPr>
          <w:rFonts w:hint="eastAsia" w:ascii="Times New Roman" w:hAnsi="Times New Roman" w:eastAsia="仿宋_GB2312" w:cs="Times New Roman"/>
          <w:sz w:val="32"/>
          <w:szCs w:val="32"/>
          <w:lang w:val="en-US" w:eastAsia="zh-CN"/>
        </w:rPr>
        <w:t>100%；</w:t>
      </w:r>
      <w:r>
        <w:rPr>
          <w:rFonts w:hint="eastAsia" w:ascii="Times New Roman" w:hAnsi="Times New Roman" w:eastAsia="仿宋_GB2312" w:cs="Times New Roman"/>
          <w:sz w:val="32"/>
          <w:szCs w:val="32"/>
          <w:lang w:val="zh-CN"/>
        </w:rPr>
        <w:t>时效指标：2025年12月31日前完成；可持续发展指标：维护本地区可持续发展；满意度指标</w:t>
      </w:r>
      <w:r>
        <w:rPr>
          <w:rFonts w:hint="eastAsia" w:eastAsia="仿宋_GB2312" w:cs="Times New Roman"/>
          <w:sz w:val="32"/>
          <w:szCs w:val="32"/>
          <w:lang w:val="zh-CN"/>
        </w:rPr>
        <w:t>：</w:t>
      </w:r>
      <w:r>
        <w:rPr>
          <w:rFonts w:hint="eastAsia" w:ascii="Times New Roman" w:hAnsi="Times New Roman" w:eastAsia="仿宋_GB2312" w:cs="Times New Roman"/>
          <w:sz w:val="32"/>
          <w:szCs w:val="32"/>
          <w:lang w:val="zh-CN"/>
        </w:rPr>
        <w:t>群众满意度大于等于95%；经济成本指标：财政资金2.5万元。</w:t>
      </w:r>
    </w:p>
    <w:p w14:paraId="43C42F0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①数量指标：</w:t>
      </w:r>
      <w:r>
        <w:rPr>
          <w:rFonts w:hint="eastAsia" w:ascii="Times New Roman" w:hAnsi="Times New Roman" w:eastAsia="仿宋_GB2312" w:cs="Times New Roman"/>
          <w:sz w:val="32"/>
          <w:szCs w:val="32"/>
          <w:lang w:val="zh-CN"/>
        </w:rPr>
        <w:t>完成一项隐患排查工作</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20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7146434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②时效指标：</w:t>
      </w:r>
      <w:r>
        <w:rPr>
          <w:rFonts w:hint="eastAsia" w:ascii="Times New Roman" w:hAnsi="Times New Roman" w:eastAsia="仿宋_GB2312" w:cs="Times New Roman"/>
          <w:sz w:val="32"/>
          <w:szCs w:val="32"/>
          <w:lang w:val="zh-CN"/>
        </w:rPr>
        <w:t>2025年12月31日前完成</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7FED07E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③质量指标：</w:t>
      </w:r>
      <w:r>
        <w:rPr>
          <w:rFonts w:hint="eastAsia" w:ascii="Times New Roman" w:hAnsi="Times New Roman" w:eastAsia="仿宋_GB2312" w:cs="Times New Roman"/>
          <w:sz w:val="32"/>
          <w:szCs w:val="32"/>
          <w:lang w:val="zh-CN"/>
        </w:rPr>
        <w:t>完工验收合格率</w:t>
      </w:r>
      <w:r>
        <w:rPr>
          <w:rFonts w:hint="eastAsia" w:ascii="Times New Roman" w:hAnsi="Times New Roman" w:eastAsia="仿宋_GB2312" w:cs="Times New Roman"/>
          <w:sz w:val="32"/>
          <w:szCs w:val="32"/>
          <w:lang w:val="en-US" w:eastAsia="zh-CN"/>
        </w:rPr>
        <w:t>100%</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en-US" w:eastAsia="zh-CN" w:bidi="ar-SA"/>
        </w:rPr>
        <w:t>10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36AD878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仿宋_GB2312"/>
          <w:b w:val="0"/>
          <w:bCs w:val="0"/>
          <w:kern w:val="0"/>
          <w:position w:val="0"/>
          <w:sz w:val="32"/>
          <w:szCs w:val="32"/>
          <w:highlight w:val="none"/>
          <w:lang w:val="zh-CN" w:eastAsia="zh-CN" w:bidi="ar-SA"/>
        </w:rPr>
        <w:t>④</w:t>
      </w:r>
      <w:r>
        <w:rPr>
          <w:rFonts w:hint="eastAsia" w:ascii="Times New Roman" w:hAnsi="Times New Roman" w:eastAsia="仿宋_GB2312" w:cs="Times New Roman"/>
          <w:sz w:val="32"/>
          <w:szCs w:val="32"/>
          <w:lang w:val="en-US" w:eastAsia="zh-CN"/>
        </w:rPr>
        <w:t>可持续发展指标：</w:t>
      </w:r>
      <w:r>
        <w:rPr>
          <w:rFonts w:hint="eastAsia" w:ascii="Times New Roman" w:hAnsi="Times New Roman" w:eastAsia="仿宋_GB2312" w:cs="Times New Roman"/>
          <w:sz w:val="32"/>
          <w:szCs w:val="32"/>
          <w:lang w:val="zh-CN"/>
        </w:rPr>
        <w:t>维护本地区可持续发展</w:t>
      </w:r>
      <w:r>
        <w:rPr>
          <w:rFonts w:hint="eastAsia" w:ascii="Times New Roman" w:hAnsi="Times New Roman" w:eastAsia="仿宋_GB2312" w:cs="Times New Roman"/>
          <w:sz w:val="32"/>
          <w:szCs w:val="32"/>
          <w:lang w:val="en-US" w:eastAsia="zh-CN"/>
        </w:rPr>
        <w:t>。（20分）</w:t>
      </w:r>
    </w:p>
    <w:p w14:paraId="2EEC16B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仿宋_GB2312"/>
          <w:b w:val="0"/>
          <w:bCs w:val="0"/>
          <w:kern w:val="0"/>
          <w:position w:val="0"/>
          <w:sz w:val="32"/>
          <w:szCs w:val="32"/>
          <w:highlight w:val="none"/>
          <w:lang w:val="zh-CN" w:eastAsia="zh-CN" w:bidi="ar-SA"/>
        </w:rPr>
        <w:t>⑤</w:t>
      </w:r>
      <w:r>
        <w:rPr>
          <w:rFonts w:hint="eastAsia" w:ascii="Times New Roman" w:hAnsi="Times New Roman" w:eastAsia="仿宋_GB2312" w:cs="Times New Roman"/>
          <w:sz w:val="32"/>
          <w:szCs w:val="32"/>
          <w:lang w:val="zh-CN"/>
        </w:rPr>
        <w:t>满意度指标：受</w:t>
      </w:r>
      <w:r>
        <w:rPr>
          <w:rFonts w:hint="eastAsia" w:eastAsia="仿宋_GB2312" w:cs="Times New Roman"/>
          <w:sz w:val="32"/>
          <w:szCs w:val="32"/>
          <w:lang w:val="zh-CN"/>
        </w:rPr>
        <w:t>灾</w:t>
      </w:r>
      <w:r>
        <w:rPr>
          <w:rFonts w:hint="eastAsia" w:ascii="Times New Roman" w:hAnsi="Times New Roman" w:eastAsia="仿宋_GB2312" w:cs="Times New Roman"/>
          <w:sz w:val="32"/>
          <w:szCs w:val="32"/>
          <w:lang w:val="zh-CN"/>
        </w:rPr>
        <w:t>群众满意度大于等于95%。（</w:t>
      </w:r>
      <w:r>
        <w:rPr>
          <w:rFonts w:hint="eastAsia" w:ascii="Times New Roman" w:hAnsi="Times New Roman" w:eastAsia="仿宋_GB2312" w:cs="Times New Roman"/>
          <w:sz w:val="32"/>
          <w:szCs w:val="32"/>
          <w:lang w:val="en-US" w:eastAsia="zh-CN"/>
        </w:rPr>
        <w:t>10分</w:t>
      </w:r>
      <w:r>
        <w:rPr>
          <w:rFonts w:hint="eastAsia" w:ascii="Times New Roman" w:hAnsi="Times New Roman" w:eastAsia="仿宋_GB2312" w:cs="Times New Roman"/>
          <w:sz w:val="32"/>
          <w:szCs w:val="32"/>
          <w:lang w:val="zh-CN"/>
        </w:rPr>
        <w:t>）</w:t>
      </w:r>
    </w:p>
    <w:p w14:paraId="25616EC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⑥经</w:t>
      </w:r>
      <w:r>
        <w:rPr>
          <w:rFonts w:hint="eastAsia" w:ascii="Times New Roman" w:hAnsi="Times New Roman" w:eastAsia="仿宋_GB2312" w:cs="Times New Roman"/>
          <w:sz w:val="32"/>
          <w:szCs w:val="32"/>
          <w:lang w:val="zh-CN"/>
        </w:rPr>
        <w:t>济成本指标：</w:t>
      </w:r>
      <w:r>
        <w:rPr>
          <w:rFonts w:hint="eastAsia" w:ascii="Times New Roman" w:hAnsi="Times New Roman" w:eastAsia="仿宋_GB2312" w:cs="Times New Roman"/>
          <w:sz w:val="32"/>
          <w:szCs w:val="32"/>
          <w:lang w:val="en-US" w:eastAsia="zh-CN"/>
        </w:rPr>
        <w:t>财政投入资金≤2.5万元。（20分）</w:t>
      </w:r>
    </w:p>
    <w:p w14:paraId="72A074A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通过本项目的实施，按时、按质、按量完成了绩效目标，取得了良好的社会效益和经济效益，群众满意度高，目标完成情况为优，个性指标得分</w:t>
      </w:r>
      <w:r>
        <w:rPr>
          <w:rFonts w:hint="eastAsia" w:ascii="Times New Roman" w:hAnsi="Times New Roman" w:eastAsia="仿宋_GB2312" w:cs="仿宋_GB2312"/>
          <w:b w:val="0"/>
          <w:bCs w:val="0"/>
          <w:kern w:val="0"/>
          <w:position w:val="0"/>
          <w:sz w:val="32"/>
          <w:szCs w:val="32"/>
          <w:highlight w:val="none"/>
          <w:lang w:val="en-US" w:eastAsia="zh-CN" w:bidi="ar-SA"/>
        </w:rPr>
        <w:t>90</w:t>
      </w:r>
      <w:r>
        <w:rPr>
          <w:rFonts w:hint="eastAsia" w:ascii="Times New Roman" w:hAnsi="Times New Roman" w:eastAsia="仿宋_GB2312" w:cs="仿宋_GB2312"/>
          <w:b w:val="0"/>
          <w:bCs w:val="0"/>
          <w:kern w:val="0"/>
          <w:position w:val="0"/>
          <w:sz w:val="32"/>
          <w:szCs w:val="32"/>
          <w:highlight w:val="none"/>
          <w:lang w:val="zh-CN" w:eastAsia="zh-CN" w:bidi="ar-SA"/>
        </w:rPr>
        <w:t>分。</w:t>
      </w:r>
    </w:p>
    <w:p w14:paraId="7B3E911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0E7F378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5A6D4D5">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仿宋_GB2312" w:hAnsi="仿宋_GB2312" w:eastAsia="仿宋_GB2312" w:cs="仿宋_GB2312"/>
          <w:kern w:val="0"/>
          <w:sz w:val="32"/>
          <w:szCs w:val="32"/>
          <w:lang w:eastAsia="zh-CN"/>
        </w:rPr>
        <w:t>总体上看，该项目立项依据充分，绩效目标明确，管理制度健全，组织实施有序，资金使用规范，实施效果良好</w:t>
      </w:r>
      <w:r>
        <w:rPr>
          <w:rFonts w:hint="eastAsia" w:ascii="仿宋_GB2312" w:hAnsi="仿宋_GB2312" w:eastAsia="仿宋_GB2312" w:cs="仿宋_GB2312"/>
          <w:kern w:val="0"/>
          <w:sz w:val="32"/>
          <w:szCs w:val="32"/>
          <w:lang w:val="zh-CN"/>
        </w:rPr>
        <w:t>。通过项目实施，</w:t>
      </w:r>
      <w:r>
        <w:rPr>
          <w:rFonts w:hint="default" w:ascii="Times New Roman" w:hAnsi="Times New Roman" w:eastAsia="仿宋_GB2312" w:cs="Times New Roman"/>
          <w:kern w:val="0"/>
          <w:sz w:val="32"/>
          <w:szCs w:val="32"/>
          <w:lang w:val="en-US" w:eastAsia="zh-CN"/>
        </w:rPr>
        <w:t>有效保护群众</w:t>
      </w:r>
      <w:r>
        <w:rPr>
          <w:rFonts w:hint="eastAsia" w:eastAsia="仿宋_GB2312" w:cs="Times New Roman"/>
          <w:kern w:val="0"/>
          <w:sz w:val="32"/>
          <w:szCs w:val="32"/>
          <w:lang w:val="en-US" w:eastAsia="zh-CN"/>
        </w:rPr>
        <w:t>生命财产安全</w:t>
      </w:r>
      <w:r>
        <w:rPr>
          <w:rFonts w:hint="default" w:ascii="Times New Roman" w:hAnsi="Times New Roman" w:eastAsia="仿宋_GB2312" w:cs="Times New Roman"/>
          <w:kern w:val="0"/>
          <w:sz w:val="32"/>
          <w:szCs w:val="32"/>
          <w:lang w:val="en-US" w:eastAsia="zh-CN"/>
        </w:rPr>
        <w:t>，</w:t>
      </w:r>
      <w:r>
        <w:rPr>
          <w:rFonts w:hint="eastAsia" w:ascii="Times New Roman" w:hAnsi="Times New Roman" w:eastAsia="仿宋_GB2312" w:cs="Times New Roman"/>
          <w:kern w:val="0"/>
          <w:sz w:val="32"/>
          <w:szCs w:val="32"/>
          <w:lang w:val="en-US" w:eastAsia="zh-CN"/>
        </w:rPr>
        <w:t>取得了良好的社会效益和经济效益，评价</w:t>
      </w:r>
      <w:r>
        <w:rPr>
          <w:rFonts w:hint="eastAsia" w:eastAsia="仿宋_GB2312" w:cs="Times New Roman"/>
          <w:kern w:val="0"/>
          <w:sz w:val="32"/>
          <w:szCs w:val="32"/>
          <w:lang w:val="en-US" w:eastAsia="zh-CN"/>
        </w:rPr>
        <w:t>为</w:t>
      </w:r>
      <w:r>
        <w:rPr>
          <w:rFonts w:hint="eastAsia" w:ascii="Times New Roman" w:hAnsi="Times New Roman" w:eastAsia="仿宋_GB2312" w:cs="Times New Roman"/>
          <w:kern w:val="0"/>
          <w:sz w:val="32"/>
          <w:szCs w:val="32"/>
          <w:lang w:val="en-US" w:eastAsia="zh-CN"/>
        </w:rPr>
        <w:t>90分</w:t>
      </w:r>
      <w:r>
        <w:rPr>
          <w:rFonts w:ascii="Times New Roman" w:hAnsi="Times New Roman" w:eastAsia="仿宋_GB2312" w:cs="Times New Roman"/>
          <w:sz w:val="32"/>
          <w:szCs w:val="32"/>
          <w:lang w:val="zh-CN"/>
        </w:rPr>
        <w:t>。</w:t>
      </w:r>
    </w:p>
    <w:p w14:paraId="2F3E2C8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7582B99E">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r>
        <w:rPr>
          <w:rFonts w:ascii="Times New Roman" w:hAnsi="Times New Roman" w:eastAsia="仿宋_GB2312" w:cs="Times New Roman"/>
          <w:sz w:val="32"/>
          <w:szCs w:val="32"/>
          <w:lang w:val="zh-CN"/>
        </w:rPr>
        <w:tab/>
      </w:r>
    </w:p>
    <w:p w14:paraId="5B803F8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5C49D928">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w:t>
      </w:r>
    </w:p>
    <w:p w14:paraId="034DB25C">
      <w:pPr>
        <w:rPr>
          <w:rFonts w:ascii="Times New Roman" w:hAnsi="Times New Roman" w:eastAsia="仿宋_GB2312" w:cs="Times New Roman"/>
          <w:sz w:val="32"/>
          <w:szCs w:val="32"/>
        </w:rPr>
      </w:pPr>
    </w:p>
    <w:p w14:paraId="7BFD9A69">
      <w:pPr>
        <w:rPr>
          <w:rFonts w:hint="eastAsia" w:ascii="Times New Roman" w:hAnsi="Times New Roman" w:eastAsia="黑体"/>
          <w:color w:val="auto"/>
          <w:sz w:val="44"/>
          <w:szCs w:val="44"/>
          <w:highlight w:val="none"/>
        </w:rPr>
      </w:pPr>
    </w:p>
    <w:p w14:paraId="646CA16E">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40562E7E">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4D8FF5CE">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7343C574">
      <w:pPr>
        <w:widowControl w:val="0"/>
        <w:spacing w:line="600" w:lineRule="exact"/>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2018-2021上级地质灾害防治项目</w:t>
      </w:r>
      <w:r>
        <w:rPr>
          <w:rFonts w:ascii="Times New Roman" w:hAnsi="Times New Roman" w:eastAsia="仿宋_GB2312" w:cs="Times New Roman"/>
          <w:color w:val="auto"/>
          <w:kern w:val="2"/>
          <w:sz w:val="32"/>
          <w:szCs w:val="32"/>
          <w:lang w:val="zh-CN" w:eastAsia="zh-CN" w:bidi="ar-SA"/>
        </w:rPr>
        <w:t>）</w:t>
      </w:r>
    </w:p>
    <w:p w14:paraId="230CAB10">
      <w:pPr>
        <w:widowControl w:val="0"/>
        <w:spacing w:line="600" w:lineRule="exact"/>
        <w:jc w:val="both"/>
        <w:rPr>
          <w:rFonts w:ascii="Times New Roman" w:hAnsi="Times New Roman" w:eastAsia="宋体" w:cs="Times New Roman"/>
          <w:color w:val="auto"/>
          <w:kern w:val="2"/>
          <w:sz w:val="32"/>
          <w:szCs w:val="32"/>
          <w:lang w:val="zh-CN" w:eastAsia="zh-CN" w:bidi="ar-SA"/>
        </w:rPr>
      </w:pPr>
    </w:p>
    <w:p w14:paraId="14BB2FA4">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5AE8C97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BC91403">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2018--2021年地质灾害防治项目包括2020年第一批地灾项目、2020年第二批地灾项目等共计7个批次，16个地灾治理项目建设。截至202</w:t>
      </w:r>
      <w:r>
        <w:rPr>
          <w:rFonts w:hint="eastAsia"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rPr>
        <w:t>年12月31日，该</w:t>
      </w:r>
      <w:r>
        <w:rPr>
          <w:rFonts w:hint="eastAsia" w:ascii="Times New Roman" w:hAnsi="Times New Roman" w:eastAsia="仿宋_GB2312" w:cs="Times New Roman"/>
          <w:sz w:val="32"/>
          <w:szCs w:val="32"/>
        </w:rPr>
        <w:t>7</w:t>
      </w:r>
      <w:r>
        <w:rPr>
          <w:rFonts w:ascii="Times New Roman" w:hAnsi="Times New Roman" w:eastAsia="仿宋_GB2312" w:cs="Times New Roman"/>
          <w:sz w:val="32"/>
          <w:szCs w:val="32"/>
        </w:rPr>
        <w:t>个批次</w:t>
      </w:r>
      <w:r>
        <w:rPr>
          <w:rFonts w:hint="eastAsia" w:ascii="Times New Roman" w:hAnsi="Times New Roman" w:eastAsia="仿宋_GB2312" w:cs="Times New Roman"/>
          <w:sz w:val="32"/>
          <w:szCs w:val="32"/>
        </w:rPr>
        <w:t>16个地灾监测、治理项目</w:t>
      </w:r>
      <w:r>
        <w:rPr>
          <w:rFonts w:hint="eastAsia" w:eastAsia="仿宋_GB2312" w:cs="Times New Roman"/>
          <w:sz w:val="32"/>
          <w:szCs w:val="32"/>
          <w:lang w:eastAsia="zh-CN"/>
        </w:rPr>
        <w:t>，</w:t>
      </w:r>
      <w:r>
        <w:rPr>
          <w:rFonts w:ascii="Times New Roman" w:hAnsi="Times New Roman" w:eastAsia="仿宋_GB2312" w:cs="Times New Roman"/>
          <w:sz w:val="32"/>
          <w:szCs w:val="32"/>
        </w:rPr>
        <w:t>建设项目已全部建设完成，通过质保期检验，所有工程款项均按合同约定支付。仁和区分局</w:t>
      </w:r>
      <w:r>
        <w:rPr>
          <w:rFonts w:hint="eastAsia" w:ascii="Times New Roman" w:hAnsi="Times New Roman" w:eastAsia="仿宋_GB2312" w:cs="Times New Roman"/>
          <w:sz w:val="32"/>
          <w:szCs w:val="32"/>
          <w:lang w:eastAsia="zh-CN"/>
        </w:rPr>
        <w:t>组织实施，督促中标单位按时保量完成治理工程。</w:t>
      </w:r>
    </w:p>
    <w:p w14:paraId="7E5C205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3ADE38B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按时完成地灾专职监测人员补助、地灾工程治理，通过验收，确保人民群众生命财产安全</w:t>
      </w:r>
      <w:r>
        <w:rPr>
          <w:rFonts w:ascii="Times New Roman" w:hAnsi="Times New Roman" w:eastAsia="仿宋_GB2312" w:cs="Times New Roman"/>
          <w:sz w:val="32"/>
          <w:szCs w:val="32"/>
          <w:lang w:val="zh-CN"/>
        </w:rPr>
        <w:t>。</w:t>
      </w:r>
    </w:p>
    <w:p w14:paraId="49C69DE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43B44D50">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2B40B46F">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6CDDBB2A">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510A4208">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23A288E1">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726D5EF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30643F38">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479FB58C">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336A843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6BA61BA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5D98CCC0">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所有地灾治理项目资金均经省财政厅批复下达：</w:t>
      </w:r>
      <w:r>
        <w:rPr>
          <w:rFonts w:hint="eastAsia" w:ascii="Times New Roman" w:hAnsi="Times New Roman" w:eastAsia="仿宋_GB2312" w:cs="Times New Roman"/>
          <w:sz w:val="32"/>
          <w:szCs w:val="32"/>
        </w:rPr>
        <w:t>2018年自动化监测项目；2019年自动化专业监测项目；</w:t>
      </w:r>
      <w:r>
        <w:rPr>
          <w:rFonts w:ascii="Times New Roman" w:hAnsi="Times New Roman" w:eastAsia="仿宋_GB2312" w:cs="Times New Roman"/>
          <w:sz w:val="32"/>
          <w:szCs w:val="32"/>
          <w:lang w:val="zh-CN"/>
        </w:rPr>
        <w:t>2020年第一批地质灾害防治省级补助资金</w:t>
      </w:r>
      <w:r>
        <w:rPr>
          <w:rFonts w:ascii="Times New Roman" w:hAnsi="Times New Roman" w:eastAsia="仿宋_GB2312" w:cs="Times New Roman"/>
          <w:sz w:val="32"/>
          <w:szCs w:val="32"/>
        </w:rPr>
        <w:t>由</w:t>
      </w:r>
      <w:r>
        <w:rPr>
          <w:rFonts w:ascii="Times New Roman" w:hAnsi="Times New Roman" w:eastAsia="仿宋_GB2312" w:cs="Times New Roman"/>
          <w:sz w:val="32"/>
          <w:szCs w:val="32"/>
          <w:lang w:val="zh-CN"/>
        </w:rPr>
        <w:t>川财资环</w:t>
      </w:r>
      <w:r>
        <w:rPr>
          <w:rFonts w:hint="eastAsia" w:eastAsia="仿宋_GB2312" w:cs="Times New Roman"/>
          <w:sz w:val="32"/>
          <w:szCs w:val="32"/>
          <w:lang w:val="zh-CN"/>
        </w:rPr>
        <w:t>〔2020〕12号</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2020年第二批地质灾害防治（中央）补助资金</w:t>
      </w:r>
      <w:r>
        <w:rPr>
          <w:rFonts w:ascii="Times New Roman" w:hAnsi="Times New Roman" w:eastAsia="仿宋_GB2312" w:cs="Times New Roman"/>
          <w:sz w:val="32"/>
          <w:szCs w:val="32"/>
        </w:rPr>
        <w:t>由</w:t>
      </w:r>
      <w:r>
        <w:rPr>
          <w:rFonts w:ascii="Times New Roman" w:hAnsi="Times New Roman" w:eastAsia="仿宋_GB2312" w:cs="Times New Roman"/>
          <w:sz w:val="32"/>
          <w:szCs w:val="32"/>
          <w:lang w:val="zh-CN"/>
        </w:rPr>
        <w:t>川财资</w:t>
      </w:r>
      <w:r>
        <w:rPr>
          <w:rFonts w:hint="eastAsia" w:ascii="仿宋_GB2312" w:hAnsi="仿宋_GB2312" w:eastAsia="仿宋_GB2312" w:cs="仿宋_GB2312"/>
          <w:sz w:val="32"/>
          <w:szCs w:val="32"/>
          <w:lang w:val="zh-CN"/>
        </w:rPr>
        <w:t>环〔2020〕31号</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2020年第五批省级和2021年第一批中央地质灾害防治补助资金</w:t>
      </w:r>
      <w:r>
        <w:rPr>
          <w:rFonts w:ascii="Times New Roman" w:hAnsi="Times New Roman" w:eastAsia="仿宋_GB2312" w:cs="Times New Roman"/>
          <w:sz w:val="32"/>
          <w:szCs w:val="32"/>
        </w:rPr>
        <w:t>由</w:t>
      </w:r>
      <w:r>
        <w:rPr>
          <w:rFonts w:ascii="Times New Roman" w:hAnsi="Times New Roman" w:eastAsia="仿宋_GB2312" w:cs="Times New Roman"/>
          <w:sz w:val="32"/>
          <w:szCs w:val="32"/>
          <w:lang w:val="zh-CN"/>
        </w:rPr>
        <w:t>川财资环</w:t>
      </w:r>
      <w:r>
        <w:rPr>
          <w:rFonts w:hint="eastAsia" w:eastAsia="仿宋_GB2312" w:cs="Times New Roman"/>
          <w:sz w:val="32"/>
          <w:szCs w:val="32"/>
          <w:lang w:val="zh-CN"/>
        </w:rPr>
        <w:t>〔2020〕114号</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2021年第二批地质灾害防治专项资金预算（省级）</w:t>
      </w:r>
      <w:r>
        <w:rPr>
          <w:rFonts w:ascii="Times New Roman" w:hAnsi="Times New Roman" w:eastAsia="仿宋_GB2312" w:cs="Times New Roman"/>
          <w:sz w:val="32"/>
          <w:szCs w:val="32"/>
        </w:rPr>
        <w:t>由</w:t>
      </w:r>
      <w:r>
        <w:rPr>
          <w:rFonts w:ascii="Times New Roman" w:hAnsi="Times New Roman" w:eastAsia="仿宋_GB2312" w:cs="Times New Roman"/>
          <w:sz w:val="32"/>
          <w:szCs w:val="32"/>
          <w:lang w:val="zh-CN"/>
        </w:rPr>
        <w:t>川财资</w:t>
      </w:r>
      <w:r>
        <w:rPr>
          <w:rFonts w:hint="eastAsia" w:ascii="仿宋_GB2312" w:hAnsi="仿宋_GB2312" w:eastAsia="仿宋_GB2312" w:cs="仿宋_GB2312"/>
          <w:sz w:val="32"/>
          <w:szCs w:val="32"/>
          <w:lang w:val="zh-CN"/>
        </w:rPr>
        <w:t>环〔2021〕26号</w:t>
      </w:r>
      <w:r>
        <w:rPr>
          <w:rFonts w:ascii="Times New Roman" w:hAnsi="Times New Roman" w:eastAsia="仿宋_GB2312" w:cs="Times New Roman"/>
          <w:sz w:val="32"/>
          <w:szCs w:val="32"/>
        </w:rPr>
        <w:t>下达</w:t>
      </w:r>
      <w:r>
        <w:rPr>
          <w:rFonts w:hint="eastAsia" w:ascii="Times New Roman" w:hAnsi="Times New Roman" w:eastAsia="仿宋_GB2312" w:cs="Times New Roman"/>
          <w:sz w:val="32"/>
          <w:szCs w:val="32"/>
          <w:lang w:eastAsia="zh-CN"/>
        </w:rPr>
        <w:t>。</w:t>
      </w:r>
    </w:p>
    <w:p w14:paraId="56EF6CD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610685B9">
      <w:pPr>
        <w:adjustRightInd w:val="0"/>
        <w:snapToGrid w:val="0"/>
        <w:spacing w:line="560" w:lineRule="exact"/>
        <w:ind w:firstLine="720"/>
        <w:rPr>
          <w:rFonts w:ascii="仿宋_GB2312" w:hAnsi="宋体" w:eastAsia="仿宋_GB2312" w:cs="Times New Roman"/>
          <w:sz w:val="32"/>
          <w:szCs w:val="32"/>
          <w:lang w:val="zh-CN"/>
        </w:rPr>
      </w:pPr>
      <w:r>
        <w:rPr>
          <w:rFonts w:hint="eastAsia" w:ascii="楷体_GB2312" w:hAnsi="宋体" w:eastAsia="楷体_GB2312" w:cs="Times New Roman"/>
          <w:sz w:val="32"/>
          <w:szCs w:val="32"/>
          <w:lang w:val="zh-CN"/>
        </w:rPr>
        <w:t>1.资金计划及到位。</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年，市财政通过预算调剂，打捆下达2018</w:t>
      </w:r>
      <w:r>
        <w:rPr>
          <w:rFonts w:hint="eastAsia" w:eastAsia="仿宋_GB2312" w:cs="Times New Roman"/>
          <w:sz w:val="32"/>
          <w:szCs w:val="32"/>
          <w:lang w:eastAsia="zh-CN"/>
        </w:rPr>
        <w:t>—</w:t>
      </w:r>
      <w:r>
        <w:rPr>
          <w:rFonts w:ascii="Times New Roman" w:hAnsi="Times New Roman" w:eastAsia="仿宋_GB2312" w:cs="Times New Roman"/>
          <w:sz w:val="32"/>
          <w:szCs w:val="32"/>
        </w:rPr>
        <w:t>2021年地灾项目资金</w:t>
      </w:r>
      <w:r>
        <w:rPr>
          <w:rFonts w:hint="eastAsia" w:ascii="Times New Roman" w:hAnsi="Times New Roman" w:eastAsia="仿宋_GB2312" w:cs="Times New Roman"/>
          <w:sz w:val="32"/>
          <w:szCs w:val="32"/>
          <w:lang w:val="en-US" w:eastAsia="zh-CN"/>
        </w:rPr>
        <w:t>90.64</w:t>
      </w:r>
      <w:r>
        <w:rPr>
          <w:rFonts w:ascii="Times New Roman" w:hAnsi="Times New Roman" w:eastAsia="仿宋_GB2312" w:cs="Times New Roman"/>
          <w:sz w:val="32"/>
          <w:szCs w:val="32"/>
        </w:rPr>
        <w:t>万元。</w:t>
      </w:r>
    </w:p>
    <w:p w14:paraId="2AEFE5D9">
      <w:pPr>
        <w:adjustRightInd w:val="0"/>
        <w:snapToGrid w:val="0"/>
        <w:spacing w:line="560" w:lineRule="exact"/>
        <w:ind w:firstLine="720"/>
        <w:rPr>
          <w:rFonts w:ascii="仿宋_GB2312" w:hAnsi="宋体" w:eastAsia="仿宋_GB2312" w:cs="Times New Roman"/>
          <w:sz w:val="32"/>
          <w:szCs w:val="32"/>
          <w:lang w:val="zh-CN"/>
        </w:rPr>
      </w:pPr>
      <w:r>
        <w:rPr>
          <w:rFonts w:hint="eastAsia" w:ascii="楷体_GB2312" w:hAnsi="宋体" w:eastAsia="楷体_GB2312" w:cs="Times New Roman"/>
          <w:sz w:val="32"/>
          <w:szCs w:val="32"/>
          <w:lang w:val="zh-CN"/>
        </w:rPr>
        <w:t>2.资金使用。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年实际完成2018</w:t>
      </w:r>
      <w:r>
        <w:rPr>
          <w:rFonts w:hint="eastAsia" w:eastAsia="仿宋_GB2312" w:cs="Times New Roman"/>
          <w:sz w:val="32"/>
          <w:szCs w:val="32"/>
          <w:lang w:eastAsia="zh-CN"/>
        </w:rPr>
        <w:t>—</w:t>
      </w:r>
      <w:r>
        <w:rPr>
          <w:rFonts w:ascii="Times New Roman" w:hAnsi="Times New Roman" w:eastAsia="仿宋_GB2312" w:cs="Times New Roman"/>
          <w:sz w:val="32"/>
          <w:szCs w:val="32"/>
        </w:rPr>
        <w:t>2021年地灾项目资金支出</w:t>
      </w:r>
      <w:r>
        <w:rPr>
          <w:rFonts w:hint="eastAsia" w:ascii="Times New Roman" w:hAnsi="Times New Roman" w:eastAsia="仿宋_GB2312" w:cs="Times New Roman"/>
          <w:sz w:val="32"/>
          <w:szCs w:val="32"/>
          <w:lang w:val="en-US" w:eastAsia="zh-CN"/>
        </w:rPr>
        <w:t>90.64</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4563131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6FE1ADA0">
      <w:pPr>
        <w:adjustRightInd w:val="0"/>
        <w:snapToGrid w:val="0"/>
        <w:spacing w:line="56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0127B465">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0BE23879">
      <w:pPr>
        <w:adjustRightInd w:val="0"/>
        <w:snapToGrid w:val="0"/>
        <w:spacing w:line="560" w:lineRule="exact"/>
        <w:ind w:firstLine="720"/>
        <w:rPr>
          <w:rFonts w:ascii="仿宋_GB2312" w:hAnsi="宋体" w:eastAsia="仿宋_GB2312" w:cs="Times New Roman"/>
          <w:sz w:val="32"/>
          <w:szCs w:val="32"/>
          <w:lang w:val="zh-CN"/>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073AE660">
      <w:pPr>
        <w:numPr>
          <w:ilvl w:val="0"/>
          <w:numId w:val="31"/>
        </w:numPr>
        <w:adjustRightInd w:val="0"/>
        <w:snapToGrid w:val="0"/>
        <w:spacing w:line="600" w:lineRule="exact"/>
        <w:ind w:firstLine="643" w:firstLineChars="2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05242F4A">
      <w:pPr>
        <w:numPr>
          <w:ilvl w:val="0"/>
          <w:numId w:val="0"/>
        </w:numPr>
        <w:adjustRightInd w:val="0"/>
        <w:snapToGrid w:val="0"/>
        <w:spacing w:line="600" w:lineRule="exact"/>
        <w:ind w:firstLine="960" w:firstLineChars="3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组织架构：项目业主由攀枝花市自然资源和规划局仁和区分局担任，局长姚永总负责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分管领导由郑压帝副局长兼任，矿管股承担具体工作。施工进场后下设项目经理、技术负责人、安全员、材料员、资料员、总监理师等，确保项目高效、有序、安全推进。</w:t>
      </w:r>
    </w:p>
    <w:p w14:paraId="13CA62B7">
      <w:pPr>
        <w:adjustRightInd w:val="0"/>
        <w:snapToGrid w:val="0"/>
        <w:spacing w:line="600" w:lineRule="exact"/>
        <w:ind w:firstLine="72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677307FA">
      <w:pPr>
        <w:numPr>
          <w:ilvl w:val="0"/>
          <w:numId w:val="31"/>
        </w:numPr>
        <w:adjustRightInd w:val="0"/>
        <w:snapToGrid w:val="0"/>
        <w:spacing w:line="600" w:lineRule="exact"/>
        <w:ind w:left="0" w:leftChars="0" w:firstLine="643" w:firstLineChars="200"/>
        <w:rPr>
          <w:rFonts w:hint="default"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7C54BC68">
      <w:pPr>
        <w:numPr>
          <w:ilvl w:val="0"/>
          <w:numId w:val="0"/>
        </w:numPr>
        <w:adjustRightInd w:val="0"/>
        <w:snapToGrid w:val="0"/>
        <w:spacing w:line="600" w:lineRule="exact"/>
        <w:ind w:firstLine="643" w:firstLineChars="20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23EA1CF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1D7BB1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68414A8C">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2018</w:t>
      </w:r>
      <w:r>
        <w:rPr>
          <w:rFonts w:hint="eastAsia" w:eastAsia="仿宋_GB2312" w:cs="Times New Roman"/>
          <w:sz w:val="32"/>
          <w:szCs w:val="32"/>
          <w:lang w:eastAsia="zh-CN"/>
        </w:rPr>
        <w:t>—</w:t>
      </w:r>
      <w:r>
        <w:rPr>
          <w:rFonts w:ascii="Times New Roman" w:hAnsi="Times New Roman" w:eastAsia="仿宋_GB2312" w:cs="Times New Roman"/>
          <w:sz w:val="32"/>
          <w:szCs w:val="32"/>
        </w:rPr>
        <w:t>2021年地灾防治项目包括7个批次，16个子项目建设：</w:t>
      </w:r>
    </w:p>
    <w:p w14:paraId="610112F9">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2018年两个批次自动化监测项目完成并通过验收；</w:t>
      </w:r>
    </w:p>
    <w:p w14:paraId="0C266BF8">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2019年自动化专业监测项目完成并通过验收；</w:t>
      </w:r>
    </w:p>
    <w:p w14:paraId="511EBDAB">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2018年地质灾害防治体系项目已完成并通过验收</w:t>
      </w:r>
      <w:r>
        <w:rPr>
          <w:rFonts w:hint="eastAsia" w:eastAsia="仿宋_GB2312" w:cs="Times New Roman"/>
          <w:sz w:val="32"/>
          <w:szCs w:val="32"/>
          <w:lang w:val="en-US" w:eastAsia="zh-CN"/>
        </w:rPr>
        <w:t>；</w:t>
      </w:r>
    </w:p>
    <w:p w14:paraId="119674B1">
      <w:pPr>
        <w:ind w:firstLine="640" w:firstLineChars="20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2020年第二批地灾项目已完成并通过验收，完成支出</w:t>
      </w:r>
      <w:r>
        <w:rPr>
          <w:rFonts w:hint="eastAsia" w:ascii="Times New Roman" w:hAnsi="Times New Roman" w:eastAsia="仿宋_GB2312" w:cs="Times New Roman"/>
          <w:sz w:val="32"/>
          <w:szCs w:val="32"/>
          <w:lang w:val="en-US" w:eastAsia="zh-CN"/>
        </w:rPr>
        <w:t>11.45</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其中</w:t>
      </w:r>
      <w:r>
        <w:rPr>
          <w:rFonts w:ascii="Times New Roman" w:hAnsi="Times New Roman" w:eastAsia="仿宋_GB2312" w:cs="Times New Roman"/>
          <w:sz w:val="32"/>
          <w:szCs w:val="32"/>
        </w:rPr>
        <w:t>大龙潭乡陈永平门前滑坡支出</w:t>
      </w:r>
      <w:r>
        <w:rPr>
          <w:rFonts w:hint="eastAsia" w:ascii="Times New Roman" w:hAnsi="Times New Roman" w:eastAsia="仿宋_GB2312" w:cs="Times New Roman"/>
          <w:sz w:val="32"/>
          <w:szCs w:val="32"/>
          <w:lang w:val="en-US" w:eastAsia="zh-CN"/>
        </w:rPr>
        <w:t>6.05</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，大龙潭乡裕民村新村组滑坡治理</w:t>
      </w:r>
      <w:r>
        <w:rPr>
          <w:rFonts w:hint="eastAsia" w:ascii="Times New Roman" w:hAnsi="Times New Roman" w:eastAsia="仿宋_GB2312" w:cs="Times New Roman"/>
          <w:sz w:val="32"/>
          <w:szCs w:val="32"/>
          <w:lang w:val="en-US" w:eastAsia="zh-CN"/>
        </w:rPr>
        <w:t>5.4万元</w:t>
      </w:r>
      <w:r>
        <w:rPr>
          <w:rFonts w:hint="eastAsia" w:ascii="Times New Roman" w:hAnsi="Times New Roman" w:eastAsia="仿宋_GB2312" w:cs="Times New Roman"/>
          <w:sz w:val="32"/>
          <w:szCs w:val="32"/>
          <w:lang w:eastAsia="zh-CN"/>
        </w:rPr>
        <w:t>。</w:t>
      </w:r>
    </w:p>
    <w:p w14:paraId="1E1A1B41">
      <w:pPr>
        <w:ind w:firstLine="64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2020年第五批省级地灾项目完</w:t>
      </w:r>
      <w:r>
        <w:rPr>
          <w:rFonts w:ascii="Times New Roman" w:hAnsi="Times New Roman" w:eastAsia="仿宋_GB2312" w:cs="Times New Roman"/>
          <w:sz w:val="32"/>
          <w:szCs w:val="32"/>
          <w:highlight w:val="none"/>
        </w:rPr>
        <w:t>成并</w:t>
      </w:r>
      <w:r>
        <w:rPr>
          <w:rFonts w:ascii="Times New Roman" w:hAnsi="Times New Roman" w:eastAsia="仿宋_GB2312" w:cs="Times New Roman"/>
          <w:sz w:val="32"/>
          <w:szCs w:val="32"/>
        </w:rPr>
        <w:t>通过验收</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val="en-US" w:eastAsia="zh-CN"/>
        </w:rPr>
        <w:t>完成支出45.8万元，其他务本乡乌拉村杨家湾滑坡治理支出20.2万元，平地镇辣子哨烟子房滑坡治理8.5万元，务本乡垭口村余家湾滑坡治理支出17.1万元</w:t>
      </w:r>
      <w:r>
        <w:rPr>
          <w:rFonts w:hint="eastAsia" w:ascii="Times New Roman" w:hAnsi="Times New Roman" w:eastAsia="仿宋_GB2312" w:cs="Times New Roman"/>
          <w:sz w:val="32"/>
          <w:szCs w:val="32"/>
          <w:lang w:eastAsia="zh-CN"/>
        </w:rPr>
        <w:t>；</w:t>
      </w:r>
    </w:p>
    <w:p w14:paraId="49FEBD5F">
      <w:pPr>
        <w:ind w:firstLine="64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2021年第一批中央地灾项目完成并通过验收</w:t>
      </w:r>
      <w:r>
        <w:rPr>
          <w:rFonts w:hint="eastAsia" w:ascii="Times New Roman" w:hAnsi="Times New Roman" w:eastAsia="仿宋_GB2312" w:cs="Times New Roman"/>
          <w:sz w:val="32"/>
          <w:szCs w:val="32"/>
          <w:lang w:eastAsia="zh-CN"/>
        </w:rPr>
        <w:t>，完成支出</w:t>
      </w:r>
      <w:r>
        <w:rPr>
          <w:rFonts w:hint="eastAsia" w:ascii="Times New Roman" w:hAnsi="Times New Roman" w:eastAsia="仿宋_GB2312" w:cs="Times New Roman"/>
          <w:sz w:val="32"/>
          <w:szCs w:val="32"/>
          <w:lang w:val="en-US" w:eastAsia="zh-CN"/>
        </w:rPr>
        <w:t>25.4万元，</w:t>
      </w:r>
      <w:r>
        <w:rPr>
          <w:rFonts w:ascii="Times New Roman" w:hAnsi="Times New Roman" w:eastAsia="仿宋_GB2312" w:cs="Times New Roman"/>
          <w:sz w:val="32"/>
          <w:szCs w:val="32"/>
        </w:rPr>
        <w:t>其中同德镇双河村</w:t>
      </w:r>
      <w:r>
        <w:rPr>
          <w:rFonts w:hint="eastAsia" w:ascii="Times New Roman" w:hAnsi="Times New Roman" w:eastAsia="仿宋_GB2312" w:cs="Times New Roman"/>
          <w:sz w:val="32"/>
          <w:szCs w:val="32"/>
          <w:lang w:eastAsia="zh-CN"/>
        </w:rPr>
        <w:t>石碓窝</w:t>
      </w:r>
      <w:r>
        <w:rPr>
          <w:rFonts w:ascii="Times New Roman" w:hAnsi="Times New Roman" w:eastAsia="仿宋_GB2312" w:cs="Times New Roman"/>
          <w:sz w:val="32"/>
          <w:szCs w:val="32"/>
        </w:rPr>
        <w:t>地灾治理支出</w:t>
      </w:r>
      <w:r>
        <w:rPr>
          <w:rFonts w:hint="eastAsia" w:ascii="Times New Roman" w:hAnsi="Times New Roman" w:eastAsia="仿宋_GB2312" w:cs="Times New Roman"/>
          <w:sz w:val="32"/>
          <w:szCs w:val="32"/>
          <w:lang w:val="en-US" w:eastAsia="zh-CN"/>
        </w:rPr>
        <w:t>13.1</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，平地磅海箐危岩处理支出</w:t>
      </w:r>
      <w:r>
        <w:rPr>
          <w:rFonts w:hint="eastAsia" w:ascii="Times New Roman" w:hAnsi="Times New Roman" w:eastAsia="仿宋_GB2312" w:cs="Times New Roman"/>
          <w:sz w:val="32"/>
          <w:szCs w:val="32"/>
          <w:lang w:val="en-US" w:eastAsia="zh-CN"/>
        </w:rPr>
        <w:t>12.3万元</w:t>
      </w:r>
      <w:r>
        <w:rPr>
          <w:rFonts w:hint="eastAsia" w:ascii="Times New Roman" w:hAnsi="Times New Roman" w:eastAsia="仿宋_GB2312" w:cs="Times New Roman"/>
          <w:sz w:val="32"/>
          <w:szCs w:val="32"/>
          <w:lang w:eastAsia="zh-CN"/>
        </w:rPr>
        <w:t>；</w:t>
      </w:r>
    </w:p>
    <w:p w14:paraId="472CBC92">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2021年第二批省级地灾项目完成并通过验收，完成支出</w:t>
      </w:r>
      <w:r>
        <w:rPr>
          <w:rFonts w:hint="eastAsia" w:ascii="Times New Roman" w:hAnsi="Times New Roman" w:eastAsia="仿宋_GB2312" w:cs="Times New Roman"/>
          <w:sz w:val="32"/>
          <w:szCs w:val="32"/>
          <w:lang w:val="en-US" w:eastAsia="zh-CN"/>
        </w:rPr>
        <w:t>8</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其中大龙潭迆资村河底组滑坡治理支出</w:t>
      </w:r>
      <w:r>
        <w:rPr>
          <w:rFonts w:hint="eastAsia" w:ascii="Times New Roman" w:hAnsi="Times New Roman" w:eastAsia="仿宋_GB2312" w:cs="Times New Roman"/>
          <w:sz w:val="32"/>
          <w:szCs w:val="32"/>
          <w:lang w:val="en-US" w:eastAsia="zh-CN"/>
        </w:rPr>
        <w:t>8万元；</w:t>
      </w:r>
    </w:p>
    <w:p w14:paraId="394F9E2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4D168B4D">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自动化监测体系建设，增加防灾科技含量，使人防和技防科学结合，达到有效开展防灾工作目的。地灾治理项目及时消除安全隐患，在保护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6AC8C49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347E9BD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F756871">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ascii="Times New Roman" w:hAnsi="Times New Roman" w:eastAsia="仿宋_GB2312" w:cs="Times New Roman"/>
          <w:sz w:val="32"/>
          <w:szCs w:val="32"/>
          <w:lang w:val="zh-CN"/>
        </w:rPr>
        <w:t>结合项目自身特点、评价重点及管理办法等要求，围绕专项项目支出绩效评价指标体系对项目进行总体评价。</w:t>
      </w:r>
    </w:p>
    <w:p w14:paraId="389ABAE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17412509">
      <w:pPr>
        <w:adjustRightInd w:val="0"/>
        <w:snapToGrid w:val="0"/>
        <w:spacing w:line="600" w:lineRule="exact"/>
        <w:ind w:firstLine="1280" w:firstLineChars="4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4EDDFDE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AEFA310">
      <w:pPr>
        <w:ind w:firstLine="1280" w:firstLineChars="4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1E26C692">
      <w:pPr>
        <w:widowControl/>
        <w:jc w:val="center"/>
        <w:outlineLvl w:val="0"/>
        <w:rPr>
          <w:rFonts w:hint="eastAsia" w:ascii="Times New Roman" w:hAnsi="Times New Roman" w:eastAsia="黑体"/>
          <w:color w:val="auto"/>
          <w:sz w:val="44"/>
          <w:szCs w:val="44"/>
          <w:highlight w:val="none"/>
        </w:rPr>
      </w:pPr>
    </w:p>
    <w:p w14:paraId="117585E6">
      <w:pPr>
        <w:widowControl/>
        <w:jc w:val="center"/>
        <w:outlineLvl w:val="0"/>
        <w:rPr>
          <w:rFonts w:hint="eastAsia" w:ascii="Times New Roman" w:hAnsi="Times New Roman" w:eastAsia="黑体"/>
          <w:color w:val="auto"/>
          <w:sz w:val="44"/>
          <w:szCs w:val="44"/>
          <w:highlight w:val="none"/>
        </w:rPr>
      </w:pPr>
    </w:p>
    <w:p w14:paraId="4CC96CFF">
      <w:pPr>
        <w:widowControl/>
        <w:jc w:val="center"/>
        <w:outlineLvl w:val="0"/>
        <w:rPr>
          <w:rFonts w:hint="eastAsia" w:ascii="Times New Roman" w:hAnsi="Times New Roman" w:eastAsia="黑体"/>
          <w:color w:val="auto"/>
          <w:sz w:val="44"/>
          <w:szCs w:val="44"/>
          <w:highlight w:val="none"/>
        </w:rPr>
      </w:pPr>
    </w:p>
    <w:p w14:paraId="218FF11E">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66470678">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33EF285F">
      <w:pPr>
        <w:widowControl w:val="0"/>
        <w:spacing w:line="600" w:lineRule="exact"/>
        <w:jc w:val="center"/>
        <w:outlineLvl w:val="3"/>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2022年第一批中央地灾防治项目</w:t>
      </w:r>
      <w:r>
        <w:rPr>
          <w:rFonts w:ascii="Times New Roman" w:hAnsi="Times New Roman" w:eastAsia="仿宋_GB2312" w:cs="Times New Roman"/>
          <w:color w:val="auto"/>
          <w:kern w:val="2"/>
          <w:sz w:val="32"/>
          <w:szCs w:val="32"/>
          <w:lang w:val="zh-CN" w:eastAsia="zh-CN" w:bidi="ar-SA"/>
        </w:rPr>
        <w:t>）</w:t>
      </w:r>
    </w:p>
    <w:p w14:paraId="58BABAF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34C62FC">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69967EF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5D5EA1A2">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2022年第一批中央地灾防治项目包括同德镇道中桥滑坡治理工程、中坝乡炳密滑坡治理工程；</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组织实施，督促中标单位按时保量完成治理工程；</w:t>
      </w:r>
      <w:r>
        <w:rPr>
          <w:rFonts w:ascii="Times New Roman" w:hAnsi="Times New Roman" w:eastAsia="仿宋_GB2312" w:cs="Times New Roman"/>
          <w:sz w:val="32"/>
          <w:szCs w:val="32"/>
        </w:rPr>
        <w:t>所有工程款项均按合同约定支付</w:t>
      </w:r>
      <w:r>
        <w:rPr>
          <w:rFonts w:hint="eastAsia" w:ascii="Times New Roman" w:hAnsi="Times New Roman" w:eastAsia="仿宋_GB2312" w:cs="Times New Roman"/>
          <w:sz w:val="32"/>
          <w:szCs w:val="32"/>
          <w:lang w:eastAsia="zh-CN"/>
        </w:rPr>
        <w:t>。</w:t>
      </w:r>
    </w:p>
    <w:p w14:paraId="50B50A41">
      <w:pPr>
        <w:numPr>
          <w:ilvl w:val="0"/>
          <w:numId w:val="32"/>
        </w:num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项目绩效目标。</w:t>
      </w:r>
    </w:p>
    <w:p w14:paraId="53AE9B6F">
      <w:pPr>
        <w:ind w:firstLine="643" w:firstLineChars="200"/>
        <w:rPr>
          <w:rFonts w:hint="default"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 xml:space="preserve">  </w:t>
      </w:r>
      <w:r>
        <w:rPr>
          <w:rFonts w:hint="eastAsia" w:ascii="Times New Roman" w:hAnsi="Times New Roman" w:eastAsia="仿宋_GB2312" w:cs="Times New Roman"/>
          <w:sz w:val="32"/>
          <w:szCs w:val="32"/>
          <w:lang w:val="en-US" w:eastAsia="zh-CN"/>
        </w:rPr>
        <w:t>按时完成同德镇道中桥滑坡治理工程、中坝乡炳密滑坡治理工程，</w:t>
      </w:r>
      <w:r>
        <w:rPr>
          <w:rFonts w:ascii="Times New Roman" w:hAnsi="Times New Roman" w:eastAsia="仿宋_GB2312" w:cs="Times New Roman"/>
          <w:sz w:val="32"/>
          <w:szCs w:val="32"/>
        </w:rPr>
        <w:t>并通过验收，确保人民群众生命财产安全</w:t>
      </w:r>
      <w:r>
        <w:rPr>
          <w:rFonts w:ascii="Times New Roman" w:hAnsi="Times New Roman" w:eastAsia="仿宋_GB2312" w:cs="Times New Roman"/>
          <w:sz w:val="32"/>
          <w:szCs w:val="32"/>
          <w:lang w:val="zh-CN"/>
        </w:rPr>
        <w:t>。</w:t>
      </w:r>
    </w:p>
    <w:p w14:paraId="7BC00B0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21DBDC9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4C16EBF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266272E9">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65C73429">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0B4E1E95">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4EC9CAA1">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1399340F">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770BF85B">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06A663D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49D106C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365730AE">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项目资金由攀枝花市财政局关于</w:t>
      </w:r>
      <w:r>
        <w:rPr>
          <w:rFonts w:hint="eastAsia" w:ascii="Times New Roman" w:hAnsi="Times New Roman" w:eastAsia="仿宋_GB2312" w:cs="Times New Roman"/>
          <w:sz w:val="32"/>
          <w:szCs w:val="32"/>
          <w:lang w:eastAsia="zh-CN"/>
        </w:rPr>
        <w:t>追加</w:t>
      </w:r>
      <w:r>
        <w:rPr>
          <w:rFonts w:hint="eastAsia" w:ascii="Times New Roman" w:hAnsi="Times New Roman" w:eastAsia="仿宋_GB2312" w:cs="Times New Roman"/>
          <w:sz w:val="32"/>
          <w:szCs w:val="32"/>
          <w:lang w:val="en-US" w:eastAsia="zh-CN"/>
        </w:rPr>
        <w:t>2022年第一批中央地灾防治项目</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号）下达。</w:t>
      </w:r>
    </w:p>
    <w:p w14:paraId="521205F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4B2B67F7">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年，市财政通过预算调剂</w:t>
      </w:r>
      <w:r>
        <w:rPr>
          <w:rFonts w:hint="eastAsia" w:ascii="Times New Roman" w:hAnsi="Times New Roman" w:eastAsia="仿宋_GB2312" w:cs="Times New Roman"/>
          <w:sz w:val="32"/>
          <w:szCs w:val="32"/>
          <w:lang w:eastAsia="zh-CN"/>
        </w:rPr>
        <w:t>下达</w:t>
      </w:r>
      <w:r>
        <w:rPr>
          <w:rFonts w:hint="eastAsia" w:ascii="Times New Roman" w:hAnsi="Times New Roman" w:eastAsia="仿宋_GB2312" w:cs="Times New Roman"/>
          <w:sz w:val="32"/>
          <w:szCs w:val="32"/>
          <w:lang w:val="en-US" w:eastAsia="zh-CN"/>
        </w:rPr>
        <w:t>2022年第一批中央地灾防治资金8.3万元</w:t>
      </w:r>
      <w:r>
        <w:rPr>
          <w:rFonts w:ascii="Times New Roman" w:hAnsi="Times New Roman" w:eastAsia="仿宋_GB2312" w:cs="Times New Roman"/>
          <w:sz w:val="32"/>
          <w:szCs w:val="32"/>
          <w:lang w:val="zh-CN"/>
        </w:rPr>
        <w:t>。</w:t>
      </w:r>
    </w:p>
    <w:p w14:paraId="40C5859A">
      <w:pPr>
        <w:adjustRightInd w:val="0"/>
        <w:snapToGrid w:val="0"/>
        <w:spacing w:line="560" w:lineRule="exact"/>
        <w:ind w:firstLine="720"/>
        <w:rPr>
          <w:rFonts w:hint="eastAsia" w:ascii="Times New Roman" w:hAnsi="Times New Roman" w:eastAsia="仿宋_GB2312" w:cs="Times New Roman"/>
          <w:sz w:val="32"/>
          <w:szCs w:val="32"/>
          <w:lang w:eastAsia="zh-CN"/>
        </w:rPr>
      </w:pPr>
      <w:r>
        <w:rPr>
          <w:rFonts w:hint="eastAsia" w:eastAsia="楷体_GB2312" w:cs="Times New Roman"/>
          <w:sz w:val="32"/>
          <w:szCs w:val="32"/>
          <w:lang w:val="zh-CN"/>
        </w:rPr>
        <w:t>2.</w:t>
      </w:r>
      <w:r>
        <w:rPr>
          <w:rFonts w:ascii="Times New Roman" w:hAnsi="Times New Roman" w:eastAsia="楷体_GB2312" w:cs="Times New Roman"/>
          <w:sz w:val="32"/>
          <w:szCs w:val="32"/>
          <w:lang w:val="zh-CN"/>
        </w:rPr>
        <w:t>资金到位。</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市财政下达</w:t>
      </w:r>
      <w:r>
        <w:rPr>
          <w:rFonts w:hint="eastAsia" w:ascii="Times New Roman" w:hAnsi="Times New Roman" w:eastAsia="仿宋_GB2312" w:cs="Times New Roman"/>
          <w:sz w:val="32"/>
          <w:szCs w:val="32"/>
          <w:lang w:val="en-US" w:eastAsia="zh-CN"/>
        </w:rPr>
        <w:t>2022</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第一批中央</w:t>
      </w:r>
      <w:r>
        <w:rPr>
          <w:rFonts w:ascii="Times New Roman" w:hAnsi="Times New Roman" w:eastAsia="仿宋_GB2312" w:cs="Times New Roman"/>
          <w:sz w:val="32"/>
          <w:szCs w:val="32"/>
        </w:rPr>
        <w:t>地灾项目资金支出</w:t>
      </w:r>
      <w:r>
        <w:rPr>
          <w:rFonts w:hint="eastAsia" w:ascii="Times New Roman" w:hAnsi="Times New Roman" w:eastAsia="仿宋_GB2312" w:cs="Times New Roman"/>
          <w:sz w:val="32"/>
          <w:szCs w:val="32"/>
          <w:lang w:val="en-US" w:eastAsia="zh-CN"/>
        </w:rPr>
        <w:t>8.3</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w:t>
      </w:r>
    </w:p>
    <w:p w14:paraId="54E1273D">
      <w:pPr>
        <w:adjustRightInd w:val="0"/>
        <w:snapToGrid w:val="0"/>
        <w:spacing w:line="56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3.</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sz w:val="32"/>
          <w:szCs w:val="32"/>
          <w:lang w:val="en-US" w:eastAsia="zh-CN"/>
        </w:rPr>
        <w:t>2022</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第一批中央</w:t>
      </w:r>
      <w:r>
        <w:rPr>
          <w:rFonts w:ascii="Times New Roman" w:hAnsi="Times New Roman" w:eastAsia="仿宋_GB2312" w:cs="Times New Roman"/>
          <w:sz w:val="32"/>
          <w:szCs w:val="32"/>
        </w:rPr>
        <w:t>地灾项目资金支出</w:t>
      </w:r>
      <w:r>
        <w:rPr>
          <w:rFonts w:hint="eastAsia" w:ascii="Times New Roman" w:hAnsi="Times New Roman" w:eastAsia="仿宋_GB2312" w:cs="Times New Roman"/>
          <w:sz w:val="32"/>
          <w:szCs w:val="32"/>
          <w:lang w:val="en-US" w:eastAsia="zh-CN"/>
        </w:rPr>
        <w:t>8.3</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1398425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17425C3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2336912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5FFAC5C">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5924E8DF">
      <w:pPr>
        <w:numPr>
          <w:ilvl w:val="0"/>
          <w:numId w:val="33"/>
        </w:num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42DF2B09">
      <w:pPr>
        <w:numPr>
          <w:ilvl w:val="0"/>
          <w:numId w:val="0"/>
        </w:numPr>
        <w:adjustRightInd w:val="0"/>
        <w:snapToGrid w:val="0"/>
        <w:spacing w:line="600" w:lineRule="exact"/>
        <w:ind w:firstLine="643" w:firstLineChars="200"/>
        <w:rPr>
          <w:rFonts w:hint="eastAsia" w:ascii="Times New Roman" w:hAnsi="Times New Roman" w:eastAsia="仿宋_GB2312" w:cs="Times New Roman"/>
          <w:sz w:val="32"/>
          <w:szCs w:val="32"/>
          <w:lang w:val="zh-CN" w:eastAsia="zh-CN"/>
        </w:rPr>
      </w:pPr>
      <w:r>
        <w:rPr>
          <w:rFonts w:hint="eastAsia" w:ascii="Times New Roman" w:hAnsi="Times New Roman" w:eastAsia="楷体_GB2312" w:cs="Times New Roman"/>
          <w:b/>
          <w:sz w:val="32"/>
          <w:szCs w:val="32"/>
          <w:lang w:val="en-US" w:eastAsia="zh-CN"/>
        </w:rPr>
        <w:t xml:space="preserve"> </w:t>
      </w:r>
      <w:r>
        <w:rPr>
          <w:rFonts w:hint="eastAsia" w:ascii="Times New Roman" w:hAnsi="Times New Roman" w:eastAsia="仿宋_GB2312" w:cs="Times New Roman"/>
          <w:sz w:val="32"/>
          <w:szCs w:val="32"/>
          <w:lang w:val="zh-CN" w:eastAsia="zh-CN"/>
        </w:rPr>
        <w:t>组织架构：项目业主由攀枝花市自然资源和规划局仁和区分局担任，局长姚永总负责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分管领导由郑压帝副局长兼任，矿管股承担具体工作。施工进场后下设项目经理、技术负责人、安全员、材料员、资料员、总监理师等，确保项目高效、有序、安全推进。</w:t>
      </w:r>
    </w:p>
    <w:p w14:paraId="0BBDD492">
      <w:pPr>
        <w:numPr>
          <w:ilvl w:val="0"/>
          <w:numId w:val="0"/>
        </w:numPr>
        <w:adjustRightInd w:val="0"/>
        <w:snapToGrid w:val="0"/>
        <w:spacing w:line="600" w:lineRule="exact"/>
        <w:ind w:firstLine="640" w:firstLineChars="200"/>
        <w:rPr>
          <w:rFonts w:hint="default" w:ascii="Times New Roman" w:hAnsi="Times New Roman" w:eastAsia="楷体_GB2312" w:cs="Times New Roman"/>
          <w:b/>
          <w:sz w:val="32"/>
          <w:szCs w:val="32"/>
          <w:lang w:val="en-US" w:eastAsia="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49024444">
      <w:pPr>
        <w:numPr>
          <w:ilvl w:val="0"/>
          <w:numId w:val="0"/>
        </w:numPr>
        <w:adjustRightInd w:val="0"/>
        <w:snapToGrid w:val="0"/>
        <w:spacing w:line="600" w:lineRule="exact"/>
        <w:ind w:firstLine="643" w:firstLineChars="200"/>
        <w:rPr>
          <w:rFonts w:ascii="Times New Roman" w:hAnsi="Times New Roman" w:eastAsia="仿宋_GB2312" w:cs="Times New Roman"/>
          <w:sz w:val="32"/>
          <w:szCs w:val="32"/>
          <w:lang w:val="zh-CN"/>
        </w:rPr>
      </w:pPr>
      <w:r>
        <w:rPr>
          <w:rFonts w:hint="eastAsia" w:ascii="Times New Roman" w:hAnsi="Times New Roman" w:eastAsia="楷体_GB2312" w:cs="Times New Roman"/>
          <w:b/>
          <w:sz w:val="32"/>
          <w:szCs w:val="32"/>
          <w:lang w:val="zh-CN"/>
        </w:rPr>
        <w:t>（</w:t>
      </w:r>
      <w:r>
        <w:rPr>
          <w:rFonts w:ascii="Times New Roman" w:hAnsi="Times New Roman" w:eastAsia="楷体_GB2312" w:cs="Times New Roman"/>
          <w:b/>
          <w:sz w:val="32"/>
          <w:szCs w:val="32"/>
          <w:lang w:val="zh-CN"/>
        </w:rPr>
        <w:t>二</w:t>
      </w:r>
      <w:r>
        <w:rPr>
          <w:rFonts w:hint="eastAsia" w:ascii="Times New Roman" w:hAnsi="Times New Roman" w:eastAsia="楷体_GB2312" w:cs="Times New Roman"/>
          <w:b/>
          <w:sz w:val="32"/>
          <w:szCs w:val="32"/>
          <w:lang w:val="zh-CN"/>
        </w:rPr>
        <w:t>）</w:t>
      </w:r>
      <w:r>
        <w:rPr>
          <w:rFonts w:ascii="Times New Roman" w:hAnsi="Times New Roman" w:eastAsia="楷体_GB2312" w:cs="Times New Roman"/>
          <w:b/>
          <w:sz w:val="32"/>
          <w:szCs w:val="32"/>
          <w:lang w:val="zh-CN"/>
        </w:rPr>
        <w:t>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25FF7B8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w:t>
      </w:r>
      <w:r>
        <w:rPr>
          <w:rFonts w:ascii="Times New Roman" w:hAnsi="Times New Roman" w:eastAsia="仿宋_GB2312" w:cs="Times New Roman"/>
          <w:sz w:val="32"/>
          <w:szCs w:val="32"/>
          <w:lang w:val="zh-CN"/>
        </w:rPr>
        <w:t>加强</w:t>
      </w:r>
      <w:r>
        <w:rPr>
          <w:rFonts w:hint="eastAsia" w:ascii="Times New Roman" w:hAnsi="Times New Roman" w:eastAsia="仿宋_GB2312" w:cs="Times New Roman"/>
          <w:sz w:val="32"/>
          <w:szCs w:val="32"/>
          <w:lang w:val="zh-CN"/>
        </w:rPr>
        <w:t>对项目</w:t>
      </w:r>
      <w:r>
        <w:rPr>
          <w:rFonts w:hint="eastAsia" w:ascii="Times New Roman" w:hAnsi="Times New Roman" w:eastAsia="仿宋_GB2312" w:cs="Times New Roman"/>
          <w:sz w:val="32"/>
          <w:szCs w:val="32"/>
          <w:lang w:val="zh-CN" w:eastAsia="zh-CN"/>
        </w:rPr>
        <w:t>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6282C2A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235BA84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54235749">
      <w:pPr>
        <w:adjustRightInd w:val="0"/>
        <w:snapToGrid w:val="0"/>
        <w:spacing w:line="600" w:lineRule="exact"/>
        <w:ind w:firstLine="720"/>
        <w:rPr>
          <w:rFonts w:hint="default" w:ascii="Times New Roman" w:hAnsi="Times New Roman" w:eastAsia="楷体_GB2312" w:cs="Times New Roman"/>
          <w:sz w:val="32"/>
          <w:szCs w:val="32"/>
          <w:lang w:val="en-US" w:eastAsia="zh-CN"/>
        </w:rPr>
      </w:pPr>
      <w:r>
        <w:rPr>
          <w:rFonts w:hint="eastAsia" w:ascii="Times New Roman" w:hAnsi="Times New Roman" w:eastAsia="仿宋_GB2312" w:cs="Times New Roman"/>
          <w:sz w:val="32"/>
          <w:szCs w:val="32"/>
          <w:lang w:val="en-US" w:eastAsia="zh-CN"/>
        </w:rPr>
        <w:t>2022年第一批中央地灾防治项目包括同德镇道中桥滑坡治理工程、中坝乡炳密滑坡治理工程；2个项目都已完成并通过验收，完成支付8.3万元，其中同德镇道中桥滑坡治理工程支出8.3万元。</w:t>
      </w:r>
    </w:p>
    <w:p w14:paraId="34053C7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57DAA6D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61E4EA4A">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67E1BE2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33443B3">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3385749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09689445">
      <w:pPr>
        <w:adjustRightInd w:val="0"/>
        <w:snapToGrid w:val="0"/>
        <w:spacing w:line="600" w:lineRule="exact"/>
        <w:ind w:firstLine="960" w:firstLineChars="3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3A002C7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01DBEF3C">
      <w:pPr>
        <w:ind w:firstLine="960" w:firstLineChars="3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1D9A90B5">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7ACD9474">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305FCCB3">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2024年第二批地灾防治项目（省级）</w:t>
      </w:r>
      <w:r>
        <w:rPr>
          <w:rFonts w:ascii="Times New Roman" w:hAnsi="Times New Roman" w:eastAsia="仿宋_GB2312" w:cs="Times New Roman"/>
          <w:color w:val="auto"/>
          <w:kern w:val="2"/>
          <w:sz w:val="32"/>
          <w:szCs w:val="32"/>
          <w:lang w:val="zh-CN" w:eastAsia="zh-CN" w:bidi="ar-SA"/>
        </w:rPr>
        <w:t>）</w:t>
      </w:r>
    </w:p>
    <w:p w14:paraId="646F14B0">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4644EB54">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763372D4">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0CBFC33">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b w:val="0"/>
          <w:kern w:val="2"/>
          <w:sz w:val="32"/>
          <w:szCs w:val="32"/>
          <w:lang w:val="en-US" w:eastAsia="zh-CN" w:bidi="ar-SA"/>
        </w:rPr>
        <w:t>2024年第二批地灾防治项目（省级）包括布德镇新桥村龙田组夏家岩脚崩塌治理；</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组织实施，督促中标单位按时保量完成治理工程；</w:t>
      </w:r>
      <w:r>
        <w:rPr>
          <w:rFonts w:ascii="Times New Roman" w:hAnsi="Times New Roman" w:eastAsia="仿宋_GB2312" w:cs="Times New Roman"/>
          <w:sz w:val="32"/>
          <w:szCs w:val="32"/>
        </w:rPr>
        <w:t>所有工程款项均按合同约定支</w:t>
      </w:r>
      <w:r>
        <w:rPr>
          <w:rFonts w:hint="eastAsia" w:ascii="Times New Roman" w:hAnsi="Times New Roman" w:eastAsia="仿宋_GB2312" w:cs="Times New Roman"/>
          <w:sz w:val="32"/>
          <w:szCs w:val="32"/>
          <w:lang w:eastAsia="zh-CN"/>
        </w:rPr>
        <w:t>付。</w:t>
      </w:r>
    </w:p>
    <w:p w14:paraId="29E1526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1F519F9C">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完成</w:t>
      </w:r>
      <w:r>
        <w:rPr>
          <w:rFonts w:hint="eastAsia" w:ascii="Times New Roman" w:hAnsi="Times New Roman" w:eastAsia="仿宋_GB2312" w:cs="Times New Roman"/>
          <w:b w:val="0"/>
          <w:kern w:val="2"/>
          <w:sz w:val="32"/>
          <w:szCs w:val="32"/>
          <w:lang w:val="en-US" w:eastAsia="zh-CN" w:bidi="ar-SA"/>
        </w:rPr>
        <w:t>2024年第二批地灾防治项目（省级）包括布德镇新桥村龙田组夏家岩脚崩塌治理</w:t>
      </w:r>
      <w:r>
        <w:rPr>
          <w:rFonts w:hint="eastAsia" w:ascii="Times New Roman" w:hAnsi="Times New Roman" w:eastAsia="仿宋_GB2312" w:cs="Times New Roman"/>
          <w:sz w:val="32"/>
          <w:szCs w:val="32"/>
          <w:lang w:eastAsia="zh-CN"/>
        </w:rPr>
        <w:t>勘查、勘察设计书编制、</w:t>
      </w:r>
      <w:r>
        <w:rPr>
          <w:rFonts w:ascii="Times New Roman" w:hAnsi="Times New Roman" w:eastAsia="仿宋_GB2312" w:cs="Times New Roman"/>
          <w:sz w:val="32"/>
          <w:szCs w:val="32"/>
        </w:rPr>
        <w:t>施工图设计</w:t>
      </w:r>
      <w:r>
        <w:rPr>
          <w:rFonts w:hint="eastAsia" w:ascii="Times New Roman" w:hAnsi="Times New Roman" w:eastAsia="仿宋_GB2312" w:cs="Times New Roman"/>
          <w:sz w:val="32"/>
          <w:szCs w:val="32"/>
          <w:lang w:eastAsia="zh-CN"/>
        </w:rPr>
        <w:t>等，保护人民群众生命财产安全。</w:t>
      </w:r>
    </w:p>
    <w:p w14:paraId="65C7E5A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2F55D212">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5DE0B42B">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2813EAE0">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5EC66B0E">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07F23062">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30FE9BA9">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7B93C8AA">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2841A522">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7640D47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6953C28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4D83EB6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rPr>
        <w:t>关于下达</w:t>
      </w:r>
      <w:r>
        <w:rPr>
          <w:rFonts w:hint="eastAsia" w:ascii="Times New Roman" w:hAnsi="Times New Roman" w:eastAsia="仿宋_GB2312" w:cs="Times New Roman"/>
          <w:b w:val="0"/>
          <w:kern w:val="2"/>
          <w:sz w:val="32"/>
          <w:szCs w:val="32"/>
          <w:lang w:val="en-US" w:eastAsia="zh-CN" w:bidi="ar-SA"/>
        </w:rPr>
        <w:t>2024年第二批地灾防治项目（省级）</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52</w:t>
      </w:r>
      <w:r>
        <w:rPr>
          <w:rFonts w:ascii="Times New Roman" w:hAnsi="Times New Roman" w:eastAsia="仿宋_GB2312" w:cs="Times New Roman"/>
          <w:sz w:val="32"/>
          <w:szCs w:val="32"/>
        </w:rPr>
        <w:t>号）</w:t>
      </w:r>
      <w:r>
        <w:rPr>
          <w:rFonts w:hint="eastAsia" w:eastAsia="仿宋_GB2312" w:cs="Times New Roman"/>
          <w:sz w:val="32"/>
          <w:szCs w:val="32"/>
          <w:lang w:eastAsia="zh-CN"/>
        </w:rPr>
        <w:t>文件</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w:t>
      </w:r>
    </w:p>
    <w:p w14:paraId="0BDC982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5E5A696A">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楷体_GB2312" w:cs="Times New Roman"/>
          <w:sz w:val="32"/>
          <w:szCs w:val="32"/>
          <w:lang w:val="zh-CN"/>
        </w:rPr>
        <w:t>及到位</w:t>
      </w:r>
      <w:r>
        <w:rPr>
          <w:rFonts w:ascii="Times New Roman" w:hAnsi="Times New Roman" w:eastAsia="楷体_GB2312" w:cs="Times New Roman"/>
          <w:sz w:val="32"/>
          <w:szCs w:val="32"/>
          <w:lang w:val="zh-CN"/>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b w:val="0"/>
          <w:kern w:val="2"/>
          <w:sz w:val="32"/>
          <w:szCs w:val="32"/>
          <w:lang w:val="en-US" w:eastAsia="zh-CN" w:bidi="ar-SA"/>
        </w:rPr>
        <w:t>2024年第二批地灾防治项目（省级）</w:t>
      </w:r>
      <w:r>
        <w:rPr>
          <w:rFonts w:hint="eastAsia" w:ascii="Times New Roman" w:hAnsi="Times New Roman" w:eastAsia="仿宋_GB2312" w:cs="Times New Roman"/>
          <w:color w:val="000000"/>
          <w:kern w:val="0"/>
          <w:sz w:val="32"/>
          <w:szCs w:val="32"/>
          <w:shd w:val="clear" w:color="auto" w:fill="FFFFFF"/>
          <w:lang w:val="en-US" w:eastAsia="zh-CN"/>
        </w:rPr>
        <w:t>64.99</w:t>
      </w:r>
      <w:r>
        <w:rPr>
          <w:rFonts w:ascii="Times New Roman" w:hAnsi="Times New Roman" w:eastAsia="仿宋_GB2312" w:cs="Times New Roman"/>
          <w:sz w:val="32"/>
          <w:szCs w:val="32"/>
        </w:rPr>
        <w:t>万元。</w:t>
      </w:r>
    </w:p>
    <w:p w14:paraId="006F56DF">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b w:val="0"/>
          <w:kern w:val="2"/>
          <w:sz w:val="32"/>
          <w:szCs w:val="32"/>
          <w:lang w:val="en-US" w:eastAsia="zh-CN" w:bidi="ar-SA"/>
        </w:rPr>
        <w:t>2024年第二批地灾防治项目（省级）</w:t>
      </w:r>
      <w:r>
        <w:rPr>
          <w:rFonts w:hint="eastAsia" w:ascii="Times New Roman" w:hAnsi="Times New Roman" w:eastAsia="仿宋_GB2312" w:cs="Times New Roman"/>
          <w:color w:val="000000"/>
          <w:kern w:val="0"/>
          <w:sz w:val="32"/>
          <w:szCs w:val="32"/>
          <w:shd w:val="clear" w:color="auto" w:fill="FFFFFF"/>
          <w:lang w:eastAsia="zh-CN"/>
        </w:rPr>
        <w:t>资金</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64.99</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1FB7F18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5FDF957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29FC36DE">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2AB2430D">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5FD31453">
      <w:pPr>
        <w:numPr>
          <w:ilvl w:val="0"/>
          <w:numId w:val="34"/>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654B8BA1">
      <w:pPr>
        <w:numPr>
          <w:ilvl w:val="0"/>
          <w:numId w:val="0"/>
        </w:numPr>
        <w:adjustRightInd w:val="0"/>
        <w:snapToGrid w:val="0"/>
        <w:spacing w:line="600" w:lineRule="exact"/>
        <w:ind w:firstLine="1280" w:firstLineChars="4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组织架构：项目业主由攀枝花市自然资源和规划局仁和区分局担任，局长李春龙总负责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分管领导由郑压帝副局长兼任，矿管股承担具体工作。施工进场后下设项目经理、技术负责人、安全员、材料员、资料员、总监理师等，确保项目高效、有序、安全推进。</w:t>
      </w:r>
    </w:p>
    <w:p w14:paraId="7D9DFEB9">
      <w:pPr>
        <w:numPr>
          <w:ilvl w:val="0"/>
          <w:numId w:val="35"/>
        </w:num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43CE2EED">
      <w:pPr>
        <w:adjustRightInd w:val="0"/>
        <w:snapToGrid w:val="0"/>
        <w:spacing w:line="600" w:lineRule="exact"/>
        <w:ind w:firstLine="720"/>
        <w:rPr>
          <w:rFonts w:ascii="Times New Roman" w:hAnsi="Times New Roman" w:eastAsia="楷体_GB2312" w:cs="Times New Roman"/>
          <w:b/>
          <w:sz w:val="32"/>
          <w:szCs w:val="32"/>
          <w:lang w:val="zh-CN"/>
        </w:rPr>
      </w:pPr>
    </w:p>
    <w:p w14:paraId="12A276A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116A2CF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1ABD212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B2F505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0DD51D3B">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布德镇新桥村龙田组夏家岩脚崩塌治理已</w:t>
      </w:r>
      <w:r>
        <w:rPr>
          <w:rFonts w:hint="eastAsia" w:ascii="Times New Roman" w:hAnsi="Times New Roman" w:eastAsia="仿宋_GB2312" w:cs="Times New Roman"/>
          <w:sz w:val="32"/>
          <w:szCs w:val="32"/>
          <w:lang w:eastAsia="zh-CN"/>
        </w:rPr>
        <w:t>完成并通过验收，完成支出</w:t>
      </w:r>
      <w:r>
        <w:rPr>
          <w:rFonts w:hint="eastAsia" w:ascii="Times New Roman" w:hAnsi="Times New Roman" w:eastAsia="仿宋_GB2312" w:cs="Times New Roman"/>
          <w:sz w:val="32"/>
          <w:szCs w:val="32"/>
          <w:lang w:val="en-US" w:eastAsia="zh-CN"/>
        </w:rPr>
        <w:t>64.99万元</w:t>
      </w:r>
    </w:p>
    <w:p w14:paraId="1184987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61C50CF">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2A8ADE2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015CD76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29D1E343">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380DA83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5C4578DF">
      <w:pPr>
        <w:adjustRightInd w:val="0"/>
        <w:snapToGrid w:val="0"/>
        <w:spacing w:line="600" w:lineRule="exact"/>
        <w:ind w:firstLine="1280" w:firstLineChars="4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5532641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512CB2F6">
      <w:pPr>
        <w:ind w:firstLine="1280" w:firstLineChars="4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3EA39EC0">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r>
    </w:p>
    <w:p w14:paraId="1E90B7FD">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075699EC">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4472901A">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2024年第一批中央地灾防治（起查喇村大村组崖子脚滑坡治理、机动田滑坡治理）</w:t>
      </w:r>
      <w:r>
        <w:rPr>
          <w:rFonts w:ascii="Times New Roman" w:hAnsi="Times New Roman" w:eastAsia="仿宋_GB2312" w:cs="Times New Roman"/>
          <w:color w:val="auto"/>
          <w:kern w:val="2"/>
          <w:sz w:val="32"/>
          <w:szCs w:val="32"/>
          <w:lang w:val="zh-CN" w:eastAsia="zh-CN" w:bidi="ar-SA"/>
        </w:rPr>
        <w:t>）</w:t>
      </w:r>
    </w:p>
    <w:p w14:paraId="2E36C3F7">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8B2F6C2">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41BB7EF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A3C1E67">
      <w:pPr>
        <w:ind w:firstLine="640" w:firstLineChars="200"/>
        <w:rPr>
          <w:rFonts w:hint="eastAsia" w:ascii="Times New Roman" w:hAnsi="Times New Roman" w:eastAsia="仿宋_GB2312" w:cs="Times New Roman"/>
          <w:b w:val="0"/>
          <w:kern w:val="2"/>
          <w:sz w:val="32"/>
          <w:szCs w:val="32"/>
          <w:lang w:val="en-US" w:eastAsia="zh-CN" w:bidi="ar-SA"/>
        </w:rPr>
      </w:pPr>
      <w:r>
        <w:rPr>
          <w:rFonts w:hint="eastAsia" w:ascii="Times New Roman" w:hAnsi="Times New Roman" w:eastAsia="仿宋_GB2312" w:cs="Times New Roman"/>
          <w:b w:val="0"/>
          <w:kern w:val="2"/>
          <w:sz w:val="32"/>
          <w:szCs w:val="32"/>
          <w:lang w:val="en-US" w:eastAsia="zh-CN" w:bidi="ar-SA"/>
        </w:rPr>
        <w:t>2024年第一批中央地灾防治体系建设补助资金项目包括啊喇乡起查喇村大村组崖子脚滑坡治理，啊喇乡起查喇村苍蒲地组机动田滑坡治理；</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组织实施，督促中标单位按时保量完成治理工程；</w:t>
      </w:r>
      <w:r>
        <w:rPr>
          <w:rFonts w:ascii="Times New Roman" w:hAnsi="Times New Roman" w:eastAsia="仿宋_GB2312" w:cs="Times New Roman"/>
          <w:sz w:val="32"/>
          <w:szCs w:val="32"/>
        </w:rPr>
        <w:t>所有工程款项均按合同约定支付。</w:t>
      </w:r>
    </w:p>
    <w:p w14:paraId="262C701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2B8D23CA">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完成啊喇乡</w:t>
      </w:r>
      <w:r>
        <w:rPr>
          <w:rFonts w:hint="eastAsia" w:ascii="Times New Roman" w:hAnsi="Times New Roman" w:eastAsia="仿宋_GB2312" w:cs="Times New Roman"/>
          <w:b w:val="0"/>
          <w:kern w:val="2"/>
          <w:sz w:val="32"/>
          <w:szCs w:val="32"/>
          <w:lang w:val="en-US" w:eastAsia="zh-CN" w:bidi="ar-SA"/>
        </w:rPr>
        <w:t>起查喇村大村组崖子脚滑坡治理，啊喇乡起查喇村苍蒲地组机动田滑坡治理，</w:t>
      </w:r>
      <w:r>
        <w:rPr>
          <w:rFonts w:ascii="Times New Roman" w:hAnsi="Times New Roman" w:eastAsia="仿宋_GB2312" w:cs="Times New Roman"/>
          <w:sz w:val="32"/>
          <w:szCs w:val="32"/>
        </w:rPr>
        <w:t>并通过</w:t>
      </w:r>
      <w:r>
        <w:rPr>
          <w:rFonts w:hint="eastAsia" w:ascii="Times New Roman" w:hAnsi="Times New Roman" w:eastAsia="仿宋_GB2312" w:cs="Times New Roman"/>
          <w:sz w:val="32"/>
          <w:szCs w:val="32"/>
          <w:lang w:eastAsia="zh-CN"/>
        </w:rPr>
        <w:t>初</w:t>
      </w:r>
      <w:r>
        <w:rPr>
          <w:rFonts w:ascii="Times New Roman" w:hAnsi="Times New Roman" w:eastAsia="仿宋_GB2312" w:cs="Times New Roman"/>
          <w:sz w:val="32"/>
          <w:szCs w:val="32"/>
        </w:rPr>
        <w:t>验，确保人民群众生命财产安全</w:t>
      </w:r>
      <w:r>
        <w:rPr>
          <w:rFonts w:ascii="Times New Roman" w:hAnsi="Times New Roman" w:eastAsia="仿宋_GB2312" w:cs="Times New Roman"/>
          <w:sz w:val="32"/>
          <w:szCs w:val="32"/>
          <w:lang w:val="zh-CN"/>
        </w:rPr>
        <w:t>。</w:t>
      </w:r>
    </w:p>
    <w:p w14:paraId="28CFE62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4890705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3F793231">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19294096">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1B0B824D">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68036E0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35FA771F">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6044DCCA">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278C0A93">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3A63B26E">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753ADD1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1DD94AD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rPr>
        <w:t>关于下达</w:t>
      </w:r>
      <w:r>
        <w:rPr>
          <w:rFonts w:hint="eastAsia" w:ascii="Times New Roman" w:hAnsi="Times New Roman" w:eastAsia="仿宋_GB2312" w:cs="Times New Roman"/>
          <w:color w:val="000000"/>
          <w:kern w:val="0"/>
          <w:sz w:val="32"/>
          <w:szCs w:val="32"/>
          <w:shd w:val="clear" w:color="auto" w:fill="FFFFFF"/>
          <w:lang w:eastAsia="zh-CN"/>
        </w:rPr>
        <w:t>202</w:t>
      </w:r>
      <w:r>
        <w:rPr>
          <w:rFonts w:hint="eastAsia" w:ascii="Times New Roman" w:hAnsi="Times New Roman" w:eastAsia="仿宋_GB2312" w:cs="Times New Roman"/>
          <w:color w:val="000000"/>
          <w:kern w:val="0"/>
          <w:sz w:val="32"/>
          <w:szCs w:val="32"/>
          <w:shd w:val="clear" w:color="auto" w:fill="FFFFFF"/>
          <w:lang w:val="en-US" w:eastAsia="zh-CN"/>
        </w:rPr>
        <w:t>4</w:t>
      </w:r>
      <w:r>
        <w:rPr>
          <w:rFonts w:hint="eastAsia" w:ascii="Times New Roman" w:hAnsi="Times New Roman" w:eastAsia="仿宋_GB2312" w:cs="Times New Roman"/>
          <w:color w:val="000000"/>
          <w:kern w:val="0"/>
          <w:sz w:val="32"/>
          <w:szCs w:val="32"/>
          <w:shd w:val="clear" w:color="auto" w:fill="FFFFFF"/>
          <w:lang w:eastAsia="zh-CN"/>
        </w:rPr>
        <w:t>年第一批次地质灾害防治体系建设（中央）补助资金</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ascii="Times New Roman" w:hAnsi="Times New Roman" w:eastAsia="仿宋_GB2312" w:cs="Times New Roman"/>
          <w:sz w:val="32"/>
          <w:szCs w:val="32"/>
        </w:rPr>
        <w:t>号）</w:t>
      </w:r>
      <w:r>
        <w:rPr>
          <w:rFonts w:hint="eastAsia" w:eastAsia="仿宋_GB2312" w:cs="Times New Roman"/>
          <w:sz w:val="32"/>
          <w:szCs w:val="32"/>
          <w:lang w:eastAsia="zh-CN"/>
        </w:rPr>
        <w:t>文件</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w:t>
      </w:r>
    </w:p>
    <w:p w14:paraId="4744A1F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09D59C59">
      <w:pPr>
        <w:adjustRightInd w:val="0"/>
        <w:snapToGrid w:val="0"/>
        <w:spacing w:line="560" w:lineRule="exact"/>
        <w:ind w:firstLine="720"/>
        <w:rPr>
          <w:rFonts w:ascii="Times New Roman" w:hAnsi="Times New Roman" w:eastAsia="仿宋_GB2312" w:cs="Times New Roman"/>
          <w:sz w:val="32"/>
          <w:szCs w:val="32"/>
        </w:rPr>
      </w:pPr>
      <w:r>
        <w:rPr>
          <w:rFonts w:hint="eastAsia" w:ascii="楷体_GB2312" w:hAnsi="宋体" w:eastAsia="楷体_GB2312" w:cs="Times New Roman"/>
          <w:sz w:val="32"/>
          <w:szCs w:val="32"/>
          <w:lang w:val="zh-CN"/>
        </w:rPr>
        <w:t>1.资金计划及到位。</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color w:val="000000"/>
          <w:kern w:val="0"/>
          <w:sz w:val="32"/>
          <w:szCs w:val="32"/>
          <w:shd w:val="clear" w:color="auto" w:fill="FFFFFF"/>
          <w:lang w:eastAsia="zh-CN"/>
        </w:rPr>
        <w:t>202</w:t>
      </w:r>
      <w:r>
        <w:rPr>
          <w:rFonts w:hint="eastAsia" w:ascii="Times New Roman" w:hAnsi="Times New Roman" w:eastAsia="仿宋_GB2312" w:cs="Times New Roman"/>
          <w:color w:val="000000"/>
          <w:kern w:val="0"/>
          <w:sz w:val="32"/>
          <w:szCs w:val="32"/>
          <w:shd w:val="clear" w:color="auto" w:fill="FFFFFF"/>
          <w:lang w:val="en-US" w:eastAsia="zh-CN"/>
        </w:rPr>
        <w:t>4</w:t>
      </w:r>
      <w:r>
        <w:rPr>
          <w:rFonts w:hint="eastAsia" w:ascii="Times New Roman" w:hAnsi="Times New Roman" w:eastAsia="仿宋_GB2312" w:cs="Times New Roman"/>
          <w:color w:val="000000"/>
          <w:kern w:val="0"/>
          <w:sz w:val="32"/>
          <w:szCs w:val="32"/>
          <w:shd w:val="clear" w:color="auto" w:fill="FFFFFF"/>
          <w:lang w:eastAsia="zh-CN"/>
        </w:rPr>
        <w:t>年第一批次地质灾害防治体系建设（中央）补助资金</w:t>
      </w:r>
      <w:r>
        <w:rPr>
          <w:rFonts w:hint="eastAsia" w:ascii="Times New Roman" w:hAnsi="Times New Roman" w:eastAsia="仿宋_GB2312" w:cs="Times New Roman"/>
          <w:color w:val="000000"/>
          <w:kern w:val="0"/>
          <w:sz w:val="32"/>
          <w:szCs w:val="32"/>
          <w:shd w:val="clear" w:color="auto" w:fill="FFFFFF"/>
          <w:lang w:val="en-US" w:eastAsia="zh-CN"/>
        </w:rPr>
        <w:t>115.58</w:t>
      </w:r>
      <w:r>
        <w:rPr>
          <w:rFonts w:ascii="Times New Roman" w:hAnsi="Times New Roman" w:eastAsia="仿宋_GB2312" w:cs="Times New Roman"/>
          <w:sz w:val="32"/>
          <w:szCs w:val="32"/>
        </w:rPr>
        <w:t>万元。</w:t>
      </w:r>
    </w:p>
    <w:p w14:paraId="24F84A23">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color w:val="000000"/>
          <w:kern w:val="0"/>
          <w:sz w:val="32"/>
          <w:szCs w:val="32"/>
          <w:shd w:val="clear" w:color="auto" w:fill="FFFFFF"/>
          <w:lang w:eastAsia="zh-CN"/>
        </w:rPr>
        <w:t>202</w:t>
      </w:r>
      <w:r>
        <w:rPr>
          <w:rFonts w:hint="eastAsia" w:ascii="Times New Roman" w:hAnsi="Times New Roman" w:eastAsia="仿宋_GB2312" w:cs="Times New Roman"/>
          <w:color w:val="000000"/>
          <w:kern w:val="0"/>
          <w:sz w:val="32"/>
          <w:szCs w:val="32"/>
          <w:shd w:val="clear" w:color="auto" w:fill="FFFFFF"/>
          <w:lang w:val="en-US" w:eastAsia="zh-CN"/>
        </w:rPr>
        <w:t>4</w:t>
      </w:r>
      <w:r>
        <w:rPr>
          <w:rFonts w:hint="eastAsia" w:ascii="Times New Roman" w:hAnsi="Times New Roman" w:eastAsia="仿宋_GB2312" w:cs="Times New Roman"/>
          <w:color w:val="000000"/>
          <w:kern w:val="0"/>
          <w:sz w:val="32"/>
          <w:szCs w:val="32"/>
          <w:shd w:val="clear" w:color="auto" w:fill="FFFFFF"/>
          <w:lang w:eastAsia="zh-CN"/>
        </w:rPr>
        <w:t>年第一批次地质灾害防治体系建设（中央）补助资金</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115.58</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508A0A1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2EE22760">
      <w:pPr>
        <w:adjustRightInd w:val="0"/>
        <w:snapToGrid w:val="0"/>
        <w:spacing w:line="56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3592A59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935C30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2D6D526E">
      <w:pPr>
        <w:numPr>
          <w:ilvl w:val="0"/>
          <w:numId w:val="0"/>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hint="eastAsia" w:ascii="Times New Roman" w:hAnsi="Times New Roman" w:eastAsia="楷体_GB2312" w:cs="Times New Roman"/>
          <w:b/>
          <w:sz w:val="32"/>
          <w:szCs w:val="32"/>
          <w:lang w:val="zh-CN"/>
        </w:rPr>
        <w:t>（一）</w:t>
      </w:r>
      <w:r>
        <w:rPr>
          <w:rFonts w:ascii="Times New Roman" w:hAnsi="Times New Roman" w:eastAsia="楷体_GB2312" w:cs="Times New Roman"/>
          <w:b/>
          <w:sz w:val="32"/>
          <w:szCs w:val="32"/>
          <w:lang w:val="zh-CN"/>
        </w:rPr>
        <w:t>项目组织架构及实施流程。</w:t>
      </w:r>
    </w:p>
    <w:p w14:paraId="6B6BD2A5">
      <w:pPr>
        <w:numPr>
          <w:ilvl w:val="0"/>
          <w:numId w:val="0"/>
        </w:numPr>
        <w:adjustRightInd w:val="0"/>
        <w:snapToGrid w:val="0"/>
        <w:spacing w:line="600" w:lineRule="exact"/>
        <w:ind w:firstLine="960" w:firstLineChars="3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组织架构：项目业主由攀枝花市自然资源和规划局仁和区分局担任，局长李春龙总负责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分管领导由郑压帝副局长兼任，矿管股承担具体工作。施工进场后下设项目经理、技术负责人、安全员、材料员、资料员、总监理师等，确保项目高效、有序、安全推进。</w:t>
      </w:r>
    </w:p>
    <w:p w14:paraId="53A22BD7">
      <w:pPr>
        <w:numPr>
          <w:ilvl w:val="0"/>
          <w:numId w:val="35"/>
        </w:num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306FD312">
      <w:pPr>
        <w:numPr>
          <w:ilvl w:val="0"/>
          <w:numId w:val="0"/>
        </w:numPr>
        <w:adjustRightInd w:val="0"/>
        <w:snapToGrid w:val="0"/>
        <w:spacing w:line="600" w:lineRule="exact"/>
        <w:ind w:leftChars="20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15D5A61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3247156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14CF146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03FD5D86">
      <w:pPr>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zh-CN"/>
        </w:rPr>
        <w:t>啊喇乡</w:t>
      </w:r>
      <w:r>
        <w:rPr>
          <w:rFonts w:hint="eastAsia" w:ascii="Times New Roman" w:hAnsi="Times New Roman" w:eastAsia="仿宋_GB2312" w:cs="Times New Roman"/>
          <w:b w:val="0"/>
          <w:kern w:val="2"/>
          <w:sz w:val="32"/>
          <w:szCs w:val="32"/>
          <w:lang w:val="en-US" w:eastAsia="zh-CN" w:bidi="ar-SA"/>
        </w:rPr>
        <w:t>起查喇村大村组崖子脚滑坡治理</w:t>
      </w:r>
      <w:r>
        <w:rPr>
          <w:rFonts w:ascii="Times New Roman" w:hAnsi="Times New Roman" w:eastAsia="仿宋_GB2312" w:cs="Times New Roman"/>
          <w:sz w:val="32"/>
          <w:szCs w:val="32"/>
        </w:rPr>
        <w:t>工程</w:t>
      </w:r>
      <w:r>
        <w:rPr>
          <w:rFonts w:hint="eastAsia" w:ascii="Times New Roman" w:hAnsi="Times New Roman" w:eastAsia="仿宋_GB2312" w:cs="Times New Roman"/>
          <w:sz w:val="32"/>
          <w:szCs w:val="32"/>
          <w:lang w:eastAsia="zh-CN"/>
        </w:rPr>
        <w:t>项目</w:t>
      </w:r>
      <w:r>
        <w:rPr>
          <w:rFonts w:ascii="Times New Roman" w:hAnsi="Times New Roman" w:eastAsia="仿宋_GB2312" w:cs="Times New Roman"/>
          <w:sz w:val="32"/>
          <w:szCs w:val="32"/>
        </w:rPr>
        <w:t>已完成</w:t>
      </w:r>
      <w:r>
        <w:rPr>
          <w:rFonts w:hint="eastAsia" w:eastAsia="仿宋_GB2312" w:cs="Times New Roman"/>
          <w:sz w:val="32"/>
          <w:szCs w:val="32"/>
          <w:lang w:eastAsia="zh-CN"/>
        </w:rPr>
        <w:t>勘察</w:t>
      </w:r>
      <w:r>
        <w:rPr>
          <w:rFonts w:hint="eastAsia" w:ascii="Times New Roman" w:hAnsi="Times New Roman" w:eastAsia="仿宋_GB2312" w:cs="Times New Roman"/>
          <w:sz w:val="32"/>
          <w:szCs w:val="32"/>
          <w:lang w:eastAsia="zh-CN"/>
        </w:rPr>
        <w:t>费、勘察设计书编制费、</w:t>
      </w:r>
      <w:r>
        <w:rPr>
          <w:rFonts w:ascii="Times New Roman" w:hAnsi="Times New Roman" w:eastAsia="仿宋_GB2312" w:cs="Times New Roman"/>
          <w:sz w:val="32"/>
          <w:szCs w:val="32"/>
        </w:rPr>
        <w:t>施工图设计、</w:t>
      </w:r>
      <w:r>
        <w:rPr>
          <w:rFonts w:hint="eastAsia" w:ascii="Times New Roman" w:hAnsi="Times New Roman" w:eastAsia="仿宋_GB2312" w:cs="Times New Roman"/>
          <w:sz w:val="32"/>
          <w:szCs w:val="32"/>
          <w:lang w:eastAsia="zh-CN"/>
        </w:rPr>
        <w:t>工程进度款</w:t>
      </w:r>
      <w:r>
        <w:rPr>
          <w:rFonts w:ascii="Times New Roman" w:hAnsi="Times New Roman" w:eastAsia="仿宋_GB2312" w:cs="Times New Roman"/>
          <w:sz w:val="32"/>
          <w:szCs w:val="32"/>
        </w:rPr>
        <w:t>等完成支出</w:t>
      </w:r>
      <w:r>
        <w:rPr>
          <w:rFonts w:hint="eastAsia" w:ascii="Times New Roman" w:hAnsi="Times New Roman" w:eastAsia="仿宋_GB2312" w:cs="Times New Roman"/>
          <w:sz w:val="32"/>
          <w:szCs w:val="32"/>
          <w:lang w:val="en-US" w:eastAsia="zh-CN"/>
        </w:rPr>
        <w:t>60.35</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w:t>
      </w:r>
    </w:p>
    <w:p w14:paraId="536E4033">
      <w:pPr>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啊喇乡</w:t>
      </w:r>
      <w:r>
        <w:rPr>
          <w:rFonts w:hint="eastAsia" w:ascii="Times New Roman" w:hAnsi="Times New Roman" w:eastAsia="仿宋_GB2312" w:cs="Times New Roman"/>
          <w:b w:val="0"/>
          <w:kern w:val="2"/>
          <w:sz w:val="32"/>
          <w:szCs w:val="32"/>
          <w:lang w:val="en-US" w:eastAsia="zh-CN" w:bidi="ar-SA"/>
        </w:rPr>
        <w:t>起查喇村苍蒲地组机动田滑坡治理</w:t>
      </w:r>
      <w:r>
        <w:rPr>
          <w:rFonts w:ascii="Times New Roman" w:hAnsi="Times New Roman" w:eastAsia="仿宋_GB2312" w:cs="Times New Roman"/>
          <w:sz w:val="32"/>
          <w:szCs w:val="32"/>
        </w:rPr>
        <w:t>工程</w:t>
      </w:r>
      <w:r>
        <w:rPr>
          <w:rFonts w:hint="eastAsia" w:ascii="Times New Roman" w:hAnsi="Times New Roman" w:eastAsia="仿宋_GB2312" w:cs="Times New Roman"/>
          <w:sz w:val="32"/>
          <w:szCs w:val="32"/>
          <w:lang w:eastAsia="zh-CN"/>
        </w:rPr>
        <w:t>项目</w:t>
      </w:r>
      <w:r>
        <w:rPr>
          <w:rFonts w:ascii="Times New Roman" w:hAnsi="Times New Roman" w:eastAsia="仿宋_GB2312" w:cs="Times New Roman"/>
          <w:sz w:val="32"/>
          <w:szCs w:val="32"/>
        </w:rPr>
        <w:t>已完成</w:t>
      </w:r>
      <w:r>
        <w:rPr>
          <w:rFonts w:hint="eastAsia" w:eastAsia="仿宋_GB2312" w:cs="Times New Roman"/>
          <w:sz w:val="32"/>
          <w:szCs w:val="32"/>
          <w:lang w:eastAsia="zh-CN"/>
        </w:rPr>
        <w:t>勘察</w:t>
      </w:r>
      <w:r>
        <w:rPr>
          <w:rFonts w:hint="eastAsia" w:ascii="Times New Roman" w:hAnsi="Times New Roman" w:eastAsia="仿宋_GB2312" w:cs="Times New Roman"/>
          <w:sz w:val="32"/>
          <w:szCs w:val="32"/>
          <w:lang w:eastAsia="zh-CN"/>
        </w:rPr>
        <w:t>费、勘察设计书编制费、</w:t>
      </w:r>
      <w:r>
        <w:rPr>
          <w:rFonts w:ascii="Times New Roman" w:hAnsi="Times New Roman" w:eastAsia="仿宋_GB2312" w:cs="Times New Roman"/>
          <w:sz w:val="32"/>
          <w:szCs w:val="32"/>
        </w:rPr>
        <w:t>施工图设计、</w:t>
      </w:r>
      <w:r>
        <w:rPr>
          <w:rFonts w:hint="eastAsia" w:ascii="Times New Roman" w:hAnsi="Times New Roman" w:eastAsia="仿宋_GB2312" w:cs="Times New Roman"/>
          <w:sz w:val="32"/>
          <w:szCs w:val="32"/>
          <w:lang w:eastAsia="zh-CN"/>
        </w:rPr>
        <w:t>工程进度款</w:t>
      </w:r>
      <w:r>
        <w:rPr>
          <w:rFonts w:ascii="Times New Roman" w:hAnsi="Times New Roman" w:eastAsia="仿宋_GB2312" w:cs="Times New Roman"/>
          <w:sz w:val="32"/>
          <w:szCs w:val="32"/>
        </w:rPr>
        <w:t>等完成支出</w:t>
      </w:r>
      <w:r>
        <w:rPr>
          <w:rFonts w:hint="eastAsia" w:ascii="Times New Roman" w:hAnsi="Times New Roman" w:eastAsia="仿宋_GB2312" w:cs="Times New Roman"/>
          <w:sz w:val="32"/>
          <w:szCs w:val="32"/>
          <w:lang w:val="en-US" w:eastAsia="zh-CN"/>
        </w:rPr>
        <w:t>55.23</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w:t>
      </w:r>
    </w:p>
    <w:p w14:paraId="2F1EF7A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3EE8D29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开展地灾治理项目及时消除安全隐患，在保护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42427B4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3C5E999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90D283C">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65863ED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0BC1A467">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43027F7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69A320E">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434C1CF6">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09A12D8D">
      <w:pP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br w:type="page"/>
      </w:r>
    </w:p>
    <w:p w14:paraId="0A5FECA1">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149F6D05">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371616FE">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专职监测员补助</w:t>
      </w:r>
      <w:r>
        <w:rPr>
          <w:rFonts w:ascii="Times New Roman" w:hAnsi="Times New Roman" w:eastAsia="仿宋_GB2312" w:cs="Times New Roman"/>
          <w:color w:val="auto"/>
          <w:kern w:val="2"/>
          <w:sz w:val="32"/>
          <w:szCs w:val="32"/>
          <w:lang w:val="zh-CN" w:eastAsia="zh-CN" w:bidi="ar-SA"/>
        </w:rPr>
        <w:t>）</w:t>
      </w:r>
    </w:p>
    <w:p w14:paraId="73506402">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0115FCC0">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55AD050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9A7A0E1">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对实施仁和区地质灾害专职监测人员进行误工补助，确保持续、高效开展地质灾害监测，保护人民群众生命财产。</w:t>
      </w:r>
      <w:r>
        <w:rPr>
          <w:rFonts w:hint="eastAsia" w:ascii="Times New Roman" w:hAnsi="Times New Roman" w:eastAsia="仿宋_GB2312" w:cs="Times New Roman"/>
          <w:sz w:val="32"/>
          <w:szCs w:val="32"/>
          <w:lang w:val="zh-CN" w:eastAsia="zh-CN"/>
        </w:rPr>
        <w:t>分局监督确保按时按量发放到监测人员。</w:t>
      </w:r>
    </w:p>
    <w:p w14:paraId="2BDC9F4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2C793626">
      <w:p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对实施仁和区地质灾害专职监测人员进行误工补助，确保持续、高效开展地质灾害监测；</w:t>
      </w:r>
      <w:r>
        <w:rPr>
          <w:rFonts w:hint="eastAsia" w:ascii="Times New Roman" w:hAnsi="Times New Roman" w:eastAsia="仿宋_GB2312" w:cs="Times New Roman"/>
          <w:sz w:val="32"/>
          <w:szCs w:val="32"/>
          <w:lang w:val="en-US" w:eastAsia="zh-CN"/>
        </w:rPr>
        <w:t>及时发现和处理安全隐患，防止事故的发生，</w:t>
      </w:r>
      <w:r>
        <w:rPr>
          <w:rFonts w:hint="eastAsia" w:ascii="Times New Roman" w:hAnsi="Times New Roman" w:eastAsia="仿宋_GB2312" w:cs="Times New Roman"/>
          <w:sz w:val="32"/>
          <w:szCs w:val="32"/>
          <w:lang w:val="zh-CN"/>
        </w:rPr>
        <w:t>保护人民群众生命财产安全。</w:t>
      </w:r>
    </w:p>
    <w:p w14:paraId="176ECFE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5D6A1F8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74D53A43">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2CAE497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433F4780">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1BB9FBE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4E331A2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5B611A0D">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6F616AC2">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3BB13A42">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517FA92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482D3F2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专职监测人员补助</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ascii="Times New Roman" w:hAnsi="Times New Roman" w:eastAsia="仿宋_GB2312" w:cs="Times New Roman"/>
          <w:sz w:val="32"/>
          <w:szCs w:val="32"/>
        </w:rPr>
        <w:t>号）</w:t>
      </w:r>
      <w:r>
        <w:rPr>
          <w:rFonts w:hint="eastAsia" w:ascii="Times New Roman" w:hAnsi="Times New Roman" w:eastAsia="仿宋_GB2312" w:cs="Times New Roman"/>
          <w:sz w:val="32"/>
          <w:szCs w:val="32"/>
          <w:lang w:eastAsia="zh-CN"/>
        </w:rPr>
        <w:t>文</w:t>
      </w:r>
      <w:r>
        <w:rPr>
          <w:rFonts w:ascii="Times New Roman" w:hAnsi="Times New Roman" w:eastAsia="仿宋_GB2312" w:cs="Times New Roman"/>
          <w:sz w:val="32"/>
          <w:szCs w:val="32"/>
        </w:rPr>
        <w:t>下达</w:t>
      </w:r>
      <w:r>
        <w:rPr>
          <w:rFonts w:hint="eastAsia" w:ascii="Times New Roman" w:hAnsi="Times New Roman" w:eastAsia="仿宋_GB2312" w:cs="Times New Roman"/>
          <w:sz w:val="32"/>
          <w:szCs w:val="32"/>
          <w:lang w:eastAsia="zh-CN"/>
        </w:rPr>
        <w:t>资金总额</w:t>
      </w:r>
      <w:r>
        <w:rPr>
          <w:rFonts w:hint="eastAsia" w:ascii="Times New Roman" w:hAnsi="Times New Roman" w:eastAsia="仿宋_GB2312" w:cs="Times New Roman"/>
          <w:sz w:val="32"/>
          <w:szCs w:val="32"/>
          <w:lang w:val="en-US" w:eastAsia="zh-CN"/>
        </w:rPr>
        <w:t>15.93万元</w:t>
      </w:r>
      <w:r>
        <w:rPr>
          <w:rFonts w:ascii="Times New Roman" w:hAnsi="Times New Roman" w:eastAsia="仿宋_GB2312" w:cs="Times New Roman"/>
          <w:sz w:val="32"/>
          <w:szCs w:val="32"/>
          <w:lang w:val="zh-CN"/>
        </w:rPr>
        <w:t>。</w:t>
      </w:r>
    </w:p>
    <w:p w14:paraId="220EEA4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33A7B370">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楷体_GB2312" w:cs="Times New Roman"/>
          <w:sz w:val="32"/>
          <w:szCs w:val="32"/>
          <w:lang w:val="zh-CN"/>
        </w:rPr>
        <w:t>及到位</w:t>
      </w:r>
      <w:r>
        <w:rPr>
          <w:rFonts w:ascii="Times New Roman" w:hAnsi="Times New Roman" w:eastAsia="楷体_GB2312" w:cs="Times New Roman"/>
          <w:sz w:val="32"/>
          <w:szCs w:val="32"/>
          <w:lang w:val="zh-CN"/>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color w:val="000000"/>
          <w:kern w:val="0"/>
          <w:sz w:val="32"/>
          <w:szCs w:val="32"/>
          <w:shd w:val="clear" w:color="auto" w:fill="FFFFFF"/>
          <w:lang w:eastAsia="zh-CN"/>
        </w:rPr>
        <w:t>专职监测人员补助资金</w:t>
      </w:r>
      <w:r>
        <w:rPr>
          <w:rFonts w:hint="eastAsia" w:ascii="Times New Roman" w:hAnsi="Times New Roman" w:eastAsia="仿宋_GB2312" w:cs="Times New Roman"/>
          <w:color w:val="000000"/>
          <w:kern w:val="0"/>
          <w:sz w:val="32"/>
          <w:szCs w:val="32"/>
          <w:shd w:val="clear" w:color="auto" w:fill="FFFFFF"/>
          <w:lang w:val="en-US" w:eastAsia="zh-CN"/>
        </w:rPr>
        <w:t>15.93</w:t>
      </w:r>
      <w:r>
        <w:rPr>
          <w:rFonts w:ascii="Times New Roman" w:hAnsi="Times New Roman" w:eastAsia="仿宋_GB2312" w:cs="Times New Roman"/>
          <w:sz w:val="32"/>
          <w:szCs w:val="32"/>
        </w:rPr>
        <w:t>万元。</w:t>
      </w:r>
    </w:p>
    <w:p w14:paraId="5BE4615C">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color w:val="000000"/>
          <w:kern w:val="0"/>
          <w:sz w:val="32"/>
          <w:szCs w:val="32"/>
          <w:shd w:val="clear" w:color="auto" w:fill="FFFFFF"/>
          <w:lang w:eastAsia="zh-CN"/>
        </w:rPr>
        <w:t>专职监测人员补助资金</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15.93</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0E8586C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4B265F76">
      <w:pPr>
        <w:adjustRightInd w:val="0"/>
        <w:snapToGrid w:val="0"/>
        <w:spacing w:line="56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1AA1F054">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619DF3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7C9EAA63">
      <w:pPr>
        <w:numPr>
          <w:ilvl w:val="0"/>
          <w:numId w:val="36"/>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0CC3C4B4">
      <w:pPr>
        <w:numPr>
          <w:ilvl w:val="0"/>
          <w:numId w:val="0"/>
        </w:numPr>
        <w:adjustRightInd w:val="0"/>
        <w:snapToGrid w:val="0"/>
        <w:spacing w:line="600" w:lineRule="exact"/>
        <w:ind w:firstLine="1280" w:firstLineChars="4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组织架构：项目业主由攀枝花市自然资源和规划局仁和区分局担任，局长任平总负责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分管领导由王磊副主任兼任，矿管股承担具体工作。施工进场后下设项目经理、技术负责人、安全员、材料员、资料员、总监理师等，确保项目高效、有序、安全推进。</w:t>
      </w:r>
    </w:p>
    <w:p w14:paraId="490AA7AE">
      <w:pPr>
        <w:numPr>
          <w:ilvl w:val="0"/>
          <w:numId w:val="35"/>
        </w:num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17D82BC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7647F30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35E7887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500BC1C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389A8372">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完成</w:t>
      </w:r>
      <w:r>
        <w:rPr>
          <w:rFonts w:hint="eastAsia" w:ascii="Times New Roman" w:hAnsi="Times New Roman" w:eastAsia="仿宋_GB2312" w:cs="Times New Roman"/>
          <w:sz w:val="32"/>
          <w:szCs w:val="32"/>
          <w:lang w:val="en-US" w:eastAsia="zh-CN"/>
        </w:rPr>
        <w:t>2024年按时按量发放</w:t>
      </w:r>
      <w:r>
        <w:rPr>
          <w:rFonts w:hint="eastAsia" w:ascii="Times New Roman" w:hAnsi="Times New Roman" w:eastAsia="仿宋_GB2312" w:cs="Times New Roman"/>
          <w:sz w:val="32"/>
          <w:szCs w:val="32"/>
          <w:lang w:val="zh-CN"/>
        </w:rPr>
        <w:t>仁和区地质灾害专职监测人员进行误工补助，确保持续、高效开展地质灾害监测；</w:t>
      </w:r>
      <w:r>
        <w:rPr>
          <w:rFonts w:hint="eastAsia" w:ascii="Times New Roman" w:hAnsi="Times New Roman" w:eastAsia="仿宋_GB2312" w:cs="Times New Roman"/>
          <w:sz w:val="32"/>
          <w:szCs w:val="32"/>
          <w:lang w:val="en-US" w:eastAsia="zh-CN"/>
        </w:rPr>
        <w:t>及时发现和处理安全隐患，防止事故的发生，</w:t>
      </w:r>
      <w:r>
        <w:rPr>
          <w:rFonts w:hint="eastAsia" w:ascii="Times New Roman" w:hAnsi="Times New Roman" w:eastAsia="仿宋_GB2312" w:cs="Times New Roman"/>
          <w:sz w:val="32"/>
          <w:szCs w:val="32"/>
          <w:lang w:val="zh-CN"/>
        </w:rPr>
        <w:t>保护人民群众生命财产安全。</w:t>
      </w:r>
    </w:p>
    <w:p w14:paraId="4416A7A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21CBEB30">
      <w:pPr>
        <w:adjustRightInd w:val="0"/>
        <w:snapToGrid w:val="0"/>
        <w:spacing w:line="600" w:lineRule="exact"/>
        <w:ind w:firstLine="72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监测点人员通过对隐患点每月不低于30次的巡查</w:t>
      </w:r>
      <w:r>
        <w:rPr>
          <w:rFonts w:hint="eastAsia"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确保安全防范措施得到有效实施。这种高频次的巡查有助于及时发现和处理安全隐患，防止事故的发生，保护人民群众的生命财产安全，群众满意度超过90%。</w:t>
      </w:r>
    </w:p>
    <w:p w14:paraId="5B504A1D">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03A1C4A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63D3615A">
      <w:pPr>
        <w:adjustRightInd w:val="0"/>
        <w:snapToGrid w:val="0"/>
        <w:spacing w:line="600" w:lineRule="exact"/>
        <w:ind w:firstLine="640" w:firstLineChars="200"/>
        <w:rPr>
          <w:rFonts w:ascii="Times New Roman" w:hAnsi="Times New Roman" w:eastAsia="仿宋_GB2312" w:cs="Times New Roman"/>
          <w:sz w:val="32"/>
          <w:szCs w:val="32"/>
          <w:bdr w:val="single" w:color="auto" w:sz="4" w:space="0"/>
          <w:lang w:val="zh-CN"/>
        </w:rPr>
      </w:pPr>
      <w:r>
        <w:rPr>
          <w:rFonts w:hint="eastAsia" w:ascii="Times New Roman" w:hAnsi="Times New Roman" w:eastAsia="仿宋_GB2312" w:cs="Times New Roman"/>
          <w:sz w:val="32"/>
          <w:szCs w:val="32"/>
          <w:lang w:val="en-US" w:eastAsia="zh-CN"/>
        </w:rPr>
        <w:t>监测点人员通过对隐患点每月不低于30次的巡查</w:t>
      </w:r>
      <w:r>
        <w:rPr>
          <w:rFonts w:hint="eastAsia"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确保安全防范措施得到有效实施。这种高频次的巡查有助于及时发现和处理安全隐患，防止事故的发生，保护人民群众的生命财产安全，群众满意度超过90%。</w:t>
      </w:r>
    </w:p>
    <w:p w14:paraId="15B2A11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5169812C">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6F695AFD">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D1E0DE0">
      <w:pPr>
        <w:adjustRightInd w:val="0"/>
        <w:snapToGrid w:val="0"/>
        <w:spacing w:line="600" w:lineRule="exact"/>
        <w:ind w:firstLine="640" w:firstLineChars="2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p>
    <w:p w14:paraId="36E7018E">
      <w:pPr>
        <w:rPr>
          <w:rFonts w:ascii="Times New Roman" w:hAnsi="Times New Roman" w:eastAsia="仿宋_GB2312" w:cs="Times New Roman"/>
          <w:sz w:val="32"/>
          <w:szCs w:val="32"/>
        </w:rPr>
      </w:pPr>
    </w:p>
    <w:p w14:paraId="61BF3963">
      <w:pP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br w:type="page"/>
      </w:r>
    </w:p>
    <w:p w14:paraId="415AB727">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6FD93A3A">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2EC4FEE3">
      <w:pPr>
        <w:widowControl w:val="0"/>
        <w:spacing w:line="600" w:lineRule="exact"/>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2025年第一批（中央）地灾防治项目</w:t>
      </w:r>
      <w:r>
        <w:rPr>
          <w:rFonts w:ascii="Times New Roman" w:hAnsi="Times New Roman" w:eastAsia="仿宋_GB2312" w:cs="Times New Roman"/>
          <w:color w:val="auto"/>
          <w:kern w:val="2"/>
          <w:sz w:val="32"/>
          <w:szCs w:val="32"/>
          <w:lang w:val="zh-CN" w:eastAsia="zh-CN" w:bidi="ar-SA"/>
        </w:rPr>
        <w:t>）</w:t>
      </w:r>
    </w:p>
    <w:p w14:paraId="0EAC875C">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D9A1869">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7209296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5457E10B">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b w:val="0"/>
          <w:kern w:val="2"/>
          <w:sz w:val="32"/>
          <w:szCs w:val="32"/>
          <w:lang w:val="en-US" w:eastAsia="zh-CN" w:bidi="ar-SA"/>
        </w:rPr>
        <w:t>2025年第一批（中央）地灾防治项目包括啊喇乡啊喇村大村组滑坡治理；</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组织实施，督促中标单位按时保量完成治理工程；</w:t>
      </w:r>
      <w:r>
        <w:rPr>
          <w:rFonts w:ascii="Times New Roman" w:hAnsi="Times New Roman" w:eastAsia="仿宋_GB2312" w:cs="Times New Roman"/>
          <w:sz w:val="32"/>
          <w:szCs w:val="32"/>
        </w:rPr>
        <w:t>所有工程款项均按合同约定支</w:t>
      </w:r>
      <w:r>
        <w:rPr>
          <w:rFonts w:hint="eastAsia" w:ascii="Times New Roman" w:hAnsi="Times New Roman" w:eastAsia="仿宋_GB2312" w:cs="Times New Roman"/>
          <w:sz w:val="32"/>
          <w:szCs w:val="32"/>
          <w:lang w:eastAsia="zh-CN"/>
        </w:rPr>
        <w:t>付。</w:t>
      </w:r>
    </w:p>
    <w:p w14:paraId="76E69A1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05846904">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完成</w:t>
      </w:r>
      <w:r>
        <w:rPr>
          <w:rFonts w:hint="eastAsia" w:ascii="Times New Roman" w:hAnsi="Times New Roman" w:eastAsia="仿宋_GB2312" w:cs="Times New Roman"/>
          <w:b w:val="0"/>
          <w:kern w:val="2"/>
          <w:sz w:val="32"/>
          <w:szCs w:val="32"/>
          <w:lang w:val="en-US" w:eastAsia="zh-CN" w:bidi="ar-SA"/>
        </w:rPr>
        <w:t>2025年第一批（中央）地灾防治项目包括啊喇乡啊喇村大村组滑坡治理</w:t>
      </w:r>
      <w:r>
        <w:rPr>
          <w:rFonts w:hint="eastAsia" w:ascii="Times New Roman" w:hAnsi="Times New Roman" w:eastAsia="仿宋_GB2312" w:cs="Times New Roman"/>
          <w:sz w:val="32"/>
          <w:szCs w:val="32"/>
          <w:lang w:eastAsia="zh-CN"/>
        </w:rPr>
        <w:t>勘查、勘察设计书编制、</w:t>
      </w:r>
      <w:r>
        <w:rPr>
          <w:rFonts w:ascii="Times New Roman" w:hAnsi="Times New Roman" w:eastAsia="仿宋_GB2312" w:cs="Times New Roman"/>
          <w:sz w:val="32"/>
          <w:szCs w:val="32"/>
        </w:rPr>
        <w:t>施工图设计</w:t>
      </w:r>
      <w:r>
        <w:rPr>
          <w:rFonts w:hint="eastAsia" w:ascii="Times New Roman" w:hAnsi="Times New Roman" w:eastAsia="仿宋_GB2312" w:cs="Times New Roman"/>
          <w:sz w:val="32"/>
          <w:szCs w:val="32"/>
          <w:lang w:eastAsia="zh-CN"/>
        </w:rPr>
        <w:t>等，保护人民群众生命财产安全。</w:t>
      </w:r>
    </w:p>
    <w:p w14:paraId="35C6C35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CBBFDE1">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43C05F59">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29BEA97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1DC7B936">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242C6E4A">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149E5E12">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0B74798D">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388F6CD2">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6C16A3C4">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7E92BD9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61EC987D">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rPr>
        <w:t>关于下达</w:t>
      </w:r>
      <w:r>
        <w:rPr>
          <w:rFonts w:hint="eastAsia" w:ascii="Times New Roman" w:hAnsi="Times New Roman" w:eastAsia="仿宋_GB2312" w:cs="Times New Roman"/>
          <w:b w:val="0"/>
          <w:kern w:val="2"/>
          <w:sz w:val="32"/>
          <w:szCs w:val="32"/>
          <w:lang w:val="en-US" w:eastAsia="zh-CN" w:bidi="ar-SA"/>
        </w:rPr>
        <w:t>2025年第一批（中央）地灾防治项目</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13</w:t>
      </w:r>
      <w:r>
        <w:rPr>
          <w:rFonts w:ascii="Times New Roman" w:hAnsi="Times New Roman" w:eastAsia="仿宋_GB2312" w:cs="Times New Roman"/>
          <w:sz w:val="32"/>
          <w:szCs w:val="32"/>
        </w:rPr>
        <w:t>号</w:t>
      </w:r>
      <w:r>
        <w:rPr>
          <w:rFonts w:hint="eastAsia" w:ascii="Times New Roman" w:hAnsi="Times New Roman" w:eastAsia="仿宋_GB2312" w:cs="Times New Roman"/>
          <w:sz w:val="32"/>
          <w:szCs w:val="32"/>
          <w:lang w:eastAsia="zh-CN"/>
        </w:rPr>
        <w:t>、川财资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107号</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文</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w:t>
      </w:r>
    </w:p>
    <w:p w14:paraId="5176B29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33044523">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楷体_GB2312" w:cs="Times New Roman"/>
          <w:sz w:val="32"/>
          <w:szCs w:val="32"/>
          <w:lang w:val="zh-CN"/>
        </w:rPr>
        <w:t>及到位</w:t>
      </w:r>
      <w:r>
        <w:rPr>
          <w:rFonts w:ascii="Times New Roman" w:hAnsi="Times New Roman" w:eastAsia="楷体_GB2312" w:cs="Times New Roman"/>
          <w:sz w:val="32"/>
          <w:szCs w:val="32"/>
          <w:lang w:val="zh-CN"/>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b w:val="0"/>
          <w:kern w:val="2"/>
          <w:sz w:val="32"/>
          <w:szCs w:val="32"/>
          <w:lang w:val="en-US" w:eastAsia="zh-CN" w:bidi="ar-SA"/>
        </w:rPr>
        <w:t>2025年第一批（中央）地灾防治项目</w:t>
      </w:r>
      <w:r>
        <w:rPr>
          <w:rFonts w:hint="eastAsia" w:ascii="Times New Roman" w:hAnsi="Times New Roman" w:eastAsia="仿宋_GB2312" w:cs="Times New Roman"/>
          <w:color w:val="000000"/>
          <w:kern w:val="0"/>
          <w:sz w:val="32"/>
          <w:szCs w:val="32"/>
          <w:shd w:val="clear" w:color="auto" w:fill="FFFFFF"/>
          <w:lang w:val="en-US" w:eastAsia="zh-CN"/>
        </w:rPr>
        <w:t>78.8</w:t>
      </w:r>
      <w:r>
        <w:rPr>
          <w:rFonts w:ascii="Times New Roman" w:hAnsi="Times New Roman" w:eastAsia="仿宋_GB2312" w:cs="Times New Roman"/>
          <w:sz w:val="32"/>
          <w:szCs w:val="32"/>
        </w:rPr>
        <w:t>万元。</w:t>
      </w:r>
    </w:p>
    <w:p w14:paraId="44AFC13F">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b w:val="0"/>
          <w:kern w:val="2"/>
          <w:sz w:val="32"/>
          <w:szCs w:val="32"/>
          <w:lang w:val="en-US" w:eastAsia="zh-CN" w:bidi="ar-SA"/>
        </w:rPr>
        <w:t>2025年第一批（中央）地灾防治</w:t>
      </w:r>
      <w:r>
        <w:rPr>
          <w:rFonts w:hint="eastAsia" w:eastAsia="仿宋_GB2312" w:cs="Times New Roman"/>
          <w:b w:val="0"/>
          <w:kern w:val="2"/>
          <w:sz w:val="32"/>
          <w:szCs w:val="32"/>
          <w:lang w:val="en-US" w:eastAsia="zh-CN" w:bidi="ar-SA"/>
        </w:rPr>
        <w:t>项目</w:t>
      </w:r>
      <w:r>
        <w:rPr>
          <w:rFonts w:hint="eastAsia" w:ascii="Times New Roman" w:hAnsi="Times New Roman" w:eastAsia="仿宋_GB2312" w:cs="Times New Roman"/>
          <w:color w:val="000000"/>
          <w:kern w:val="0"/>
          <w:sz w:val="32"/>
          <w:szCs w:val="32"/>
          <w:shd w:val="clear" w:color="auto" w:fill="FFFFFF"/>
          <w:lang w:eastAsia="zh-CN"/>
        </w:rPr>
        <w:t>资金</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78.8</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26147F6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AC82BD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67E054B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6B3F296B">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41C93028">
      <w:pPr>
        <w:numPr>
          <w:ilvl w:val="0"/>
          <w:numId w:val="34"/>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073E76CB">
      <w:pPr>
        <w:numPr>
          <w:ilvl w:val="0"/>
          <w:numId w:val="0"/>
        </w:numPr>
        <w:adjustRightInd w:val="0"/>
        <w:snapToGrid w:val="0"/>
        <w:spacing w:line="600" w:lineRule="exact"/>
        <w:ind w:firstLine="1280" w:firstLineChars="4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组织架构：项目业主由攀枝花市自然资源和规划局仁和区分局担任，局长李春龙总负责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分管领导由王磊副主任兼任，矿管股承担具体工作。施工进场后下设项目经理、技术负责人、安全员、材料员、资料员、总监理师等，确保项目高效、有序、安全推进。</w:t>
      </w:r>
    </w:p>
    <w:p w14:paraId="0F715AFA">
      <w:pPr>
        <w:numPr>
          <w:ilvl w:val="0"/>
          <w:numId w:val="35"/>
        </w:num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278494B1">
      <w:pPr>
        <w:adjustRightInd w:val="0"/>
        <w:snapToGrid w:val="0"/>
        <w:spacing w:line="600" w:lineRule="exact"/>
        <w:ind w:firstLine="720"/>
        <w:rPr>
          <w:rFonts w:ascii="Times New Roman" w:hAnsi="Times New Roman" w:eastAsia="楷体_GB2312" w:cs="Times New Roman"/>
          <w:b/>
          <w:sz w:val="32"/>
          <w:szCs w:val="32"/>
          <w:lang w:val="zh-CN"/>
        </w:rPr>
      </w:pPr>
    </w:p>
    <w:p w14:paraId="32DD74D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0A1384C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533AF72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15B24AC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4D4CE0F6">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布德镇新桥村龙田组夏家岩脚崩塌治理已</w:t>
      </w:r>
      <w:r>
        <w:rPr>
          <w:rFonts w:hint="eastAsia" w:ascii="Times New Roman" w:hAnsi="Times New Roman" w:eastAsia="仿宋_GB2312" w:cs="Times New Roman"/>
          <w:sz w:val="32"/>
          <w:szCs w:val="32"/>
          <w:lang w:eastAsia="zh-CN"/>
        </w:rPr>
        <w:t>完成并通过验收，完成支出</w:t>
      </w:r>
      <w:r>
        <w:rPr>
          <w:rFonts w:hint="eastAsia" w:ascii="Times New Roman" w:hAnsi="Times New Roman" w:eastAsia="仿宋_GB2312" w:cs="Times New Roman"/>
          <w:sz w:val="32"/>
          <w:szCs w:val="32"/>
          <w:lang w:val="en-US" w:eastAsia="zh-CN"/>
        </w:rPr>
        <w:t>64.99万元</w:t>
      </w:r>
    </w:p>
    <w:p w14:paraId="6E7B57F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7CF80BF6">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076E491E">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E16AB9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6C1562F0">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30CFA72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0EC76E96">
      <w:pPr>
        <w:adjustRightInd w:val="0"/>
        <w:snapToGrid w:val="0"/>
        <w:spacing w:line="600" w:lineRule="exact"/>
        <w:ind w:firstLine="1280" w:firstLineChars="4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6D76A41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531A3119">
      <w:pPr>
        <w:ind w:firstLine="1280" w:firstLineChars="4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04409F67">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4BB4D36">
      <w:pP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br w:type="page"/>
      </w:r>
    </w:p>
    <w:p w14:paraId="34F79C18">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190E4C98">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专项地质灾害隐患排查（仁和区）</w:t>
      </w:r>
      <w:r>
        <w:rPr>
          <w:rFonts w:ascii="Times New Roman" w:hAnsi="Times New Roman" w:eastAsia="仿宋_GB2312" w:cs="Times New Roman"/>
          <w:color w:val="auto"/>
          <w:kern w:val="2"/>
          <w:sz w:val="32"/>
          <w:szCs w:val="32"/>
          <w:lang w:val="zh-CN" w:eastAsia="zh-CN" w:bidi="ar-SA"/>
        </w:rPr>
        <w:t>）</w:t>
      </w:r>
    </w:p>
    <w:p w14:paraId="36B4CAE9">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5C5D650">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0B0B2EF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1E35B06">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b w:val="0"/>
          <w:kern w:val="2"/>
          <w:sz w:val="32"/>
          <w:szCs w:val="32"/>
          <w:lang w:val="en-US" w:eastAsia="zh-CN" w:bidi="ar-SA"/>
        </w:rPr>
        <w:t>专项地质灾害隐患排查（仁和区）是摸清仁和辖区内地质灾害隐患，减轻地质灾害风险；</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组织实施，督促中标单位按时保量完成治理工程；</w:t>
      </w:r>
      <w:r>
        <w:rPr>
          <w:rFonts w:ascii="Times New Roman" w:hAnsi="Times New Roman" w:eastAsia="仿宋_GB2312" w:cs="Times New Roman"/>
          <w:sz w:val="32"/>
          <w:szCs w:val="32"/>
        </w:rPr>
        <w:t>所有工程款项均按合同约定支</w:t>
      </w:r>
      <w:r>
        <w:rPr>
          <w:rFonts w:hint="eastAsia" w:ascii="Times New Roman" w:hAnsi="Times New Roman" w:eastAsia="仿宋_GB2312" w:cs="Times New Roman"/>
          <w:sz w:val="32"/>
          <w:szCs w:val="32"/>
          <w:lang w:eastAsia="zh-CN"/>
        </w:rPr>
        <w:t>付。</w:t>
      </w:r>
    </w:p>
    <w:p w14:paraId="11D5904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09B41C63">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完成</w:t>
      </w:r>
      <w:r>
        <w:rPr>
          <w:rFonts w:hint="eastAsia" w:ascii="Times New Roman" w:hAnsi="Times New Roman" w:eastAsia="仿宋_GB2312" w:cs="Times New Roman"/>
          <w:b w:val="0"/>
          <w:kern w:val="2"/>
          <w:sz w:val="32"/>
          <w:szCs w:val="32"/>
          <w:lang w:val="en-US" w:eastAsia="zh-CN" w:bidi="ar-SA"/>
        </w:rPr>
        <w:t>专项地质灾害隐患排查（仁和区）包括前期地质灾害排查、评估等，减少地质灾害风险</w:t>
      </w:r>
      <w:r>
        <w:rPr>
          <w:rFonts w:hint="eastAsia" w:ascii="Times New Roman" w:hAnsi="Times New Roman" w:eastAsia="仿宋_GB2312" w:cs="Times New Roman"/>
          <w:sz w:val="32"/>
          <w:szCs w:val="32"/>
          <w:lang w:eastAsia="zh-CN"/>
        </w:rPr>
        <w:t>，保护人民群众生命财产安全。</w:t>
      </w:r>
    </w:p>
    <w:p w14:paraId="491A2B22">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5C3591AE">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0F68A08E">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306DE4F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7478CA5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4F5AE700">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158168D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08CCCED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5B6560CD">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481316B6">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039BC72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28A75BA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rPr>
        <w:t>关于下达</w:t>
      </w:r>
      <w:r>
        <w:rPr>
          <w:rFonts w:hint="eastAsia" w:ascii="Times New Roman" w:hAnsi="Times New Roman" w:eastAsia="仿宋_GB2312" w:cs="Times New Roman"/>
          <w:b w:val="0"/>
          <w:kern w:val="2"/>
          <w:sz w:val="32"/>
          <w:szCs w:val="32"/>
          <w:lang w:val="en-US" w:eastAsia="zh-CN" w:bidi="ar-SA"/>
        </w:rPr>
        <w:t>专项地质灾害隐患排查（仁和区）</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62</w:t>
      </w:r>
      <w:r>
        <w:rPr>
          <w:rFonts w:ascii="Times New Roman" w:hAnsi="Times New Roman" w:eastAsia="仿宋_GB2312" w:cs="Times New Roman"/>
          <w:sz w:val="32"/>
          <w:szCs w:val="32"/>
        </w:rPr>
        <w:t>号</w:t>
      </w:r>
      <w:r>
        <w:rPr>
          <w:rFonts w:hint="eastAsia" w:ascii="Times New Roman" w:hAnsi="Times New Roman" w:eastAsia="仿宋_GB2312" w:cs="Times New Roman"/>
          <w:sz w:val="32"/>
          <w:szCs w:val="32"/>
          <w:lang w:eastAsia="zh-CN"/>
        </w:rPr>
        <w:t>、川财资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39号</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文</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w:t>
      </w:r>
    </w:p>
    <w:p w14:paraId="72B8E2E8">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42992EEE">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楷体_GB2312" w:cs="Times New Roman"/>
          <w:sz w:val="32"/>
          <w:szCs w:val="32"/>
          <w:lang w:val="zh-CN"/>
        </w:rPr>
        <w:t>及到位</w:t>
      </w:r>
      <w:r>
        <w:rPr>
          <w:rFonts w:ascii="Times New Roman" w:hAnsi="Times New Roman" w:eastAsia="楷体_GB2312" w:cs="Times New Roman"/>
          <w:sz w:val="32"/>
          <w:szCs w:val="32"/>
          <w:lang w:val="zh-CN"/>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b w:val="0"/>
          <w:kern w:val="2"/>
          <w:sz w:val="32"/>
          <w:szCs w:val="32"/>
          <w:lang w:val="en-US" w:eastAsia="zh-CN" w:bidi="ar-SA"/>
        </w:rPr>
        <w:t>专项地质灾害隐患排查（仁和区）</w:t>
      </w:r>
      <w:r>
        <w:rPr>
          <w:rFonts w:hint="eastAsia" w:ascii="Times New Roman" w:hAnsi="Times New Roman" w:eastAsia="仿宋_GB2312" w:cs="Times New Roman"/>
          <w:color w:val="000000"/>
          <w:kern w:val="0"/>
          <w:sz w:val="32"/>
          <w:szCs w:val="32"/>
          <w:shd w:val="clear" w:color="auto" w:fill="FFFFFF"/>
          <w:lang w:val="en-US" w:eastAsia="zh-CN"/>
        </w:rPr>
        <w:t>22</w:t>
      </w:r>
      <w:r>
        <w:rPr>
          <w:rFonts w:ascii="Times New Roman" w:hAnsi="Times New Roman" w:eastAsia="仿宋_GB2312" w:cs="Times New Roman"/>
          <w:sz w:val="32"/>
          <w:szCs w:val="32"/>
        </w:rPr>
        <w:t>万元。</w:t>
      </w:r>
    </w:p>
    <w:p w14:paraId="538B4518">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b w:val="0"/>
          <w:kern w:val="2"/>
          <w:sz w:val="32"/>
          <w:szCs w:val="32"/>
          <w:lang w:val="en-US" w:eastAsia="zh-CN" w:bidi="ar-SA"/>
        </w:rPr>
        <w:t>专项地质灾害隐患排查（仁和区）</w:t>
      </w:r>
      <w:r>
        <w:rPr>
          <w:rFonts w:hint="eastAsia" w:ascii="Times New Roman" w:hAnsi="Times New Roman" w:eastAsia="仿宋_GB2312" w:cs="Times New Roman"/>
          <w:color w:val="000000"/>
          <w:kern w:val="0"/>
          <w:sz w:val="32"/>
          <w:szCs w:val="32"/>
          <w:shd w:val="clear" w:color="auto" w:fill="FFFFFF"/>
          <w:lang w:eastAsia="zh-CN"/>
        </w:rPr>
        <w:t>资金</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22</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0036DAD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42B879E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4E5335CF">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15CF9B00">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2A2B3562">
      <w:pPr>
        <w:numPr>
          <w:ilvl w:val="0"/>
          <w:numId w:val="34"/>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11EC9A21">
      <w:pPr>
        <w:numPr>
          <w:ilvl w:val="0"/>
          <w:numId w:val="0"/>
        </w:numPr>
        <w:adjustRightInd w:val="0"/>
        <w:snapToGrid w:val="0"/>
        <w:spacing w:line="600" w:lineRule="exact"/>
        <w:ind w:firstLine="1280" w:firstLineChars="4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组织架构：项目业主由攀枝花市自然资源和规划局仁和区分局担任，局长任平总负责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分管领导由王磊副主任兼任，矿管股承担具体工作。施工进场后下设项目经理、技术负责人、安全员、材料员、资料员、总监理师等，确保项目高效、有序、安全推进。</w:t>
      </w:r>
    </w:p>
    <w:p w14:paraId="5DF3D2D0">
      <w:pPr>
        <w:numPr>
          <w:ilvl w:val="0"/>
          <w:numId w:val="35"/>
        </w:num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72DD9235">
      <w:pPr>
        <w:adjustRightInd w:val="0"/>
        <w:snapToGrid w:val="0"/>
        <w:spacing w:line="600" w:lineRule="exact"/>
        <w:ind w:firstLine="720"/>
        <w:rPr>
          <w:rFonts w:ascii="Times New Roman" w:hAnsi="Times New Roman" w:eastAsia="楷体_GB2312" w:cs="Times New Roman"/>
          <w:b/>
          <w:sz w:val="32"/>
          <w:szCs w:val="32"/>
          <w:lang w:val="zh-CN"/>
        </w:rPr>
      </w:pPr>
    </w:p>
    <w:p w14:paraId="060ED5C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5AE8769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3498A023">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4B1284D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426F6818">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仁和辖区内地质灾害隐患排查已</w:t>
      </w:r>
      <w:r>
        <w:rPr>
          <w:rFonts w:hint="eastAsia" w:ascii="Times New Roman" w:hAnsi="Times New Roman" w:eastAsia="仿宋_GB2312" w:cs="Times New Roman"/>
          <w:sz w:val="32"/>
          <w:szCs w:val="32"/>
          <w:lang w:eastAsia="zh-CN"/>
        </w:rPr>
        <w:t>完成并通过验收，完成支出</w:t>
      </w:r>
      <w:r>
        <w:rPr>
          <w:rFonts w:hint="eastAsia" w:ascii="Times New Roman" w:hAnsi="Times New Roman" w:eastAsia="仿宋_GB2312" w:cs="Times New Roman"/>
          <w:sz w:val="32"/>
          <w:szCs w:val="32"/>
          <w:lang w:val="en-US" w:eastAsia="zh-CN"/>
        </w:rPr>
        <w:t>22万元</w:t>
      </w:r>
    </w:p>
    <w:p w14:paraId="7C36169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2FC4FC51">
      <w:pPr>
        <w:adjustRightInd w:val="0"/>
        <w:snapToGrid w:val="0"/>
        <w:spacing w:line="600" w:lineRule="exact"/>
        <w:ind w:firstLine="72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排查隐患</w:t>
      </w:r>
      <w:r>
        <w:rPr>
          <w:rFonts w:ascii="Times New Roman" w:hAnsi="Times New Roman" w:eastAsia="仿宋_GB2312" w:cs="Times New Roman"/>
          <w:sz w:val="32"/>
          <w:szCs w:val="32"/>
        </w:rPr>
        <w:t>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4D668598">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0C5E61E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582D99CE">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地灾治理项目及时消除安全隐患，在保护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38ECD4D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4F448191">
      <w:pPr>
        <w:adjustRightInd w:val="0"/>
        <w:snapToGrid w:val="0"/>
        <w:spacing w:line="600" w:lineRule="exact"/>
        <w:ind w:firstLine="1280" w:firstLineChars="4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26EBA95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DE67965">
      <w:pPr>
        <w:ind w:firstLine="1280" w:firstLineChars="4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5B14062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4A2EBE2B">
      <w:pP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br w:type="page"/>
      </w:r>
    </w:p>
    <w:p w14:paraId="2A033255">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470E4013">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矿产违法实地测绘项目</w:t>
      </w:r>
      <w:r>
        <w:rPr>
          <w:rFonts w:ascii="Times New Roman" w:hAnsi="Times New Roman" w:eastAsia="仿宋_GB2312" w:cs="Times New Roman"/>
          <w:color w:val="auto"/>
          <w:kern w:val="2"/>
          <w:sz w:val="32"/>
          <w:szCs w:val="32"/>
          <w:lang w:val="zh-CN" w:eastAsia="zh-CN" w:bidi="ar-SA"/>
        </w:rPr>
        <w:t>）</w:t>
      </w:r>
    </w:p>
    <w:p w14:paraId="32C5DCF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8748364">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1F1D1FD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37E0FCF6">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b w:val="0"/>
          <w:kern w:val="2"/>
          <w:sz w:val="32"/>
          <w:szCs w:val="32"/>
          <w:lang w:val="en-US" w:eastAsia="zh-CN" w:bidi="ar-SA"/>
        </w:rPr>
        <w:t>矿产违法实地测绘项目包括太平乡蓉斤洗煤厂私挖盗采入井探查、现场监护、非法开采点启封清理等；</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组织实施，督促中标单位按时保量完成治理工程；</w:t>
      </w:r>
      <w:r>
        <w:rPr>
          <w:rFonts w:ascii="Times New Roman" w:hAnsi="Times New Roman" w:eastAsia="仿宋_GB2312" w:cs="Times New Roman"/>
          <w:sz w:val="32"/>
          <w:szCs w:val="32"/>
        </w:rPr>
        <w:t>所有工程款项均按合同约定支</w:t>
      </w:r>
      <w:r>
        <w:rPr>
          <w:rFonts w:hint="eastAsia" w:ascii="Times New Roman" w:hAnsi="Times New Roman" w:eastAsia="仿宋_GB2312" w:cs="Times New Roman"/>
          <w:sz w:val="32"/>
          <w:szCs w:val="32"/>
          <w:lang w:eastAsia="zh-CN"/>
        </w:rPr>
        <w:t>付。</w:t>
      </w:r>
    </w:p>
    <w:p w14:paraId="203212D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90CC83E">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完成</w:t>
      </w:r>
      <w:r>
        <w:rPr>
          <w:rFonts w:hint="eastAsia" w:ascii="Times New Roman" w:hAnsi="Times New Roman" w:eastAsia="仿宋_GB2312" w:cs="Times New Roman"/>
          <w:b w:val="0"/>
          <w:kern w:val="2"/>
          <w:sz w:val="32"/>
          <w:szCs w:val="32"/>
          <w:lang w:val="en-US" w:eastAsia="zh-CN" w:bidi="ar-SA"/>
        </w:rPr>
        <w:t>矿产违法实地测绘项目</w:t>
      </w:r>
      <w:r>
        <w:rPr>
          <w:rFonts w:hint="eastAsia" w:ascii="Times New Roman" w:hAnsi="Times New Roman" w:eastAsia="仿宋_GB2312" w:cs="Times New Roman"/>
          <w:sz w:val="32"/>
          <w:szCs w:val="32"/>
          <w:lang w:eastAsia="zh-CN"/>
        </w:rPr>
        <w:t>入井探查、启封清理等，保护国有矿产资源流失，提升生态环境质量。</w:t>
      </w:r>
    </w:p>
    <w:p w14:paraId="463E90F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4831BE5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52FB888A">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64B50277">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39A09C78">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6EE76CBF">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44E1ECB0">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40587E32">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6647F7F1">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7BDD7A3C">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2226472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00E7C03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rPr>
        <w:t>关于下达</w:t>
      </w:r>
      <w:r>
        <w:rPr>
          <w:rFonts w:hint="eastAsia" w:ascii="Times New Roman" w:hAnsi="Times New Roman" w:eastAsia="仿宋_GB2312" w:cs="Times New Roman"/>
          <w:b w:val="0"/>
          <w:kern w:val="2"/>
          <w:sz w:val="32"/>
          <w:szCs w:val="32"/>
          <w:lang w:val="en-US" w:eastAsia="zh-CN" w:bidi="ar-SA"/>
        </w:rPr>
        <w:t>矿产违法实地测绘项目</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64</w:t>
      </w:r>
      <w:r>
        <w:rPr>
          <w:rFonts w:ascii="Times New Roman" w:hAnsi="Times New Roman" w:eastAsia="仿宋_GB2312" w:cs="Times New Roman"/>
          <w:sz w:val="32"/>
          <w:szCs w:val="32"/>
        </w:rPr>
        <w:t>号</w:t>
      </w:r>
      <w:r>
        <w:rPr>
          <w:rFonts w:hint="eastAsia" w:ascii="Times New Roman" w:hAnsi="Times New Roman" w:eastAsia="仿宋_GB2312" w:cs="Times New Roman"/>
          <w:sz w:val="32"/>
          <w:szCs w:val="32"/>
          <w:lang w:eastAsia="zh-CN"/>
        </w:rPr>
        <w:t>）</w:t>
      </w:r>
      <w:r>
        <w:rPr>
          <w:rFonts w:hint="eastAsia" w:eastAsia="仿宋_GB2312" w:cs="Times New Roman"/>
          <w:sz w:val="32"/>
          <w:szCs w:val="32"/>
          <w:lang w:eastAsia="zh-CN"/>
        </w:rPr>
        <w:t>文件</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w:t>
      </w:r>
    </w:p>
    <w:p w14:paraId="5ECAC68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0834FF27">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楷体_GB2312" w:cs="Times New Roman"/>
          <w:sz w:val="32"/>
          <w:szCs w:val="32"/>
          <w:lang w:val="zh-CN"/>
        </w:rPr>
        <w:t>及到位</w:t>
      </w:r>
      <w:r>
        <w:rPr>
          <w:rFonts w:ascii="Times New Roman" w:hAnsi="Times New Roman" w:eastAsia="楷体_GB2312" w:cs="Times New Roman"/>
          <w:sz w:val="32"/>
          <w:szCs w:val="32"/>
          <w:lang w:val="zh-CN"/>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b w:val="0"/>
          <w:kern w:val="2"/>
          <w:sz w:val="32"/>
          <w:szCs w:val="32"/>
          <w:lang w:val="en-US" w:eastAsia="zh-CN" w:bidi="ar-SA"/>
        </w:rPr>
        <w:t>矿产违法实地测绘项目</w:t>
      </w:r>
      <w:r>
        <w:rPr>
          <w:rFonts w:hint="eastAsia" w:ascii="Times New Roman" w:hAnsi="Times New Roman" w:eastAsia="仿宋_GB2312" w:cs="Times New Roman"/>
          <w:color w:val="000000"/>
          <w:kern w:val="0"/>
          <w:sz w:val="32"/>
          <w:szCs w:val="32"/>
          <w:shd w:val="clear" w:color="auto" w:fill="FFFFFF"/>
          <w:lang w:val="en-US" w:eastAsia="zh-CN"/>
        </w:rPr>
        <w:t>9.15</w:t>
      </w:r>
      <w:r>
        <w:rPr>
          <w:rFonts w:ascii="Times New Roman" w:hAnsi="Times New Roman" w:eastAsia="仿宋_GB2312" w:cs="Times New Roman"/>
          <w:sz w:val="32"/>
          <w:szCs w:val="32"/>
        </w:rPr>
        <w:t>万元。</w:t>
      </w:r>
    </w:p>
    <w:p w14:paraId="13E6A7AE">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b w:val="0"/>
          <w:kern w:val="2"/>
          <w:sz w:val="32"/>
          <w:szCs w:val="32"/>
          <w:lang w:val="en-US" w:eastAsia="zh-CN" w:bidi="ar-SA"/>
        </w:rPr>
        <w:t>矿产违法实地测绘项目</w:t>
      </w:r>
      <w:r>
        <w:rPr>
          <w:rFonts w:hint="eastAsia" w:ascii="Times New Roman" w:hAnsi="Times New Roman" w:eastAsia="仿宋_GB2312" w:cs="Times New Roman"/>
          <w:color w:val="000000"/>
          <w:kern w:val="0"/>
          <w:sz w:val="32"/>
          <w:szCs w:val="32"/>
          <w:shd w:val="clear" w:color="auto" w:fill="FFFFFF"/>
          <w:lang w:eastAsia="zh-CN"/>
        </w:rPr>
        <w:t>资金</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9.15</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3D0FEB53">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39BD025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4C203506">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25C963BD">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620C05E1">
      <w:pPr>
        <w:numPr>
          <w:ilvl w:val="0"/>
          <w:numId w:val="34"/>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240F0817">
      <w:pPr>
        <w:numPr>
          <w:ilvl w:val="0"/>
          <w:numId w:val="0"/>
        </w:numPr>
        <w:adjustRightInd w:val="0"/>
        <w:snapToGrid w:val="0"/>
        <w:spacing w:line="600" w:lineRule="exact"/>
        <w:ind w:firstLine="960" w:firstLineChars="3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组织架构：项目业主由攀枝花市自然资源和规划局仁和区分局担任，局长任平总负责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分管领导由罗雄副队长兼任，执法大队承担具体工作。施工进场后下设项目经理、技术负责人、安全员、材料员、资料员、总监理师等，确保项目高效、有序、安全推进。</w:t>
      </w:r>
    </w:p>
    <w:p w14:paraId="17DE76D1">
      <w:pPr>
        <w:numPr>
          <w:ilvl w:val="0"/>
          <w:numId w:val="35"/>
        </w:num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4CA04DAF">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41548DB7">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2199D71A">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1C8B0E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64B9811C">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val="0"/>
          <w:kern w:val="2"/>
          <w:sz w:val="32"/>
          <w:szCs w:val="32"/>
          <w:lang w:val="en-US" w:eastAsia="zh-CN" w:bidi="ar-SA"/>
        </w:rPr>
        <w:t>矿产违法实地测绘项目</w:t>
      </w:r>
      <w:r>
        <w:rPr>
          <w:rFonts w:hint="eastAsia" w:ascii="Times New Roman" w:hAnsi="Times New Roman" w:eastAsia="仿宋_GB2312" w:cs="Times New Roman"/>
          <w:sz w:val="32"/>
          <w:szCs w:val="32"/>
          <w:lang w:val="zh-CN"/>
        </w:rPr>
        <w:t>已</w:t>
      </w:r>
      <w:r>
        <w:rPr>
          <w:rFonts w:hint="eastAsia" w:ascii="Times New Roman" w:hAnsi="Times New Roman" w:eastAsia="仿宋_GB2312" w:cs="Times New Roman"/>
          <w:sz w:val="32"/>
          <w:szCs w:val="32"/>
          <w:lang w:eastAsia="zh-CN"/>
        </w:rPr>
        <w:t>完成入井探查、非法开采点启封清理工作，完成支出</w:t>
      </w:r>
      <w:r>
        <w:rPr>
          <w:rFonts w:hint="eastAsia" w:ascii="Times New Roman" w:hAnsi="Times New Roman" w:eastAsia="仿宋_GB2312" w:cs="Times New Roman"/>
          <w:sz w:val="32"/>
          <w:szCs w:val="32"/>
          <w:lang w:val="en-US" w:eastAsia="zh-CN"/>
        </w:rPr>
        <w:t>9.15万元</w:t>
      </w:r>
    </w:p>
    <w:p w14:paraId="3F82036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68649663">
      <w:pPr>
        <w:adjustRightInd w:val="0"/>
        <w:snapToGrid w:val="0"/>
        <w:spacing w:line="600" w:lineRule="exact"/>
        <w:ind w:firstLine="72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打击非法开采，保护国有矿产资源流失，</w:t>
      </w:r>
      <w:r>
        <w:rPr>
          <w:rFonts w:ascii="Times New Roman" w:hAnsi="Times New Roman" w:eastAsia="仿宋_GB2312" w:cs="Times New Roman"/>
          <w:sz w:val="32"/>
          <w:szCs w:val="32"/>
        </w:rPr>
        <w:t>提升了生态环境质量，实现可持续发展。</w:t>
      </w:r>
    </w:p>
    <w:p w14:paraId="7EB8E016">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2D5FF7B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41A675A4">
      <w:pPr>
        <w:adjustRightInd w:val="0"/>
        <w:snapToGrid w:val="0"/>
        <w:spacing w:line="600" w:lineRule="exact"/>
        <w:ind w:firstLine="72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打击非法开采，保护国有矿产资源流失，</w:t>
      </w:r>
      <w:r>
        <w:rPr>
          <w:rFonts w:ascii="Times New Roman" w:hAnsi="Times New Roman" w:eastAsia="仿宋_GB2312" w:cs="Times New Roman"/>
          <w:sz w:val="32"/>
          <w:szCs w:val="32"/>
        </w:rPr>
        <w:t>提升了生态环境质量，实现可持续发展。</w:t>
      </w:r>
    </w:p>
    <w:p w14:paraId="7642DA2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6B440CBF">
      <w:pPr>
        <w:adjustRightInd w:val="0"/>
        <w:snapToGrid w:val="0"/>
        <w:spacing w:line="600" w:lineRule="exact"/>
        <w:ind w:firstLine="1280" w:firstLineChars="4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413F2F01">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45B2F882">
      <w:pPr>
        <w:ind w:firstLine="1280" w:firstLineChars="4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1BBDF9F8">
      <w:pPr>
        <w:rPr>
          <w:rFonts w:ascii="Times New Roman" w:hAnsi="Times New Roman" w:eastAsia="宋体" w:cs="Times New Roman"/>
          <w:color w:val="auto"/>
          <w:kern w:val="2"/>
          <w:sz w:val="32"/>
          <w:szCs w:val="32"/>
          <w:lang w:val="zh-CN" w:eastAsia="zh-CN" w:bidi="ar-SA"/>
        </w:rPr>
      </w:pPr>
      <w:r>
        <w:rPr>
          <w:rFonts w:ascii="Times New Roman" w:hAnsi="Times New Roman" w:eastAsia="宋体" w:cs="Times New Roman"/>
          <w:color w:val="auto"/>
          <w:kern w:val="2"/>
          <w:sz w:val="32"/>
          <w:szCs w:val="32"/>
          <w:lang w:val="zh-CN" w:eastAsia="zh-CN" w:bidi="ar-SA"/>
        </w:rPr>
        <w:br w:type="page"/>
      </w:r>
    </w:p>
    <w:p w14:paraId="1F711CF3">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31202DB3">
      <w:pPr>
        <w:adjustRightInd w:val="0"/>
        <w:snapToGrid w:val="0"/>
        <w:spacing w:line="600" w:lineRule="exact"/>
        <w:ind w:firstLine="720"/>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2025年清理拖欠企业欠款（区级）</w:t>
      </w:r>
      <w:r>
        <w:rPr>
          <w:rFonts w:ascii="Times New Roman" w:hAnsi="Times New Roman" w:eastAsia="仿宋_GB2312" w:cs="Times New Roman"/>
          <w:color w:val="auto"/>
          <w:kern w:val="2"/>
          <w:sz w:val="32"/>
          <w:szCs w:val="32"/>
          <w:lang w:val="zh-CN" w:eastAsia="zh-CN" w:bidi="ar-SA"/>
        </w:rPr>
        <w:t>）</w:t>
      </w:r>
    </w:p>
    <w:p w14:paraId="5D413742">
      <w:pPr>
        <w:adjustRightInd w:val="0"/>
        <w:snapToGrid w:val="0"/>
        <w:spacing w:line="600" w:lineRule="exact"/>
        <w:ind w:firstLine="720"/>
        <w:rPr>
          <w:rFonts w:ascii="Times New Roman" w:hAnsi="Times New Roman" w:eastAsia="仿宋_GB2312" w:cs="Times New Roman"/>
          <w:color w:val="auto"/>
          <w:kern w:val="2"/>
          <w:sz w:val="32"/>
          <w:szCs w:val="32"/>
          <w:lang w:val="zh-CN" w:eastAsia="zh-CN" w:bidi="ar-SA"/>
        </w:rPr>
      </w:pPr>
    </w:p>
    <w:p w14:paraId="64D961CF">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6BCEA1A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05B2DF85">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b w:val="0"/>
          <w:kern w:val="2"/>
          <w:sz w:val="32"/>
          <w:szCs w:val="32"/>
          <w:lang w:val="en-US" w:eastAsia="zh-CN" w:bidi="ar-SA"/>
        </w:rPr>
        <w:t>2025年清理拖欠企业欠款（区级及50</w:t>
      </w:r>
      <w:r>
        <w:rPr>
          <w:rFonts w:hint="eastAsia" w:eastAsia="仿宋_GB2312" w:cs="Times New Roman"/>
          <w:b w:val="0"/>
          <w:kern w:val="2"/>
          <w:sz w:val="32"/>
          <w:szCs w:val="32"/>
          <w:lang w:val="en-US" w:eastAsia="zh-CN" w:bidi="ar-SA"/>
        </w:rPr>
        <w:t>万元</w:t>
      </w:r>
      <w:r>
        <w:rPr>
          <w:rFonts w:hint="eastAsia" w:ascii="Times New Roman" w:hAnsi="Times New Roman" w:eastAsia="仿宋_GB2312" w:cs="Times New Roman"/>
          <w:b w:val="0"/>
          <w:kern w:val="2"/>
          <w:sz w:val="32"/>
          <w:szCs w:val="32"/>
          <w:lang w:val="en-US" w:eastAsia="zh-CN" w:bidi="ar-SA"/>
        </w:rPr>
        <w:t>以下工程款）包括以前年度50万元</w:t>
      </w:r>
      <w:r>
        <w:rPr>
          <w:rFonts w:hint="eastAsia" w:eastAsia="仿宋_GB2312" w:cs="Times New Roman"/>
          <w:b w:val="0"/>
          <w:kern w:val="2"/>
          <w:sz w:val="32"/>
          <w:szCs w:val="32"/>
          <w:lang w:val="en-US" w:eastAsia="zh-CN" w:bidi="ar-SA"/>
        </w:rPr>
        <w:t>以下</w:t>
      </w:r>
      <w:r>
        <w:rPr>
          <w:rFonts w:hint="eastAsia" w:ascii="Times New Roman" w:hAnsi="Times New Roman" w:eastAsia="仿宋_GB2312" w:cs="Times New Roman"/>
          <w:b w:val="0"/>
          <w:kern w:val="2"/>
          <w:sz w:val="32"/>
          <w:szCs w:val="32"/>
          <w:lang w:val="en-US" w:eastAsia="zh-CN" w:bidi="ar-SA"/>
        </w:rPr>
        <w:t>的企业欠款；</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组织实施，清理仁和分局</w:t>
      </w:r>
      <w:r>
        <w:rPr>
          <w:rFonts w:hint="eastAsia" w:ascii="Times New Roman" w:hAnsi="Times New Roman" w:eastAsia="仿宋_GB2312" w:cs="Times New Roman"/>
          <w:sz w:val="32"/>
          <w:szCs w:val="32"/>
          <w:lang w:val="en-US" w:eastAsia="zh-CN"/>
        </w:rPr>
        <w:t>50万元以下的企业欠款，按时按量支付企业欠款</w:t>
      </w:r>
      <w:r>
        <w:rPr>
          <w:rFonts w:hint="eastAsia" w:ascii="Times New Roman" w:hAnsi="Times New Roman" w:eastAsia="仿宋_GB2312" w:cs="Times New Roman"/>
          <w:sz w:val="32"/>
          <w:szCs w:val="32"/>
          <w:lang w:eastAsia="zh-CN"/>
        </w:rPr>
        <w:t>。</w:t>
      </w:r>
    </w:p>
    <w:p w14:paraId="446A641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732D340C">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完成</w:t>
      </w:r>
      <w:r>
        <w:rPr>
          <w:rFonts w:hint="eastAsia" w:ascii="Times New Roman" w:hAnsi="Times New Roman" w:eastAsia="仿宋_GB2312" w:cs="Times New Roman"/>
          <w:b w:val="0"/>
          <w:kern w:val="2"/>
          <w:sz w:val="32"/>
          <w:szCs w:val="32"/>
          <w:lang w:val="en-US" w:eastAsia="zh-CN" w:bidi="ar-SA"/>
        </w:rPr>
        <w:t>2025年清理拖欠企业欠款，包含区级及50</w:t>
      </w:r>
      <w:r>
        <w:rPr>
          <w:rFonts w:hint="eastAsia" w:eastAsia="仿宋_GB2312" w:cs="Times New Roman"/>
          <w:b w:val="0"/>
          <w:kern w:val="2"/>
          <w:sz w:val="32"/>
          <w:szCs w:val="32"/>
          <w:lang w:val="en-US" w:eastAsia="zh-CN" w:bidi="ar-SA"/>
        </w:rPr>
        <w:t>万元</w:t>
      </w:r>
      <w:r>
        <w:rPr>
          <w:rFonts w:hint="eastAsia" w:ascii="Times New Roman" w:hAnsi="Times New Roman" w:eastAsia="仿宋_GB2312" w:cs="Times New Roman"/>
          <w:b w:val="0"/>
          <w:kern w:val="2"/>
          <w:sz w:val="32"/>
          <w:szCs w:val="32"/>
          <w:lang w:val="en-US" w:eastAsia="zh-CN" w:bidi="ar-SA"/>
        </w:rPr>
        <w:t>以下工程款；解决历史拖欠款项</w:t>
      </w:r>
      <w:r>
        <w:rPr>
          <w:rFonts w:hint="eastAsia" w:ascii="Times New Roman" w:hAnsi="Times New Roman" w:eastAsia="仿宋_GB2312" w:cs="Times New Roman"/>
          <w:sz w:val="32"/>
          <w:szCs w:val="32"/>
          <w:lang w:eastAsia="zh-CN"/>
        </w:rPr>
        <w:t>，确保社会和谐稳定。</w:t>
      </w:r>
    </w:p>
    <w:p w14:paraId="5D859D7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4AC149C3">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272E705D">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69A1733B">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2DB19315">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01F23726">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2971A0AA">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2C649566">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6C77DDA4">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3A67A25D">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68ECF208">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314B09DB">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rPr>
        <w:t>关于下达</w:t>
      </w:r>
      <w:r>
        <w:rPr>
          <w:rFonts w:hint="eastAsia" w:ascii="Times New Roman" w:hAnsi="Times New Roman" w:eastAsia="仿宋_GB2312" w:cs="Times New Roman"/>
          <w:b w:val="0"/>
          <w:kern w:val="2"/>
          <w:sz w:val="32"/>
          <w:szCs w:val="32"/>
          <w:lang w:val="en-US" w:eastAsia="zh-CN" w:bidi="ar-SA"/>
        </w:rPr>
        <w:t>2025年清理拖欠企业欠款</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73</w:t>
      </w:r>
      <w:r>
        <w:rPr>
          <w:rFonts w:ascii="Times New Roman" w:hAnsi="Times New Roman" w:eastAsia="仿宋_GB2312" w:cs="Times New Roman"/>
          <w:sz w:val="32"/>
          <w:szCs w:val="32"/>
        </w:rPr>
        <w:t>号）</w:t>
      </w:r>
      <w:r>
        <w:rPr>
          <w:rFonts w:hint="eastAsia" w:eastAsia="仿宋_GB2312" w:cs="Times New Roman"/>
          <w:sz w:val="32"/>
          <w:szCs w:val="32"/>
          <w:lang w:eastAsia="zh-CN"/>
        </w:rPr>
        <w:t>文件</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w:t>
      </w:r>
    </w:p>
    <w:p w14:paraId="5D1D38D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45624318">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楷体_GB2312" w:cs="Times New Roman"/>
          <w:sz w:val="32"/>
          <w:szCs w:val="32"/>
          <w:lang w:val="zh-CN"/>
        </w:rPr>
        <w:t>及到位</w:t>
      </w:r>
      <w:r>
        <w:rPr>
          <w:rFonts w:ascii="Times New Roman" w:hAnsi="Times New Roman" w:eastAsia="楷体_GB2312" w:cs="Times New Roman"/>
          <w:sz w:val="32"/>
          <w:szCs w:val="32"/>
          <w:lang w:val="zh-CN"/>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b w:val="0"/>
          <w:kern w:val="2"/>
          <w:sz w:val="32"/>
          <w:szCs w:val="32"/>
          <w:lang w:val="en-US" w:eastAsia="zh-CN" w:bidi="ar-SA"/>
        </w:rPr>
        <w:t>2025年清理拖欠企业欠款</w:t>
      </w:r>
      <w:r>
        <w:rPr>
          <w:rFonts w:hint="eastAsia" w:ascii="Times New Roman" w:hAnsi="Times New Roman" w:eastAsia="仿宋_GB2312" w:cs="Times New Roman"/>
          <w:color w:val="000000"/>
          <w:kern w:val="0"/>
          <w:sz w:val="32"/>
          <w:szCs w:val="32"/>
          <w:shd w:val="clear" w:color="auto" w:fill="FFFFFF"/>
          <w:lang w:val="en-US" w:eastAsia="zh-CN"/>
        </w:rPr>
        <w:t>458.28</w:t>
      </w:r>
      <w:r>
        <w:rPr>
          <w:rFonts w:ascii="Times New Roman" w:hAnsi="Times New Roman" w:eastAsia="仿宋_GB2312" w:cs="Times New Roman"/>
          <w:sz w:val="32"/>
          <w:szCs w:val="32"/>
        </w:rPr>
        <w:t>万元。</w:t>
      </w:r>
    </w:p>
    <w:p w14:paraId="5FFA4D0A">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b w:val="0"/>
          <w:kern w:val="2"/>
          <w:sz w:val="32"/>
          <w:szCs w:val="32"/>
          <w:lang w:val="en-US" w:eastAsia="zh-CN" w:bidi="ar-SA"/>
        </w:rPr>
        <w:t>2025年清理拖欠企业欠款</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458.28</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415AC76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243867A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52013C2B">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0BAEECA1">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仁和区分局组织实施，</w:t>
      </w:r>
      <w:r>
        <w:rPr>
          <w:rFonts w:hint="eastAsia" w:ascii="Times New Roman" w:hAnsi="Times New Roman" w:eastAsia="仿宋_GB2312" w:cs="Times New Roman"/>
          <w:sz w:val="32"/>
          <w:szCs w:val="32"/>
          <w:lang w:eastAsia="zh-CN"/>
        </w:rPr>
        <w:t>清理仁和分局历年拖欠企业款项，按时按量及时支付</w:t>
      </w:r>
      <w:r>
        <w:rPr>
          <w:rFonts w:ascii="Times New Roman" w:hAnsi="Times New Roman" w:eastAsia="仿宋_GB2312" w:cs="Times New Roman"/>
          <w:sz w:val="32"/>
          <w:szCs w:val="32"/>
        </w:rPr>
        <w:t>。</w:t>
      </w:r>
    </w:p>
    <w:p w14:paraId="7A895F93">
      <w:pPr>
        <w:numPr>
          <w:ilvl w:val="0"/>
          <w:numId w:val="34"/>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626B2664">
      <w:pPr>
        <w:numPr>
          <w:ilvl w:val="0"/>
          <w:numId w:val="0"/>
        </w:numPr>
        <w:adjustRightInd w:val="0"/>
        <w:snapToGrid w:val="0"/>
        <w:spacing w:line="600" w:lineRule="exact"/>
        <w:ind w:firstLine="1280" w:firstLineChars="4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组织架构：项目业主由攀枝花市自然资源和规划局仁和区分局担任，局长任平总负责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分管领导由罗雄副队长兼任，财务室承担具体工作，负责统计历年欠款，及时准确支付企业款项。</w:t>
      </w:r>
    </w:p>
    <w:p w14:paraId="7CEED8B9">
      <w:pPr>
        <w:numPr>
          <w:ilvl w:val="0"/>
          <w:numId w:val="35"/>
        </w:numPr>
        <w:adjustRightInd w:val="0"/>
        <w:snapToGrid w:val="0"/>
        <w:spacing w:line="600" w:lineRule="exact"/>
        <w:ind w:firstLine="720"/>
        <w:rPr>
          <w:rFonts w:ascii="Times New Roman" w:hAnsi="Times New Roman" w:eastAsia="楷体_GB2312" w:cs="Times New Roman"/>
          <w:b/>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w:t>
      </w:r>
      <w:r>
        <w:rPr>
          <w:rFonts w:hint="eastAsia" w:ascii="Times New Roman" w:hAnsi="Times New Roman" w:eastAsia="仿宋_GB2312" w:cs="Times New Roman"/>
          <w:sz w:val="32"/>
          <w:szCs w:val="32"/>
          <w:lang w:eastAsia="zh-CN"/>
        </w:rPr>
        <w:t>与拖欠企业确定金额、发票，按报销程序及时支付</w:t>
      </w:r>
      <w:r>
        <w:rPr>
          <w:rFonts w:ascii="Times New Roman" w:hAnsi="Times New Roman" w:eastAsia="仿宋_GB2312" w:cs="Times New Roman"/>
          <w:sz w:val="32"/>
          <w:szCs w:val="32"/>
        </w:rPr>
        <w:t>。</w:t>
      </w:r>
    </w:p>
    <w:p w14:paraId="428403E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20B0E03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市局加强对清理拖欠企业欠款项目的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，对欠款金额审核</w:t>
      </w:r>
      <w:r>
        <w:rPr>
          <w:rFonts w:ascii="Times New Roman" w:hAnsi="Times New Roman" w:eastAsia="仿宋_GB2312" w:cs="Times New Roman"/>
          <w:sz w:val="32"/>
          <w:szCs w:val="32"/>
          <w:lang w:val="zh-CN"/>
        </w:rPr>
        <w:t>。</w:t>
      </w:r>
    </w:p>
    <w:p w14:paraId="1D345916">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3FF5F3D0">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109025AD">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eastAsia="仿宋_GB2312" w:cs="Times New Roman"/>
          <w:sz w:val="32"/>
          <w:szCs w:val="32"/>
          <w:lang w:val="en-US" w:eastAsia="zh-CN"/>
        </w:rPr>
        <w:t>50万元以下</w:t>
      </w:r>
      <w:r>
        <w:rPr>
          <w:rFonts w:hint="eastAsia" w:ascii="Times New Roman" w:hAnsi="Times New Roman" w:eastAsia="仿宋_GB2312" w:cs="Times New Roman"/>
          <w:sz w:val="32"/>
          <w:szCs w:val="32"/>
          <w:lang w:val="en-US" w:eastAsia="zh-CN"/>
        </w:rPr>
        <w:t>欠款清理</w:t>
      </w:r>
      <w:r>
        <w:rPr>
          <w:rFonts w:hint="eastAsia" w:ascii="Times New Roman" w:hAnsi="Times New Roman" w:eastAsia="仿宋_GB2312" w:cs="Times New Roman"/>
          <w:sz w:val="32"/>
          <w:szCs w:val="32"/>
          <w:lang w:eastAsia="zh-CN"/>
        </w:rPr>
        <w:t>完成并支出</w:t>
      </w:r>
      <w:r>
        <w:rPr>
          <w:rFonts w:hint="eastAsia" w:ascii="Times New Roman" w:hAnsi="Times New Roman" w:eastAsia="仿宋_GB2312" w:cs="Times New Roman"/>
          <w:sz w:val="32"/>
          <w:szCs w:val="32"/>
          <w:lang w:val="en-US" w:eastAsia="zh-CN"/>
        </w:rPr>
        <w:t>458.28万元</w:t>
      </w:r>
    </w:p>
    <w:p w14:paraId="0E92611F">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5B50827E">
      <w:pPr>
        <w:adjustRightInd w:val="0"/>
        <w:snapToGrid w:val="0"/>
        <w:spacing w:line="600" w:lineRule="exact"/>
        <w:ind w:firstLine="72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消除企业欠款</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维护社会和谐与稳定</w:t>
      </w:r>
      <w:r>
        <w:rPr>
          <w:rFonts w:ascii="Times New Roman" w:hAnsi="Times New Roman" w:eastAsia="仿宋_GB2312" w:cs="Times New Roman"/>
          <w:sz w:val="32"/>
          <w:szCs w:val="32"/>
        </w:rPr>
        <w:t>。</w:t>
      </w:r>
    </w:p>
    <w:p w14:paraId="6777F5B4">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0244B12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1E170F35">
      <w:pPr>
        <w:adjustRightInd w:val="0"/>
        <w:snapToGrid w:val="0"/>
        <w:spacing w:line="600" w:lineRule="exact"/>
        <w:ind w:firstLine="72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消除企业欠款</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维护社会和谐与稳定</w:t>
      </w:r>
      <w:r>
        <w:rPr>
          <w:rFonts w:ascii="Times New Roman" w:hAnsi="Times New Roman" w:eastAsia="仿宋_GB2312" w:cs="Times New Roman"/>
          <w:sz w:val="32"/>
          <w:szCs w:val="32"/>
        </w:rPr>
        <w:t>。</w:t>
      </w:r>
    </w:p>
    <w:p w14:paraId="75063A4B">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6E944BC9">
      <w:pPr>
        <w:adjustRightInd w:val="0"/>
        <w:snapToGrid w:val="0"/>
        <w:spacing w:line="600" w:lineRule="exact"/>
        <w:ind w:firstLine="1280" w:firstLineChars="4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0EE39CC7">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30935A0A">
      <w:pPr>
        <w:ind w:firstLine="1280" w:firstLineChars="4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1BC4ACB0">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0156A399">
      <w:pP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br w:type="page"/>
      </w:r>
    </w:p>
    <w:p w14:paraId="1B598CE1">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56CFA422">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2025年第四批地质灾害防治专项资金（省级）</w:t>
      </w:r>
      <w:r>
        <w:rPr>
          <w:rFonts w:ascii="Times New Roman" w:hAnsi="Times New Roman" w:eastAsia="仿宋_GB2312" w:cs="Times New Roman"/>
          <w:color w:val="auto"/>
          <w:kern w:val="2"/>
          <w:sz w:val="32"/>
          <w:szCs w:val="32"/>
          <w:lang w:val="zh-CN" w:eastAsia="zh-CN" w:bidi="ar-SA"/>
        </w:rPr>
        <w:t>）</w:t>
      </w:r>
    </w:p>
    <w:p w14:paraId="2FB0B921">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2F25BFF1">
      <w:pPr>
        <w:adjustRightInd w:val="0"/>
        <w:snapToGrid w:val="0"/>
        <w:spacing w:line="600" w:lineRule="exact"/>
        <w:ind w:firstLine="720"/>
        <w:rPr>
          <w:rFonts w:ascii="Times New Roman" w:hAnsi="Times New Roman" w:eastAsia="黑体" w:cs="Times New Roman"/>
          <w:sz w:val="32"/>
          <w:szCs w:val="32"/>
          <w:lang w:val="zh-CN"/>
        </w:rPr>
      </w:pPr>
      <w:r>
        <w:rPr>
          <w:rFonts w:ascii="Times New Roman" w:hAnsi="Times New Roman" w:eastAsia="黑体" w:cs="Times New Roman"/>
          <w:sz w:val="32"/>
          <w:szCs w:val="32"/>
        </w:rPr>
        <w:t>一、</w:t>
      </w:r>
      <w:r>
        <w:rPr>
          <w:rFonts w:ascii="Times New Roman" w:hAnsi="Times New Roman" w:eastAsia="黑体" w:cs="Times New Roman"/>
          <w:sz w:val="32"/>
          <w:szCs w:val="32"/>
          <w:lang w:val="zh-CN"/>
        </w:rPr>
        <w:t>项目概况</w:t>
      </w:r>
    </w:p>
    <w:p w14:paraId="1EB6875E">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（一）项目基本情况。</w:t>
      </w:r>
    </w:p>
    <w:p w14:paraId="1BC913DC">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b w:val="0"/>
          <w:kern w:val="2"/>
          <w:sz w:val="32"/>
          <w:szCs w:val="32"/>
          <w:lang w:val="en-US" w:eastAsia="zh-CN" w:bidi="ar-SA"/>
        </w:rPr>
        <w:t>2025年第四批地质灾害防治专项资金（省级）项目包括仁和辖区内21户村民避险搬迁；</w:t>
      </w:r>
      <w:r>
        <w:rPr>
          <w:rFonts w:ascii="Times New Roman" w:hAnsi="Times New Roman" w:eastAsia="仿宋_GB2312" w:cs="Times New Roman"/>
          <w:sz w:val="32"/>
          <w:szCs w:val="32"/>
        </w:rPr>
        <w:t>仁和区分局</w:t>
      </w:r>
      <w:r>
        <w:rPr>
          <w:rFonts w:hint="eastAsia" w:ascii="Times New Roman" w:hAnsi="Times New Roman" w:eastAsia="仿宋_GB2312" w:cs="Times New Roman"/>
          <w:sz w:val="32"/>
          <w:szCs w:val="32"/>
          <w:lang w:eastAsia="zh-CN"/>
        </w:rPr>
        <w:t>组织实施，督促中标单位按时保量完成治理工程；</w:t>
      </w:r>
      <w:r>
        <w:rPr>
          <w:rFonts w:ascii="Times New Roman" w:hAnsi="Times New Roman" w:eastAsia="仿宋_GB2312" w:cs="Times New Roman"/>
          <w:sz w:val="32"/>
          <w:szCs w:val="32"/>
        </w:rPr>
        <w:t>所有工程款项均按合同约定支</w:t>
      </w:r>
      <w:r>
        <w:rPr>
          <w:rFonts w:hint="eastAsia" w:ascii="Times New Roman" w:hAnsi="Times New Roman" w:eastAsia="仿宋_GB2312" w:cs="Times New Roman"/>
          <w:sz w:val="32"/>
          <w:szCs w:val="32"/>
          <w:lang w:eastAsia="zh-CN"/>
        </w:rPr>
        <w:t>付。</w:t>
      </w:r>
    </w:p>
    <w:p w14:paraId="0639F6F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（二）项目绩效目标。</w:t>
      </w:r>
    </w:p>
    <w:p w14:paraId="5196E93C">
      <w:pPr>
        <w:adjustRightInd w:val="0"/>
        <w:snapToGrid w:val="0"/>
        <w:spacing w:line="600" w:lineRule="exact"/>
        <w:ind w:firstLine="72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完成</w:t>
      </w:r>
      <w:r>
        <w:rPr>
          <w:rFonts w:hint="eastAsia" w:ascii="Times New Roman" w:hAnsi="Times New Roman" w:eastAsia="仿宋_GB2312" w:cs="Times New Roman"/>
          <w:b w:val="0"/>
          <w:kern w:val="2"/>
          <w:sz w:val="32"/>
          <w:szCs w:val="32"/>
          <w:lang w:val="en-US" w:eastAsia="zh-CN" w:bidi="ar-SA"/>
        </w:rPr>
        <w:t>2025年第四批地质灾害防治专项资金（省级）包括仁和辖区内21户村民避险搬迁</w:t>
      </w:r>
      <w:r>
        <w:rPr>
          <w:rFonts w:hint="eastAsia" w:ascii="Times New Roman" w:hAnsi="Times New Roman" w:eastAsia="仿宋_GB2312" w:cs="Times New Roman"/>
          <w:sz w:val="32"/>
          <w:szCs w:val="32"/>
          <w:lang w:eastAsia="zh-CN"/>
        </w:rPr>
        <w:t>，保护人民群众生命财产安全。</w:t>
      </w:r>
    </w:p>
    <w:p w14:paraId="4532F7C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（三）项目自评步骤及方法。</w:t>
      </w:r>
    </w:p>
    <w:p w14:paraId="36792E7D">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黑体" w:cs="Times New Roman"/>
          <w:sz w:val="32"/>
          <w:szCs w:val="32"/>
        </w:rPr>
        <w:t>1</w:t>
      </w:r>
      <w:r>
        <w:rPr>
          <w:rFonts w:hint="default" w:ascii="Times New Roman" w:hAnsi="Times New Roman" w:eastAsia="仿宋_GB2312" w:cs="Times New Roman"/>
          <w:sz w:val="32"/>
          <w:szCs w:val="32"/>
          <w:lang w:val="en-US" w:eastAsia="zh-CN"/>
        </w:rPr>
        <w:t>. 确定自评目的</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明确自评的目的，例如评估项目进度、评估项目质量、评估项目风险等。</w:t>
      </w:r>
    </w:p>
    <w:p w14:paraId="46A92D18">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 收集信息</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收集项目相关信息，包括项目计划、项目进度、项目成果、项目问题等。</w:t>
      </w:r>
    </w:p>
    <w:p w14:paraId="770BB6A1">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 评估项目进度</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根据项目计划和实际进度进行比较，评估项目是否按时完成。</w:t>
      </w:r>
    </w:p>
    <w:p w14:paraId="0C19A5AC">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 评估项目质量</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根据项目成果和项目要求进行比较，评估项目成果是否符合要求。</w:t>
      </w:r>
    </w:p>
    <w:p w14:paraId="5267EA10">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 评估项目风险</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根据项目进程中出现的问题进行评估，评估项目未来可能出现的风险。</w:t>
      </w:r>
    </w:p>
    <w:p w14:paraId="4C7C94C5">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 制定改进计划</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根据自评结果制定改进计划，确保项目能够顺利完成。</w:t>
      </w:r>
    </w:p>
    <w:p w14:paraId="499BA7E4">
      <w:pPr>
        <w:numPr>
          <w:ilvl w:val="0"/>
          <w:numId w:val="0"/>
        </w:numPr>
        <w:adjustRightInd w:val="0"/>
        <w:snapToGrid w:val="0"/>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 跟踪实施</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跟踪改进计划的实施，确保改进措施能够有效提高项目质量。</w:t>
      </w:r>
    </w:p>
    <w:p w14:paraId="1E88CB31">
      <w:pPr>
        <w:numPr>
          <w:ilvl w:val="0"/>
          <w:numId w:val="0"/>
        </w:numPr>
        <w:adjustRightInd w:val="0"/>
        <w:snapToGrid w:val="0"/>
        <w:spacing w:line="560" w:lineRule="exact"/>
        <w:ind w:firstLine="640" w:firstLineChars="200"/>
        <w:rPr>
          <w:rFonts w:ascii="Times New Roman" w:hAnsi="Times New Roman" w:eastAsia="仿宋_GB2312" w:cs="Times New Roman"/>
          <w:sz w:val="32"/>
          <w:szCs w:val="32"/>
          <w:lang w:val="zh-CN"/>
        </w:rPr>
      </w:pPr>
      <w:r>
        <w:rPr>
          <w:rFonts w:hint="default" w:ascii="Times New Roman" w:hAnsi="Times New Roman" w:eastAsia="仿宋_GB2312" w:cs="Times New Roman"/>
          <w:sz w:val="32"/>
          <w:szCs w:val="32"/>
          <w:lang w:val="en-US" w:eastAsia="zh-CN"/>
        </w:rPr>
        <w:t>8. 总结评估</w:t>
      </w:r>
      <w:r>
        <w:rPr>
          <w:rFonts w:hint="eastAsia"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总结自评过程和结果，为今后的项目管理做出参考。</w:t>
      </w:r>
    </w:p>
    <w:p w14:paraId="446F4289">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二、项目资金申报及使用情况</w:t>
      </w:r>
    </w:p>
    <w:p w14:paraId="0CD97915">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（一）项目资金申报及批复情况。</w:t>
      </w:r>
    </w:p>
    <w:p w14:paraId="2CFF9C74">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项目资金由攀枝花市财政局</w:t>
      </w:r>
      <w:r>
        <w:rPr>
          <w:rFonts w:hint="eastAsia" w:ascii="Times New Roman" w:hAnsi="Times New Roman" w:eastAsia="仿宋_GB2312" w:cs="Times New Roman"/>
          <w:sz w:val="32"/>
          <w:szCs w:val="32"/>
          <w:lang w:eastAsia="zh-CN"/>
        </w:rPr>
        <w:t>根据</w:t>
      </w:r>
      <w:r>
        <w:rPr>
          <w:rFonts w:ascii="Times New Roman" w:hAnsi="Times New Roman" w:eastAsia="仿宋_GB2312" w:cs="Times New Roman"/>
          <w:sz w:val="32"/>
          <w:szCs w:val="32"/>
        </w:rPr>
        <w:t>关于下达</w:t>
      </w:r>
      <w:r>
        <w:rPr>
          <w:rFonts w:hint="eastAsia" w:ascii="Times New Roman" w:hAnsi="Times New Roman" w:eastAsia="仿宋_GB2312" w:cs="Times New Roman"/>
          <w:b w:val="0"/>
          <w:kern w:val="2"/>
          <w:sz w:val="32"/>
          <w:szCs w:val="32"/>
          <w:lang w:val="en-US" w:eastAsia="zh-CN" w:bidi="ar-SA"/>
        </w:rPr>
        <w:t>2025年第四批地质灾害防治专项资金（省级）</w:t>
      </w:r>
      <w:r>
        <w:rPr>
          <w:rFonts w:ascii="Times New Roman" w:hAnsi="Times New Roman" w:eastAsia="仿宋_GB2312" w:cs="Times New Roman"/>
          <w:sz w:val="32"/>
          <w:szCs w:val="32"/>
        </w:rPr>
        <w:t>的通知（攀财资环</w:t>
      </w:r>
      <w:r>
        <w:rPr>
          <w:rFonts w:hint="eastAsia" w:ascii="Times New Roman" w:hAnsi="Times New Roman" w:eastAsia="仿宋_GB2312" w:cs="Times New Roman"/>
          <w:sz w:val="32"/>
          <w:szCs w:val="32"/>
          <w:lang w:eastAsia="zh-CN"/>
        </w:rPr>
        <w:t>资</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91</w:t>
      </w:r>
      <w:r>
        <w:rPr>
          <w:rFonts w:ascii="Times New Roman" w:hAnsi="Times New Roman" w:eastAsia="仿宋_GB2312" w:cs="Times New Roman"/>
          <w:sz w:val="32"/>
          <w:szCs w:val="32"/>
        </w:rPr>
        <w:t>号</w:t>
      </w:r>
      <w:r>
        <w:rPr>
          <w:rFonts w:hint="eastAsia" w:ascii="Times New Roman" w:hAnsi="Times New Roman" w:eastAsia="仿宋_GB2312" w:cs="Times New Roman"/>
          <w:sz w:val="32"/>
          <w:szCs w:val="32"/>
          <w:lang w:eastAsia="zh-CN"/>
        </w:rPr>
        <w:t>、川财资环</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72号</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文</w:t>
      </w:r>
      <w:r>
        <w:rPr>
          <w:rFonts w:ascii="Times New Roman" w:hAnsi="Times New Roman" w:eastAsia="仿宋_GB2312" w:cs="Times New Roman"/>
          <w:sz w:val="32"/>
          <w:szCs w:val="32"/>
        </w:rPr>
        <w:t>下达</w:t>
      </w:r>
      <w:r>
        <w:rPr>
          <w:rFonts w:ascii="Times New Roman" w:hAnsi="Times New Roman" w:eastAsia="仿宋_GB2312" w:cs="Times New Roman"/>
          <w:sz w:val="32"/>
          <w:szCs w:val="32"/>
          <w:lang w:val="zh-CN"/>
        </w:rPr>
        <w:t>。</w:t>
      </w:r>
    </w:p>
    <w:p w14:paraId="1E879EF9">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（二）资金计划、到位及使用情况（可用表格形式反映）。</w:t>
      </w:r>
    </w:p>
    <w:p w14:paraId="54F80D2F">
      <w:pPr>
        <w:adjustRightInd w:val="0"/>
        <w:snapToGrid w:val="0"/>
        <w:spacing w:line="600" w:lineRule="exact"/>
        <w:ind w:firstLine="720"/>
        <w:rPr>
          <w:rFonts w:ascii="Times New Roman" w:hAnsi="Times New Roman" w:eastAsia="仿宋_GB2312" w:cs="Times New Roman"/>
          <w:sz w:val="32"/>
          <w:szCs w:val="32"/>
          <w:lang w:val="zh-CN"/>
        </w:rPr>
      </w:pPr>
      <w:r>
        <w:rPr>
          <w:rFonts w:hint="eastAsia" w:eastAsia="楷体_GB2312" w:cs="Times New Roman"/>
          <w:sz w:val="32"/>
          <w:szCs w:val="32"/>
          <w:lang w:val="zh-CN"/>
        </w:rPr>
        <w:t>1.</w:t>
      </w:r>
      <w:r>
        <w:rPr>
          <w:rFonts w:ascii="Times New Roman" w:hAnsi="Times New Roman" w:eastAsia="楷体_GB2312" w:cs="Times New Roman"/>
          <w:sz w:val="32"/>
          <w:szCs w:val="32"/>
          <w:lang w:val="zh-CN"/>
        </w:rPr>
        <w:t>资金计划</w:t>
      </w:r>
      <w:r>
        <w:rPr>
          <w:rFonts w:hint="eastAsia" w:ascii="Times New Roman" w:hAnsi="Times New Roman" w:eastAsia="楷体_GB2312" w:cs="Times New Roman"/>
          <w:sz w:val="32"/>
          <w:szCs w:val="32"/>
          <w:lang w:val="zh-CN"/>
        </w:rPr>
        <w:t>及到位</w:t>
      </w:r>
      <w:r>
        <w:rPr>
          <w:rFonts w:ascii="Times New Roman" w:hAnsi="Times New Roman" w:eastAsia="楷体_GB2312" w:cs="Times New Roman"/>
          <w:sz w:val="32"/>
          <w:szCs w:val="32"/>
          <w:lang w:val="zh-CN"/>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年，市财政通过预算调整调剂的方式下达</w:t>
      </w:r>
      <w:r>
        <w:rPr>
          <w:rFonts w:hint="eastAsia" w:ascii="Times New Roman" w:hAnsi="Times New Roman" w:eastAsia="仿宋_GB2312" w:cs="Times New Roman"/>
          <w:b w:val="0"/>
          <w:kern w:val="2"/>
          <w:sz w:val="32"/>
          <w:szCs w:val="32"/>
          <w:lang w:val="en-US" w:eastAsia="zh-CN" w:bidi="ar-SA"/>
        </w:rPr>
        <w:t>2025年第四批地质灾害防治专项资金（省级）</w:t>
      </w:r>
      <w:r>
        <w:rPr>
          <w:rFonts w:hint="eastAsia" w:ascii="Times New Roman" w:hAnsi="Times New Roman" w:eastAsia="仿宋_GB2312" w:cs="Times New Roman"/>
          <w:color w:val="000000"/>
          <w:kern w:val="0"/>
          <w:sz w:val="32"/>
          <w:szCs w:val="32"/>
          <w:shd w:val="clear" w:color="auto" w:fill="FFFFFF"/>
          <w:lang w:val="en-US" w:eastAsia="zh-CN"/>
        </w:rPr>
        <w:t>17.5</w:t>
      </w:r>
      <w:r>
        <w:rPr>
          <w:rFonts w:ascii="Times New Roman" w:hAnsi="Times New Roman" w:eastAsia="仿宋_GB2312" w:cs="Times New Roman"/>
          <w:sz w:val="32"/>
          <w:szCs w:val="32"/>
        </w:rPr>
        <w:t>万元。</w:t>
      </w:r>
    </w:p>
    <w:p w14:paraId="793A63CD">
      <w:pPr>
        <w:adjustRightInd w:val="0"/>
        <w:snapToGrid w:val="0"/>
        <w:spacing w:line="560" w:lineRule="exact"/>
        <w:ind w:firstLine="720"/>
        <w:rPr>
          <w:rFonts w:ascii="仿宋_GB2312" w:hAnsi="宋体" w:eastAsia="仿宋_GB2312" w:cs="Times New Roman"/>
          <w:sz w:val="32"/>
          <w:szCs w:val="32"/>
          <w:lang w:val="zh-CN"/>
        </w:rPr>
      </w:pPr>
      <w:r>
        <w:rPr>
          <w:rFonts w:hint="eastAsia" w:eastAsia="楷体_GB2312" w:cs="Times New Roman"/>
          <w:sz w:val="32"/>
          <w:szCs w:val="32"/>
          <w:lang w:val="en-US" w:eastAsia="zh-CN"/>
        </w:rPr>
        <w:t>2.</w:t>
      </w:r>
      <w:r>
        <w:rPr>
          <w:rFonts w:ascii="Times New Roman" w:hAnsi="Times New Roman" w:eastAsia="楷体_GB2312" w:cs="Times New Roman"/>
          <w:sz w:val="32"/>
          <w:szCs w:val="32"/>
          <w:lang w:val="zh-CN"/>
        </w:rPr>
        <w:t>资金使用。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年实际完成</w:t>
      </w:r>
      <w:r>
        <w:rPr>
          <w:rFonts w:hint="eastAsia" w:ascii="Times New Roman" w:hAnsi="Times New Roman" w:eastAsia="仿宋_GB2312" w:cs="Times New Roman"/>
          <w:b w:val="0"/>
          <w:kern w:val="2"/>
          <w:sz w:val="32"/>
          <w:szCs w:val="32"/>
          <w:lang w:val="en-US" w:eastAsia="zh-CN" w:bidi="ar-SA"/>
        </w:rPr>
        <w:t>2025年第四批地质灾害防治专项资金（省级）</w:t>
      </w:r>
      <w:r>
        <w:rPr>
          <w:rFonts w:hint="eastAsia" w:ascii="Times New Roman" w:hAnsi="Times New Roman" w:eastAsia="仿宋_GB2312" w:cs="Times New Roman"/>
          <w:color w:val="000000"/>
          <w:kern w:val="0"/>
          <w:sz w:val="32"/>
          <w:szCs w:val="32"/>
          <w:shd w:val="clear" w:color="auto" w:fill="FFFFFF"/>
          <w:lang w:eastAsia="zh-CN"/>
        </w:rPr>
        <w:t>资金</w:t>
      </w:r>
      <w:r>
        <w:rPr>
          <w:rFonts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17.5</w:t>
      </w:r>
      <w:r>
        <w:rPr>
          <w:rFonts w:ascii="Times New Roman" w:hAnsi="Times New Roman" w:eastAsia="仿宋_GB2312" w:cs="Times New Roman"/>
          <w:sz w:val="32"/>
          <w:szCs w:val="32"/>
        </w:rPr>
        <w:t>万元，完成率</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%，年末无结转结余资金。</w:t>
      </w:r>
      <w:r>
        <w:rPr>
          <w:rFonts w:ascii="Times New Roman" w:hAnsi="Times New Roman" w:eastAsia="仿宋_GB2312" w:cs="Times New Roman"/>
          <w:sz w:val="32"/>
          <w:szCs w:val="32"/>
          <w:lang w:val="zh-CN"/>
        </w:rPr>
        <w:t>资金开支范围、标准及支付依据合规合法，资金支付与预算相符。</w:t>
      </w:r>
    </w:p>
    <w:p w14:paraId="779E36EC">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（三）项目财务管理情况。</w:t>
      </w:r>
    </w:p>
    <w:p w14:paraId="07687471">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仿宋_GB2312" w:cs="Times New Roman"/>
          <w:sz w:val="32"/>
          <w:szCs w:val="32"/>
        </w:rPr>
        <w:t>仁和区分局</w:t>
      </w:r>
      <w:r>
        <w:rPr>
          <w:rFonts w:ascii="Times New Roman" w:hAnsi="Times New Roman" w:eastAsia="仿宋_GB2312" w:cs="Times New Roman"/>
          <w:sz w:val="32"/>
          <w:szCs w:val="32"/>
          <w:lang w:val="zh-CN"/>
        </w:rPr>
        <w:t>项目财务管理制度</w:t>
      </w:r>
      <w:r>
        <w:rPr>
          <w:rFonts w:hint="eastAsia" w:eastAsia="仿宋_GB2312" w:cs="Times New Roman"/>
          <w:sz w:val="32"/>
          <w:szCs w:val="32"/>
          <w:lang w:val="zh-CN"/>
        </w:rPr>
        <w:t>健全</w:t>
      </w:r>
      <w:r>
        <w:rPr>
          <w:rFonts w:ascii="Times New Roman" w:hAnsi="Times New Roman" w:eastAsia="仿宋_GB2312" w:cs="Times New Roman"/>
          <w:sz w:val="32"/>
          <w:szCs w:val="32"/>
        </w:rPr>
        <w:t>，采用市区两级财政、市自然资源和规划局以及《攀枝花市国土资源局攀枝花市财政局关于印发</w:t>
      </w:r>
      <w:r>
        <w:rPr>
          <w:rFonts w:hint="eastAsia" w:eastAsia="仿宋_GB2312" w:cs="Times New Roman"/>
          <w:sz w:val="32"/>
          <w:szCs w:val="32"/>
          <w:lang w:eastAsia="zh-CN"/>
        </w:rPr>
        <w:t>〈</w:t>
      </w:r>
      <w:r>
        <w:rPr>
          <w:rFonts w:ascii="Times New Roman" w:hAnsi="Times New Roman" w:eastAsia="仿宋_GB2312" w:cs="Times New Roman"/>
          <w:sz w:val="32"/>
          <w:szCs w:val="32"/>
        </w:rPr>
        <w:t>攀枝花市地质灾害综合防治体系建设项目和资金管理办法</w:t>
      </w:r>
      <w:r>
        <w:rPr>
          <w:rFonts w:hint="eastAsia" w:eastAsia="仿宋_GB2312" w:cs="Times New Roman"/>
          <w:sz w:val="32"/>
          <w:szCs w:val="32"/>
          <w:lang w:eastAsia="zh-CN"/>
        </w:rPr>
        <w:t>〉的通知》</w:t>
      </w:r>
      <w:r>
        <w:rPr>
          <w:rFonts w:ascii="Times New Roman" w:hAnsi="Times New Roman" w:eastAsia="仿宋_GB2312" w:cs="Times New Roman"/>
          <w:sz w:val="32"/>
          <w:szCs w:val="32"/>
        </w:rPr>
        <w:t>（攀国土资发〔2015〕65号）等相关管理办法和规定，接受市、区两级财政、审计、纪检监察机关监督。账务</w:t>
      </w:r>
      <w:r>
        <w:rPr>
          <w:rFonts w:ascii="Times New Roman" w:hAnsi="Times New Roman" w:eastAsia="仿宋_GB2312" w:cs="Times New Roman"/>
          <w:sz w:val="32"/>
          <w:szCs w:val="32"/>
          <w:lang w:val="zh-CN"/>
        </w:rPr>
        <w:t>处理及时、会计核算规范等。</w:t>
      </w:r>
    </w:p>
    <w:p w14:paraId="697DCC9D">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三、项目实施及管理情况</w:t>
      </w:r>
    </w:p>
    <w:p w14:paraId="515A2D3D">
      <w:pPr>
        <w:adjustRightInd w:val="0"/>
        <w:snapToGrid w:val="0"/>
        <w:spacing w:line="600" w:lineRule="exact"/>
        <w:ind w:firstLine="720"/>
        <w:rPr>
          <w:rFonts w:ascii="Times New Roman" w:hAnsi="Times New Roman" w:eastAsia="仿宋_GB2312" w:cs="Times New Roman"/>
          <w:sz w:val="32"/>
          <w:szCs w:val="32"/>
        </w:rPr>
      </w:pP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4A5D0DE4">
      <w:pPr>
        <w:numPr>
          <w:ilvl w:val="0"/>
          <w:numId w:val="34"/>
        </w:numPr>
        <w:adjustRightInd w:val="0"/>
        <w:snapToGrid w:val="0"/>
        <w:spacing w:line="600" w:lineRule="exact"/>
        <w:ind w:firstLine="964" w:firstLineChars="30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项目组织架构及实施流程。</w:t>
      </w:r>
    </w:p>
    <w:p w14:paraId="7D5C9514">
      <w:pPr>
        <w:numPr>
          <w:ilvl w:val="0"/>
          <w:numId w:val="0"/>
        </w:numPr>
        <w:adjustRightInd w:val="0"/>
        <w:snapToGrid w:val="0"/>
        <w:spacing w:line="600" w:lineRule="exact"/>
        <w:ind w:firstLine="1280" w:firstLineChars="4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组织架构：项目业主由攀枝花市自然资源和规划局仁和区分局担任，局长任平总负责</w:t>
      </w:r>
      <w:r>
        <w:rPr>
          <w:rFonts w:hint="eastAsia" w:ascii="Times New Roman" w:hAnsi="Times New Roman" w:eastAsia="楷体_GB2312" w:cs="Times New Roman"/>
          <w:b/>
          <w:sz w:val="32"/>
          <w:szCs w:val="32"/>
          <w:lang w:val="zh-CN"/>
        </w:rPr>
        <w:t>，</w:t>
      </w:r>
      <w:r>
        <w:rPr>
          <w:rFonts w:hint="eastAsia" w:ascii="Times New Roman" w:hAnsi="Times New Roman" w:eastAsia="仿宋_GB2312" w:cs="Times New Roman"/>
          <w:sz w:val="32"/>
          <w:szCs w:val="32"/>
          <w:lang w:val="zh-CN" w:eastAsia="zh-CN"/>
        </w:rPr>
        <w:t>分管领导由王磊副主任兼任，矿管股承担具体工作。施工进场后下设项目经理、技术负责人、安全员、材料员、资料员、总监理师等，确保项目高效、有序、安全推进。</w:t>
      </w:r>
    </w:p>
    <w:p w14:paraId="0B785939">
      <w:pPr>
        <w:numPr>
          <w:ilvl w:val="0"/>
          <w:numId w:val="35"/>
        </w:numPr>
        <w:adjustRightInd w:val="0"/>
        <w:snapToGrid w:val="0"/>
        <w:spacing w:line="600" w:lineRule="exact"/>
        <w:ind w:firstLine="72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eastAsia="zh-CN"/>
        </w:rPr>
        <w:t>实施流程：</w:t>
      </w:r>
      <w:r>
        <w:rPr>
          <w:rFonts w:ascii="Times New Roman" w:hAnsi="Times New Roman" w:eastAsia="仿宋_GB2312" w:cs="Times New Roman"/>
          <w:sz w:val="32"/>
          <w:szCs w:val="32"/>
        </w:rPr>
        <w:t>仁和区分局组织实施，委托具有相关资质的单位进行</w:t>
      </w:r>
      <w:r>
        <w:rPr>
          <w:rFonts w:hint="eastAsia" w:eastAsia="仿宋_GB2312" w:cs="Times New Roman"/>
          <w:sz w:val="32"/>
          <w:szCs w:val="32"/>
          <w:lang w:eastAsia="zh-CN"/>
        </w:rPr>
        <w:t>勘察</w:t>
      </w:r>
      <w:r>
        <w:rPr>
          <w:rFonts w:ascii="Times New Roman" w:hAnsi="Times New Roman" w:eastAsia="仿宋_GB2312" w:cs="Times New Roman"/>
          <w:sz w:val="32"/>
          <w:szCs w:val="32"/>
        </w:rPr>
        <w:t>、施工图设计工作，并完成项目立项。项目立项后，及时委托造价咨询公司编制控制价清单，并报送市财政局进行评审。在取得财评意见后，立即委托招标代理机构进行公开挂网，通过公开招标的方式确定施工单位。</w:t>
      </w:r>
    </w:p>
    <w:p w14:paraId="04819A5B">
      <w:pPr>
        <w:adjustRightInd w:val="0"/>
        <w:snapToGrid w:val="0"/>
        <w:spacing w:line="600" w:lineRule="exact"/>
        <w:ind w:firstLine="720"/>
        <w:rPr>
          <w:rFonts w:ascii="Times New Roman" w:hAnsi="Times New Roman" w:eastAsia="楷体_GB2312" w:cs="Times New Roman"/>
          <w:b/>
          <w:sz w:val="32"/>
          <w:szCs w:val="32"/>
          <w:lang w:val="zh-CN"/>
        </w:rPr>
      </w:pPr>
    </w:p>
    <w:p w14:paraId="1C4E1AA0">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（二）项目管理情况。</w:t>
      </w:r>
      <w:r>
        <w:rPr>
          <w:rFonts w:hint="eastAsia" w:ascii="Times New Roman" w:hAnsi="Times New Roman" w:eastAsia="仿宋_GB2312" w:cs="Times New Roman"/>
          <w:sz w:val="32"/>
          <w:szCs w:val="32"/>
          <w:lang w:val="en-US" w:eastAsia="zh-CN"/>
        </w:rPr>
        <w:t>分</w:t>
      </w:r>
      <w:r>
        <w:rPr>
          <w:rFonts w:hint="default" w:ascii="Times New Roman" w:hAnsi="Times New Roman" w:eastAsia="仿宋_GB2312" w:cs="Times New Roman"/>
          <w:sz w:val="32"/>
          <w:szCs w:val="32"/>
          <w:lang w:val="en-US" w:eastAsia="zh-CN"/>
        </w:rPr>
        <w:t>局</w:t>
      </w:r>
      <w:r>
        <w:rPr>
          <w:rFonts w:hint="default" w:ascii="Times New Roman" w:hAnsi="Times New Roman" w:eastAsia="仿宋_GB2312" w:cs="Times New Roman"/>
          <w:sz w:val="32"/>
          <w:szCs w:val="32"/>
          <w:lang w:val="zh-CN"/>
        </w:rPr>
        <w:t>财务管理制度</w:t>
      </w:r>
      <w:r>
        <w:rPr>
          <w:rFonts w:hint="default" w:ascii="Times New Roman" w:hAnsi="Times New Roman" w:eastAsia="仿宋_GB2312" w:cs="Times New Roman"/>
          <w:sz w:val="32"/>
          <w:szCs w:val="32"/>
          <w:lang w:val="en-US" w:eastAsia="zh-CN"/>
        </w:rPr>
        <w:t>建设完整</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lang w:val="en-US" w:eastAsia="zh-CN"/>
        </w:rPr>
        <w:t>有独立核算</w:t>
      </w:r>
      <w:r>
        <w:rPr>
          <w:rFonts w:hint="default" w:ascii="Times New Roman" w:hAnsi="Times New Roman" w:eastAsia="仿宋_GB2312" w:cs="Times New Roman"/>
          <w:sz w:val="32"/>
          <w:szCs w:val="32"/>
          <w:lang w:val="zh-CN"/>
        </w:rPr>
        <w:t>机构、会计核算及账务处理</w:t>
      </w:r>
      <w:r>
        <w:rPr>
          <w:rFonts w:hint="default" w:ascii="Times New Roman" w:hAnsi="Times New Roman" w:eastAsia="仿宋_GB2312" w:cs="Times New Roman"/>
          <w:sz w:val="32"/>
          <w:szCs w:val="32"/>
          <w:lang w:val="en-US" w:eastAsia="zh-CN"/>
        </w:rPr>
        <w:t>真实完整</w:t>
      </w:r>
      <w:r>
        <w:rPr>
          <w:rFonts w:hint="default" w:ascii="Times New Roman" w:hAnsi="Times New Roman" w:eastAsia="仿宋_GB2312" w:cs="Times New Roman"/>
          <w:sz w:val="32"/>
          <w:szCs w:val="32"/>
          <w:lang w:val="zh-CN"/>
        </w:rPr>
        <w:t>。对照项目资金管理办法，</w:t>
      </w:r>
      <w:r>
        <w:rPr>
          <w:rFonts w:hint="default" w:ascii="Times New Roman" w:hAnsi="Times New Roman" w:eastAsia="仿宋_GB2312" w:cs="Times New Roman"/>
          <w:sz w:val="32"/>
          <w:szCs w:val="32"/>
          <w:lang w:val="en-US" w:eastAsia="zh-CN"/>
        </w:rPr>
        <w:t>严格</w:t>
      </w:r>
      <w:r>
        <w:rPr>
          <w:rFonts w:hint="default" w:ascii="Times New Roman" w:hAnsi="Times New Roman" w:eastAsia="仿宋_GB2312" w:cs="Times New Roman"/>
          <w:sz w:val="32"/>
          <w:szCs w:val="32"/>
          <w:lang w:val="zh-CN"/>
        </w:rPr>
        <w:t>执行财务管理制度、财务处理及时、会计核算</w:t>
      </w:r>
      <w:r>
        <w:rPr>
          <w:rFonts w:hint="default" w:ascii="Times New Roman" w:hAnsi="Times New Roman" w:eastAsia="仿宋_GB2312" w:cs="Times New Roman"/>
          <w:sz w:val="32"/>
          <w:szCs w:val="32"/>
          <w:lang w:val="en-US" w:eastAsia="zh-CN"/>
        </w:rPr>
        <w:t>真实</w:t>
      </w:r>
      <w:r>
        <w:rPr>
          <w:rFonts w:hint="default" w:ascii="Times New Roman" w:hAnsi="Times New Roman" w:eastAsia="仿宋_GB2312" w:cs="Times New Roman"/>
          <w:sz w:val="32"/>
          <w:szCs w:val="32"/>
          <w:lang w:val="zh-CN"/>
        </w:rPr>
        <w:t>规范。</w:t>
      </w:r>
    </w:p>
    <w:p w14:paraId="5BD7F8FE">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楷体_GB2312" w:cs="Times New Roman"/>
          <w:b/>
          <w:sz w:val="32"/>
          <w:szCs w:val="32"/>
          <w:lang w:val="zh-CN"/>
        </w:rPr>
        <w:t>（三）项目监管情况。</w:t>
      </w:r>
      <w:r>
        <w:rPr>
          <w:rFonts w:hint="eastAsia" w:ascii="Times New Roman" w:hAnsi="Times New Roman" w:eastAsia="仿宋_GB2312" w:cs="Times New Roman"/>
          <w:sz w:val="32"/>
          <w:szCs w:val="32"/>
          <w:lang w:val="zh-CN"/>
        </w:rPr>
        <w:t>市局加强对项目的</w:t>
      </w:r>
      <w:r>
        <w:rPr>
          <w:rFonts w:ascii="Times New Roman" w:hAnsi="Times New Roman" w:eastAsia="仿宋_GB2312" w:cs="Times New Roman"/>
          <w:sz w:val="32"/>
          <w:szCs w:val="32"/>
          <w:lang w:val="zh-CN"/>
        </w:rPr>
        <w:t>管理</w:t>
      </w:r>
      <w:r>
        <w:rPr>
          <w:rFonts w:hint="eastAsia" w:ascii="Times New Roman" w:hAnsi="Times New Roman" w:eastAsia="仿宋_GB2312" w:cs="Times New Roman"/>
          <w:sz w:val="32"/>
          <w:szCs w:val="32"/>
          <w:lang w:val="zh-CN"/>
        </w:rPr>
        <w:t>，不定期对项目进行抽查，对项目招标、施工、验收进行监管</w:t>
      </w:r>
      <w:r>
        <w:rPr>
          <w:rFonts w:ascii="Times New Roman" w:hAnsi="Times New Roman" w:eastAsia="仿宋_GB2312" w:cs="Times New Roman"/>
          <w:sz w:val="32"/>
          <w:szCs w:val="32"/>
          <w:lang w:val="zh-CN"/>
        </w:rPr>
        <w:t>。</w:t>
      </w:r>
    </w:p>
    <w:p w14:paraId="35B6AE7C">
      <w:pPr>
        <w:adjustRightInd w:val="0"/>
        <w:snapToGrid w:val="0"/>
        <w:spacing w:line="600" w:lineRule="exact"/>
        <w:ind w:firstLine="720"/>
        <w:rPr>
          <w:rFonts w:ascii="Times New Roman" w:hAnsi="Times New Roman" w:eastAsia="仿宋_GB2312" w:cs="Times New Roman"/>
          <w:sz w:val="32"/>
          <w:szCs w:val="32"/>
          <w:lang w:val="zh-CN"/>
        </w:rPr>
      </w:pPr>
      <w:r>
        <w:rPr>
          <w:rFonts w:ascii="Times New Roman" w:hAnsi="Times New Roman" w:eastAsia="黑体" w:cs="Times New Roman"/>
          <w:sz w:val="32"/>
          <w:szCs w:val="32"/>
        </w:rPr>
        <w:t>四、项目绩效情况</w:t>
      </w:r>
      <w:r>
        <w:rPr>
          <w:rFonts w:ascii="Times New Roman" w:hAnsi="Times New Roman" w:eastAsia="仿宋_GB2312" w:cs="Times New Roman"/>
          <w:sz w:val="32"/>
          <w:szCs w:val="32"/>
          <w:lang w:val="zh-CN"/>
        </w:rPr>
        <w:tab/>
      </w:r>
    </w:p>
    <w:p w14:paraId="4033CC1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（一）项目完成情况。</w:t>
      </w:r>
    </w:p>
    <w:p w14:paraId="25CD8F2C">
      <w:pPr>
        <w:adjustRightInd w:val="0"/>
        <w:snapToGrid w:val="0"/>
        <w:spacing w:line="600" w:lineRule="exact"/>
        <w:ind w:firstLine="72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rPr>
        <w:t>仁和辖区内</w:t>
      </w:r>
      <w:r>
        <w:rPr>
          <w:rFonts w:hint="eastAsia" w:ascii="Times New Roman" w:hAnsi="Times New Roman" w:eastAsia="仿宋_GB2312" w:cs="Times New Roman"/>
          <w:sz w:val="32"/>
          <w:szCs w:val="32"/>
          <w:lang w:val="en-US" w:eastAsia="zh-CN"/>
        </w:rPr>
        <w:t>21户村民避险搬迁正在修建房屋中</w:t>
      </w:r>
      <w:r>
        <w:rPr>
          <w:rFonts w:hint="eastAsia" w:ascii="Times New Roman" w:hAnsi="Times New Roman" w:eastAsia="仿宋_GB2312" w:cs="Times New Roman"/>
          <w:sz w:val="32"/>
          <w:szCs w:val="32"/>
          <w:lang w:eastAsia="zh-CN"/>
        </w:rPr>
        <w:t>，完成支出</w:t>
      </w:r>
      <w:r>
        <w:rPr>
          <w:rFonts w:hint="eastAsia" w:ascii="Times New Roman" w:hAnsi="Times New Roman" w:eastAsia="仿宋_GB2312" w:cs="Times New Roman"/>
          <w:sz w:val="32"/>
          <w:szCs w:val="32"/>
          <w:lang w:val="en-US" w:eastAsia="zh-CN"/>
        </w:rPr>
        <w:t>17.5万元</w:t>
      </w:r>
    </w:p>
    <w:p w14:paraId="5429DB49">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（二）项目效益情况。</w:t>
      </w:r>
    </w:p>
    <w:p w14:paraId="05ABDE6D">
      <w:pPr>
        <w:adjustRightInd w:val="0"/>
        <w:snapToGrid w:val="0"/>
        <w:spacing w:line="600" w:lineRule="exact"/>
        <w:ind w:firstLine="72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避险搬迁</w:t>
      </w:r>
      <w:r>
        <w:rPr>
          <w:rFonts w:ascii="Times New Roman" w:hAnsi="Times New Roman" w:eastAsia="仿宋_GB2312" w:cs="Times New Roman"/>
          <w:sz w:val="32"/>
          <w:szCs w:val="32"/>
        </w:rPr>
        <w:t>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724454DD">
      <w:pPr>
        <w:adjustRightInd w:val="0"/>
        <w:snapToGrid w:val="0"/>
        <w:spacing w:line="600" w:lineRule="exact"/>
        <w:ind w:firstLine="720"/>
        <w:rPr>
          <w:rFonts w:ascii="Times New Roman" w:hAnsi="Times New Roman" w:eastAsia="黑体" w:cs="Times New Roman"/>
          <w:sz w:val="32"/>
          <w:szCs w:val="32"/>
        </w:rPr>
      </w:pPr>
      <w:r>
        <w:rPr>
          <w:rFonts w:ascii="Times New Roman" w:hAnsi="Times New Roman" w:eastAsia="黑体" w:cs="Times New Roman"/>
          <w:sz w:val="32"/>
          <w:szCs w:val="32"/>
        </w:rPr>
        <w:t>五、评价结论及建议</w:t>
      </w:r>
    </w:p>
    <w:p w14:paraId="64885F66">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（一）评价结论。</w:t>
      </w:r>
    </w:p>
    <w:p w14:paraId="2F5298F0">
      <w:pPr>
        <w:adjustRightInd w:val="0"/>
        <w:snapToGrid w:val="0"/>
        <w:spacing w:line="600" w:lineRule="exact"/>
        <w:ind w:firstLine="72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避险搬迁</w:t>
      </w:r>
      <w:r>
        <w:rPr>
          <w:rFonts w:ascii="Times New Roman" w:hAnsi="Times New Roman" w:eastAsia="仿宋_GB2312" w:cs="Times New Roman"/>
          <w:sz w:val="32"/>
          <w:szCs w:val="32"/>
        </w:rPr>
        <w:t>项目及时消除安全隐患，在保护</w:t>
      </w:r>
      <w:r>
        <w:rPr>
          <w:rFonts w:hint="eastAsia" w:eastAsia="仿宋_GB2312" w:cs="Times New Roman"/>
          <w:sz w:val="32"/>
          <w:szCs w:val="32"/>
          <w:lang w:eastAsia="zh-CN"/>
        </w:rPr>
        <w:t>人民群众生命财产安全</w:t>
      </w:r>
      <w:r>
        <w:rPr>
          <w:rFonts w:ascii="Times New Roman" w:hAnsi="Times New Roman" w:eastAsia="仿宋_GB2312" w:cs="Times New Roman"/>
          <w:sz w:val="32"/>
          <w:szCs w:val="32"/>
        </w:rPr>
        <w:t>的同时提升了生态环境质量，实现可持续发展。</w:t>
      </w:r>
    </w:p>
    <w:p w14:paraId="0E94FF6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（二）存在的问题。</w:t>
      </w:r>
    </w:p>
    <w:p w14:paraId="1C17F209">
      <w:pPr>
        <w:adjustRightInd w:val="0"/>
        <w:snapToGrid w:val="0"/>
        <w:spacing w:line="600" w:lineRule="exact"/>
        <w:ind w:firstLine="1280" w:firstLineChars="400"/>
        <w:rPr>
          <w:rFonts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无</w:t>
      </w:r>
      <w:r>
        <w:rPr>
          <w:rFonts w:ascii="Times New Roman" w:hAnsi="Times New Roman" w:eastAsia="仿宋_GB2312" w:cs="Times New Roman"/>
          <w:sz w:val="32"/>
          <w:szCs w:val="32"/>
          <w:lang w:val="zh-CN"/>
        </w:rPr>
        <w:tab/>
      </w:r>
    </w:p>
    <w:p w14:paraId="2BF1192A">
      <w:pPr>
        <w:adjustRightInd w:val="0"/>
        <w:snapToGrid w:val="0"/>
        <w:spacing w:line="600" w:lineRule="exact"/>
        <w:ind w:firstLine="720"/>
        <w:rPr>
          <w:rFonts w:ascii="Times New Roman" w:hAnsi="Times New Roman" w:eastAsia="楷体_GB2312" w:cs="Times New Roman"/>
          <w:b/>
          <w:sz w:val="32"/>
          <w:szCs w:val="32"/>
          <w:lang w:val="zh-CN"/>
        </w:rPr>
      </w:pPr>
      <w:r>
        <w:rPr>
          <w:rFonts w:ascii="Times New Roman" w:hAnsi="Times New Roman" w:eastAsia="楷体_GB2312" w:cs="Times New Roman"/>
          <w:b/>
          <w:sz w:val="32"/>
          <w:szCs w:val="32"/>
          <w:lang w:val="zh-CN"/>
        </w:rPr>
        <w:t>（三）相关建议。</w:t>
      </w:r>
    </w:p>
    <w:p w14:paraId="52ABC379">
      <w:pPr>
        <w:ind w:firstLine="1280" w:firstLineChars="4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zh-CN"/>
        </w:rPr>
        <w:t>无</w:t>
      </w:r>
    </w:p>
    <w:p w14:paraId="4E53AF05">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737D3D50">
      <w:pP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br w:type="page"/>
      </w:r>
    </w:p>
    <w:p w14:paraId="3C75CAC2">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p>
    <w:p w14:paraId="44C4D7AA">
      <w:pPr>
        <w:widowControl w:val="0"/>
        <w:spacing w:line="600" w:lineRule="exact"/>
        <w:jc w:val="center"/>
        <w:rPr>
          <w:rFonts w:ascii="Times New Roman" w:hAnsi="Times New Roman" w:eastAsia="方正小标宋简体" w:cs="Times New Roman"/>
          <w:color w:val="auto"/>
          <w:kern w:val="2"/>
          <w:sz w:val="40"/>
          <w:szCs w:val="40"/>
          <w:lang w:val="zh-CN" w:eastAsia="zh-CN" w:bidi="ar-SA"/>
        </w:rPr>
      </w:pPr>
      <w:r>
        <w:rPr>
          <w:rFonts w:ascii="Times New Roman" w:hAnsi="Times New Roman" w:eastAsia="方正小标宋简体" w:cs="Times New Roman"/>
          <w:color w:val="auto"/>
          <w:kern w:val="2"/>
          <w:sz w:val="40"/>
          <w:szCs w:val="40"/>
          <w:lang w:val="zh-CN" w:eastAsia="zh-CN" w:bidi="ar-SA"/>
        </w:rPr>
        <w:t>专项预算项目支出绩效自评报告</w:t>
      </w:r>
    </w:p>
    <w:p w14:paraId="258E82DA">
      <w:pPr>
        <w:widowControl w:val="0"/>
        <w:spacing w:line="600" w:lineRule="exact"/>
        <w:ind w:firstLine="883"/>
        <w:jc w:val="center"/>
        <w:rPr>
          <w:rFonts w:ascii="Times New Roman" w:hAnsi="Times New Roman" w:eastAsia="仿宋_GB2312" w:cs="Times New Roman"/>
          <w:color w:val="auto"/>
          <w:kern w:val="2"/>
          <w:sz w:val="32"/>
          <w:szCs w:val="32"/>
          <w:lang w:val="zh-CN" w:eastAsia="zh-CN" w:bidi="ar-SA"/>
        </w:rPr>
      </w:pPr>
      <w:r>
        <w:rPr>
          <w:rFonts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自然资源所乡镇工作补贴</w:t>
      </w:r>
      <w:r>
        <w:rPr>
          <w:rFonts w:ascii="Times New Roman" w:hAnsi="Times New Roman" w:eastAsia="仿宋_GB2312" w:cs="Times New Roman"/>
          <w:color w:val="auto"/>
          <w:kern w:val="2"/>
          <w:sz w:val="32"/>
          <w:szCs w:val="32"/>
          <w:lang w:val="zh-CN" w:eastAsia="zh-CN" w:bidi="ar-SA"/>
        </w:rPr>
        <w:t>）</w:t>
      </w:r>
    </w:p>
    <w:p w14:paraId="7C7042EC">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A0A99B0">
      <w:pPr>
        <w:widowControl/>
        <w:adjustRightInd w:val="0"/>
        <w:snapToGrid w:val="0"/>
        <w:spacing w:line="578" w:lineRule="exact"/>
        <w:ind w:firstLine="640" w:firstLineChars="200"/>
        <w:contextualSpacing/>
        <w:jc w:val="left"/>
        <w:rPr>
          <w:rFonts w:ascii="Times New Roman" w:hAnsi="Times New Roman" w:eastAsia="仿宋_GB2312" w:cs="Times New Roman"/>
          <w:sz w:val="32"/>
          <w:szCs w:val="32"/>
        </w:rPr>
      </w:pPr>
      <w:r>
        <w:rPr>
          <w:rFonts w:ascii="Times New Roman" w:hAnsi="Times New Roman" w:eastAsia="黑体" w:cs="Times New Roman"/>
          <w:color w:val="000000"/>
          <w:kern w:val="0"/>
          <w:sz w:val="32"/>
          <w:szCs w:val="32"/>
          <w:shd w:val="clear" w:color="auto" w:fill="FFFFFF"/>
          <w:lang w:val="zh-CN"/>
        </w:rPr>
        <w:t>一、部门（单位）基本情况</w:t>
      </w:r>
    </w:p>
    <w:p w14:paraId="3211490E">
      <w:pPr>
        <w:widowControl/>
        <w:adjustRightInd w:val="0"/>
        <w:snapToGrid w:val="0"/>
        <w:spacing w:line="578" w:lineRule="exact"/>
        <w:ind w:firstLine="643" w:firstLineChars="200"/>
        <w:contextualSpacing/>
        <w:jc w:val="left"/>
        <w:rPr>
          <w:rFonts w:hint="eastAsia"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（一）机构组成。</w:t>
      </w:r>
      <w:r>
        <w:rPr>
          <w:rFonts w:hint="eastAsia" w:ascii="Times New Roman" w:hAnsi="Times New Roman" w:eastAsia="仿宋_GB2312" w:cs="Times New Roman"/>
          <w:color w:val="000000"/>
          <w:kern w:val="0"/>
          <w:sz w:val="32"/>
          <w:szCs w:val="32"/>
          <w:shd w:val="clear" w:color="auto" w:fill="FFFFFF"/>
        </w:rPr>
        <w:t>仁和区分局为实施</w:t>
      </w:r>
      <w:r>
        <w:rPr>
          <w:rFonts w:hint="eastAsia" w:ascii="Times New Roman" w:hAnsi="Times New Roman" w:eastAsia="仿宋_GB2312" w:cs="Times New Roman"/>
          <w:color w:val="000000"/>
          <w:kern w:val="0"/>
          <w:sz w:val="32"/>
          <w:szCs w:val="32"/>
          <w:shd w:val="clear" w:color="auto" w:fill="FFFFFF"/>
          <w:lang w:val="zh-CN"/>
        </w:rPr>
        <w:t>独立核算</w:t>
      </w:r>
      <w:r>
        <w:rPr>
          <w:rFonts w:hint="eastAsia" w:ascii="Times New Roman" w:hAnsi="Times New Roman" w:eastAsia="仿宋_GB2312" w:cs="Times New Roman"/>
          <w:color w:val="000000"/>
          <w:kern w:val="0"/>
          <w:sz w:val="32"/>
          <w:szCs w:val="32"/>
          <w:shd w:val="clear" w:color="auto" w:fill="FFFFFF"/>
        </w:rPr>
        <w:t>二级预算单位，性质为行政</w:t>
      </w:r>
      <w:r>
        <w:rPr>
          <w:rFonts w:hint="eastAsia" w:ascii="Times New Roman" w:hAnsi="Times New Roman" w:eastAsia="仿宋_GB2312" w:cs="Times New Roman"/>
          <w:color w:val="000000"/>
          <w:kern w:val="0"/>
          <w:sz w:val="32"/>
          <w:szCs w:val="32"/>
          <w:shd w:val="clear" w:color="auto" w:fill="FFFFFF"/>
          <w:lang w:val="zh-CN"/>
        </w:rPr>
        <w:t>，内设三股一室，</w:t>
      </w:r>
      <w:r>
        <w:rPr>
          <w:rFonts w:hint="eastAsia" w:ascii="Times New Roman" w:hAnsi="Times New Roman" w:eastAsia="仿宋_GB2312" w:cs="Times New Roman"/>
          <w:color w:val="000000"/>
          <w:kern w:val="0"/>
          <w:sz w:val="32"/>
          <w:szCs w:val="32"/>
          <w:shd w:val="clear" w:color="auto" w:fill="FFFFFF"/>
        </w:rPr>
        <w:t>与</w:t>
      </w:r>
      <w:r>
        <w:rPr>
          <w:rFonts w:hint="eastAsia" w:ascii="Times New Roman" w:hAnsi="Times New Roman" w:eastAsia="仿宋_GB2312" w:cs="Times New Roman"/>
          <w:color w:val="000000"/>
          <w:kern w:val="0"/>
          <w:sz w:val="32"/>
          <w:szCs w:val="32"/>
          <w:shd w:val="clear" w:color="auto" w:fill="FFFFFF"/>
          <w:lang w:val="zh-CN"/>
        </w:rPr>
        <w:t>市国土资源执法监察支队仁和区大队、攀枝花市不动产登记中心仁和分中心合署办公，代管市自然资源和规划局派驻仁和区13个自然资源所。</w:t>
      </w:r>
    </w:p>
    <w:p w14:paraId="2921EDBD">
      <w:pPr>
        <w:widowControl/>
        <w:adjustRightInd w:val="0"/>
        <w:snapToGrid w:val="0"/>
        <w:spacing w:line="580" w:lineRule="exact"/>
        <w:ind w:firstLine="643"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（二）机构职能。</w:t>
      </w:r>
      <w:r>
        <w:rPr>
          <w:rFonts w:ascii="Times New Roman" w:hAnsi="Times New Roman" w:eastAsia="仿宋_GB2312" w:cs="Times New Roman"/>
          <w:sz w:val="32"/>
          <w:szCs w:val="32"/>
        </w:rPr>
        <w:t>仁</w:t>
      </w:r>
      <w:r>
        <w:rPr>
          <w:rFonts w:ascii="Times New Roman" w:hAnsi="Times New Roman" w:eastAsia="仿宋_GB2312" w:cs="Times New Roman"/>
          <w:color w:val="000000"/>
          <w:kern w:val="0"/>
          <w:sz w:val="32"/>
          <w:szCs w:val="32"/>
          <w:shd w:val="clear" w:color="auto" w:fill="FFFFFF"/>
        </w:rPr>
        <w:t>和区分局是主管</w:t>
      </w:r>
      <w:r>
        <w:rPr>
          <w:rFonts w:hint="eastAsia" w:ascii="Times New Roman" w:hAnsi="Times New Roman" w:eastAsia="仿宋_GB2312" w:cs="Times New Roman"/>
          <w:color w:val="000000"/>
          <w:kern w:val="0"/>
          <w:sz w:val="32"/>
          <w:szCs w:val="32"/>
          <w:shd w:val="clear" w:color="auto" w:fill="FFFFFF"/>
        </w:rPr>
        <w:t>仁和</w:t>
      </w:r>
      <w:r>
        <w:rPr>
          <w:rFonts w:ascii="Times New Roman" w:hAnsi="Times New Roman" w:eastAsia="仿宋_GB2312" w:cs="Times New Roman"/>
          <w:color w:val="000000"/>
          <w:kern w:val="0"/>
          <w:sz w:val="32"/>
          <w:szCs w:val="32"/>
          <w:shd w:val="clear" w:color="auto" w:fill="FFFFFF"/>
        </w:rPr>
        <w:t>区土地、矿产资源的调查评价、规划、管理、保护与合理利用的市政府工作部门</w:t>
      </w:r>
      <w:r>
        <w:rPr>
          <w:rFonts w:hint="eastAsia" w:ascii="Times New Roman" w:hAnsi="Times New Roman" w:eastAsia="仿宋_GB2312" w:cs="Times New Roman"/>
          <w:color w:val="000000"/>
          <w:kern w:val="0"/>
          <w:sz w:val="32"/>
          <w:szCs w:val="32"/>
          <w:shd w:val="clear" w:color="auto" w:fill="FFFFFF"/>
        </w:rPr>
        <w:t>内设机构，履行如下职能：</w:t>
      </w:r>
    </w:p>
    <w:p w14:paraId="0302D84C">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贯彻执行国家、省、市有关自然资源管理的</w:t>
      </w:r>
      <w:r>
        <w:rPr>
          <w:rFonts w:hint="eastAsia" w:eastAsia="仿宋_GB2312" w:cs="Times New Roman"/>
          <w:color w:val="000000"/>
          <w:kern w:val="0"/>
          <w:sz w:val="32"/>
          <w:szCs w:val="32"/>
          <w:shd w:val="clear" w:color="auto" w:fill="FFFFFF"/>
          <w:lang w:eastAsia="zh-CN"/>
        </w:rPr>
        <w:t>法律法规</w:t>
      </w:r>
      <w:r>
        <w:rPr>
          <w:rFonts w:ascii="Times New Roman" w:hAnsi="Times New Roman" w:eastAsia="仿宋_GB2312" w:cs="Times New Roman"/>
          <w:color w:val="000000"/>
          <w:kern w:val="0"/>
          <w:sz w:val="32"/>
          <w:szCs w:val="32"/>
          <w:shd w:val="clear" w:color="auto" w:fill="FFFFFF"/>
        </w:rPr>
        <w:t>、政策和规章，组织开展自然资源相关</w:t>
      </w:r>
      <w:r>
        <w:rPr>
          <w:rFonts w:hint="eastAsia" w:eastAsia="仿宋_GB2312" w:cs="Times New Roman"/>
          <w:color w:val="000000"/>
          <w:kern w:val="0"/>
          <w:sz w:val="32"/>
          <w:szCs w:val="32"/>
          <w:shd w:val="clear" w:color="auto" w:fill="FFFFFF"/>
          <w:lang w:eastAsia="zh-CN"/>
        </w:rPr>
        <w:t>法治宣传教育</w:t>
      </w:r>
      <w:r>
        <w:rPr>
          <w:rFonts w:ascii="Times New Roman" w:hAnsi="Times New Roman" w:eastAsia="仿宋_GB2312" w:cs="Times New Roman"/>
          <w:color w:val="000000"/>
          <w:kern w:val="0"/>
          <w:sz w:val="32"/>
          <w:szCs w:val="32"/>
          <w:shd w:val="clear" w:color="auto" w:fill="FFFFFF"/>
        </w:rPr>
        <w:t>；</w:t>
      </w:r>
    </w:p>
    <w:p w14:paraId="70492847">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2</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负责辖区内矿产资源管理、地质环境保护、地质灾害防治与监管工作。负责权限内采矿权审批登记、发证工作；</w:t>
      </w:r>
    </w:p>
    <w:p w14:paraId="5E37D1B2">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3</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承担辖区内耕地保护的责任，</w:t>
      </w:r>
      <w:r>
        <w:rPr>
          <w:rFonts w:hint="eastAsia" w:eastAsia="仿宋_GB2312" w:cs="Times New Roman"/>
          <w:color w:val="000000"/>
          <w:kern w:val="0"/>
          <w:sz w:val="32"/>
          <w:szCs w:val="32"/>
          <w:shd w:val="clear" w:color="auto" w:fill="FFFFFF"/>
          <w:lang w:eastAsia="zh-CN"/>
        </w:rPr>
        <w:t>拟订</w:t>
      </w:r>
      <w:r>
        <w:rPr>
          <w:rFonts w:ascii="Times New Roman" w:hAnsi="Times New Roman" w:eastAsia="仿宋_GB2312" w:cs="Times New Roman"/>
          <w:color w:val="000000"/>
          <w:kern w:val="0"/>
          <w:sz w:val="32"/>
          <w:szCs w:val="32"/>
          <w:shd w:val="clear" w:color="auto" w:fill="FFFFFF"/>
        </w:rPr>
        <w:t>并组织实施耕地保护、基本农田保护政策，监督占用耕地补偿制度执行情况；</w:t>
      </w:r>
    </w:p>
    <w:p w14:paraId="4C486FD6">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4</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编制并组织实施辖区内国土资源各项专项规划，并依法监督实施；</w:t>
      </w:r>
    </w:p>
    <w:p w14:paraId="64DA4569">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5</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受市局委托负责辖区内临时用地审核和农村集体土地所有权、集体建设用地使用权的登记发证。指导辖区内土地征收、土地储备工作；</w:t>
      </w:r>
    </w:p>
    <w:p w14:paraId="756AE3C0">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6</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协助市局做好辖区内的土地、矿产资源的勘测、规划、调查、登记、发证等工作，依法调解土地、矿产权属纠纷；</w:t>
      </w:r>
    </w:p>
    <w:p w14:paraId="51BDF5ED">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7</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协助市局管理辖</w:t>
      </w:r>
      <w:r>
        <w:rPr>
          <w:rFonts w:hint="eastAsia" w:ascii="Times New Roman" w:hAnsi="Times New Roman" w:eastAsia="仿宋_GB2312" w:cs="Times New Roman"/>
          <w:color w:val="000000"/>
          <w:kern w:val="0"/>
          <w:sz w:val="32"/>
          <w:szCs w:val="32"/>
          <w:shd w:val="clear" w:color="auto" w:fill="FFFFFF"/>
          <w:lang w:eastAsia="zh-CN"/>
        </w:rPr>
        <w:t>区</w:t>
      </w:r>
      <w:r>
        <w:rPr>
          <w:rFonts w:ascii="Times New Roman" w:hAnsi="Times New Roman" w:eastAsia="仿宋_GB2312" w:cs="Times New Roman"/>
          <w:color w:val="000000"/>
          <w:kern w:val="0"/>
          <w:sz w:val="32"/>
          <w:szCs w:val="32"/>
          <w:shd w:val="clear" w:color="auto" w:fill="FFFFFF"/>
        </w:rPr>
        <w:t>内的土地、矿产市场。协助市局做好辖区内国土资源执法监察、违法案件查处和信访工作；</w:t>
      </w:r>
    </w:p>
    <w:p w14:paraId="2B598DD9">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8</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负责推进辖区内国土资源科技进步和国土资源信息化建设；</w:t>
      </w:r>
    </w:p>
    <w:p w14:paraId="71ABF995">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9</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负责辖区内基层国土资源管理所的日常管理工作；</w:t>
      </w:r>
    </w:p>
    <w:p w14:paraId="7B86A594">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10</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负责辖区内国土资源管理所的党风廉政建设和行业作风建设；</w:t>
      </w:r>
    </w:p>
    <w:p w14:paraId="30798C12">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11</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完成权限内的规划与实施管理</w:t>
      </w:r>
      <w:r>
        <w:rPr>
          <w:rFonts w:hint="eastAsia" w:ascii="Times New Roman" w:hAnsi="Times New Roman" w:eastAsia="仿宋_GB2312" w:cs="Times New Roman"/>
          <w:color w:val="000000"/>
          <w:kern w:val="0"/>
          <w:sz w:val="32"/>
          <w:szCs w:val="32"/>
          <w:shd w:val="clear" w:color="auto" w:fill="FFFFFF"/>
        </w:rPr>
        <w:t>；</w:t>
      </w:r>
    </w:p>
    <w:p w14:paraId="0A62CFC3">
      <w:pPr>
        <w:widowControl/>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12</w:t>
      </w:r>
      <w:r>
        <w:rPr>
          <w:rFonts w:hint="eastAsia" w:ascii="Times New Roman" w:hAnsi="Times New Roman" w:eastAsia="仿宋_GB2312" w:cs="Times New Roman"/>
          <w:color w:val="000000"/>
          <w:kern w:val="0"/>
          <w:sz w:val="32"/>
          <w:szCs w:val="32"/>
          <w:shd w:val="clear" w:color="auto" w:fill="FFFFFF"/>
        </w:rPr>
        <w:t>.</w:t>
      </w:r>
      <w:r>
        <w:rPr>
          <w:rFonts w:ascii="Times New Roman" w:hAnsi="Times New Roman" w:eastAsia="仿宋_GB2312" w:cs="Times New Roman"/>
          <w:color w:val="000000"/>
          <w:kern w:val="0"/>
          <w:sz w:val="32"/>
          <w:szCs w:val="32"/>
          <w:shd w:val="clear" w:color="auto" w:fill="FFFFFF"/>
        </w:rPr>
        <w:t>完成市局和</w:t>
      </w:r>
      <w:r>
        <w:rPr>
          <w:rFonts w:hint="eastAsia" w:ascii="Times New Roman" w:hAnsi="Times New Roman" w:eastAsia="仿宋_GB2312" w:cs="Times New Roman"/>
          <w:color w:val="000000"/>
          <w:kern w:val="0"/>
          <w:sz w:val="32"/>
          <w:szCs w:val="32"/>
          <w:shd w:val="clear" w:color="auto" w:fill="FFFFFF"/>
        </w:rPr>
        <w:t>仁和</w:t>
      </w:r>
      <w:r>
        <w:rPr>
          <w:rFonts w:ascii="Times New Roman" w:hAnsi="Times New Roman" w:eastAsia="仿宋_GB2312" w:cs="Times New Roman"/>
          <w:color w:val="000000"/>
          <w:kern w:val="0"/>
          <w:sz w:val="32"/>
          <w:szCs w:val="32"/>
          <w:shd w:val="clear" w:color="auto" w:fill="FFFFFF"/>
        </w:rPr>
        <w:t>区政府交办的</w:t>
      </w:r>
      <w:r>
        <w:rPr>
          <w:rFonts w:hint="eastAsia" w:eastAsia="仿宋_GB2312" w:cs="Times New Roman"/>
          <w:color w:val="000000"/>
          <w:kern w:val="0"/>
          <w:sz w:val="32"/>
          <w:szCs w:val="32"/>
          <w:shd w:val="clear" w:color="auto" w:fill="FFFFFF"/>
          <w:lang w:eastAsia="zh-CN"/>
        </w:rPr>
        <w:t>其他事项</w:t>
      </w:r>
      <w:r>
        <w:rPr>
          <w:rFonts w:ascii="Times New Roman" w:hAnsi="Times New Roman" w:eastAsia="仿宋_GB2312" w:cs="Times New Roman"/>
          <w:color w:val="000000"/>
          <w:kern w:val="0"/>
          <w:sz w:val="32"/>
          <w:szCs w:val="32"/>
          <w:shd w:val="clear" w:color="auto" w:fill="FFFFFF"/>
        </w:rPr>
        <w:t>。</w:t>
      </w:r>
    </w:p>
    <w:p w14:paraId="5713DF2F">
      <w:pPr>
        <w:spacing w:line="600" w:lineRule="exact"/>
        <w:ind w:firstLine="321" w:firstLineChars="100"/>
        <w:rPr>
          <w:rFonts w:ascii="Times New Roman" w:hAnsi="Times New Roman" w:eastAsia="仿宋_GB2312" w:cs="Times New Roman"/>
          <w:sz w:val="32"/>
          <w:szCs w:val="32"/>
        </w:rPr>
      </w:pPr>
      <w:r>
        <w:rPr>
          <w:rFonts w:ascii="Times New Roman" w:hAnsi="Times New Roman" w:eastAsia="楷体_GB2312" w:cs="Times New Roman"/>
          <w:b/>
          <w:bCs/>
          <w:color w:val="000000"/>
          <w:kern w:val="0"/>
          <w:sz w:val="32"/>
          <w:szCs w:val="32"/>
          <w:shd w:val="clear" w:color="auto" w:fill="FFFFFF"/>
          <w:lang w:val="zh-CN"/>
        </w:rPr>
        <w:t>（三）人员概况。</w:t>
      </w:r>
      <w:r>
        <w:rPr>
          <w:rFonts w:ascii="Times New Roman" w:hAnsi="Times New Roman" w:eastAsia="仿宋_GB2312" w:cs="Times New Roman"/>
          <w:sz w:val="32"/>
          <w:szCs w:val="32"/>
        </w:rPr>
        <w:t>截至202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年末，</w:t>
      </w:r>
      <w:r>
        <w:rPr>
          <w:rFonts w:hint="eastAsia" w:ascii="仿宋_GB2312" w:hAnsi="仿宋_GB2312" w:eastAsia="仿宋_GB2312" w:cs="仿宋_GB2312"/>
          <w:sz w:val="32"/>
          <w:szCs w:val="32"/>
        </w:rPr>
        <w:t>仁和区分局实有人数2</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人，其中行政编制</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人，非参公事业人员2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人。</w:t>
      </w:r>
    </w:p>
    <w:p w14:paraId="3F9FB09D">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二、部门资金收支情况</w:t>
      </w:r>
    </w:p>
    <w:p w14:paraId="330D582A">
      <w:pPr>
        <w:widowControl/>
        <w:adjustRightInd w:val="0"/>
        <w:snapToGrid w:val="0"/>
        <w:spacing w:line="578" w:lineRule="exact"/>
        <w:ind w:firstLine="643" w:firstLineChars="200"/>
        <w:contextualSpacing/>
        <w:jc w:val="left"/>
        <w:rPr>
          <w:rFonts w:hint="eastAsia" w:ascii="Times New Roman" w:hAnsi="Times New Roman" w:eastAsia="仿宋_GB2312" w:cs="Times New Roman"/>
          <w:sz w:val="32"/>
          <w:szCs w:val="32"/>
          <w:lang w:val="en-US" w:eastAsia="zh-CN"/>
        </w:rPr>
      </w:pPr>
      <w:r>
        <w:rPr>
          <w:rFonts w:ascii="Times New Roman" w:hAnsi="Times New Roman" w:eastAsia="楷体_GB2312" w:cs="Times New Roman"/>
          <w:b/>
          <w:bCs/>
          <w:color w:val="000000"/>
          <w:kern w:val="0"/>
          <w:sz w:val="32"/>
          <w:szCs w:val="32"/>
          <w:shd w:val="clear" w:color="auto" w:fill="FFFFFF"/>
          <w:lang w:val="zh-CN"/>
        </w:rPr>
        <w:t>（一）收入情况。</w:t>
      </w:r>
      <w:r>
        <w:rPr>
          <w:rFonts w:hint="eastAsia" w:ascii="Times New Roman" w:hAnsi="Times New Roman" w:eastAsia="楷体_GB2312" w:cs="Times New Roman"/>
          <w:sz w:val="32"/>
          <w:szCs w:val="32"/>
          <w:lang w:eastAsia="zh-CN"/>
        </w:rPr>
        <w:t>市自然资源和规划局仁和区分局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年年初预算收入</w:t>
      </w:r>
      <w:r>
        <w:rPr>
          <w:rFonts w:hint="eastAsia" w:ascii="Times New Roman" w:hAnsi="Times New Roman" w:eastAsia="仿宋_GB2312" w:cs="Times New Roman"/>
          <w:sz w:val="32"/>
          <w:szCs w:val="32"/>
          <w:lang w:val="en-US" w:eastAsia="zh-CN"/>
        </w:rPr>
        <w:t>519.93万元、</w:t>
      </w:r>
      <w:r>
        <w:rPr>
          <w:rFonts w:ascii="Times New Roman" w:hAnsi="Times New Roman" w:eastAsia="仿宋_GB2312" w:cs="Times New Roman"/>
          <w:sz w:val="32"/>
          <w:szCs w:val="32"/>
        </w:rPr>
        <w:t>决算报表收入</w:t>
      </w:r>
      <w:r>
        <w:rPr>
          <w:rFonts w:hint="eastAsia" w:ascii="Times New Roman" w:hAnsi="Times New Roman" w:eastAsia="仿宋_GB2312" w:cs="Times New Roman"/>
          <w:sz w:val="32"/>
          <w:szCs w:val="32"/>
          <w:lang w:eastAsia="zh-CN"/>
        </w:rPr>
        <w:t>一般公共预算收入</w:t>
      </w:r>
      <w:r>
        <w:rPr>
          <w:rFonts w:hint="eastAsia" w:ascii="Times New Roman" w:hAnsi="Times New Roman" w:eastAsia="仿宋_GB2312" w:cs="Times New Roman"/>
          <w:sz w:val="32"/>
          <w:szCs w:val="32"/>
          <w:lang w:val="en-US" w:eastAsia="zh-CN"/>
        </w:rPr>
        <w:t>1424.12万元，其他收入（主要是非同级财政拨款收入）1052.64万元。</w:t>
      </w:r>
    </w:p>
    <w:p w14:paraId="7E0F427B">
      <w:pPr>
        <w:widowControl/>
        <w:adjustRightInd w:val="0"/>
        <w:snapToGrid w:val="0"/>
        <w:spacing w:line="578" w:lineRule="exact"/>
        <w:ind w:firstLine="643" w:firstLineChars="200"/>
        <w:contextualSpacing/>
        <w:jc w:val="left"/>
        <w:rPr>
          <w:rFonts w:hint="eastAsia" w:ascii="Times New Roman" w:hAnsi="Times New Roman" w:eastAsia="仿宋_GB2312" w:cs="Times New Roman"/>
          <w:sz w:val="32"/>
          <w:szCs w:val="32"/>
          <w:lang w:eastAsia="zh-CN"/>
        </w:rPr>
      </w:pPr>
      <w:r>
        <w:rPr>
          <w:rFonts w:ascii="Times New Roman" w:hAnsi="Times New Roman" w:eastAsia="楷体_GB2312" w:cs="Times New Roman"/>
          <w:b/>
          <w:bCs/>
          <w:color w:val="000000"/>
          <w:kern w:val="0"/>
          <w:sz w:val="32"/>
          <w:szCs w:val="32"/>
          <w:shd w:val="clear" w:color="auto" w:fill="FFFFFF"/>
          <w:lang w:val="zh-CN"/>
        </w:rPr>
        <w:t>（二）支出情况。</w:t>
      </w:r>
      <w:r>
        <w:rPr>
          <w:rFonts w:hint="eastAsia" w:ascii="Times New Roman" w:hAnsi="Times New Roman" w:eastAsia="楷体_GB2312" w:cs="Times New Roman"/>
          <w:sz w:val="32"/>
          <w:szCs w:val="32"/>
          <w:lang w:eastAsia="zh-CN"/>
        </w:rPr>
        <w:t>市自然资源和规划局仁和区分局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年年初预算支出</w:t>
      </w:r>
      <w:r>
        <w:rPr>
          <w:rFonts w:hint="eastAsia" w:ascii="Times New Roman" w:hAnsi="Times New Roman" w:eastAsia="仿宋_GB2312" w:cs="Times New Roman"/>
          <w:sz w:val="32"/>
          <w:szCs w:val="32"/>
          <w:lang w:val="en-US" w:eastAsia="zh-CN"/>
        </w:rPr>
        <w:t>519.93万元</w:t>
      </w:r>
      <w:r>
        <w:rPr>
          <w:rFonts w:ascii="Times New Roman" w:hAnsi="Times New Roman" w:eastAsia="仿宋_GB2312" w:cs="Times New Roman"/>
          <w:sz w:val="32"/>
          <w:szCs w:val="32"/>
        </w:rPr>
        <w:t>、决算报表支出</w:t>
      </w:r>
      <w:r>
        <w:rPr>
          <w:rFonts w:hint="eastAsia" w:ascii="Times New Roman" w:hAnsi="Times New Roman" w:eastAsia="仿宋_GB2312" w:cs="Times New Roman"/>
          <w:sz w:val="32"/>
          <w:szCs w:val="32"/>
          <w:lang w:eastAsia="zh-CN"/>
        </w:rPr>
        <w:t>一般公共</w:t>
      </w:r>
      <w:r>
        <w:rPr>
          <w:rFonts w:hint="eastAsia" w:eastAsia="仿宋_GB2312" w:cs="Times New Roman"/>
          <w:sz w:val="32"/>
          <w:szCs w:val="32"/>
          <w:lang w:eastAsia="zh-CN"/>
        </w:rPr>
        <w:t>预算</w:t>
      </w:r>
      <w:r>
        <w:rPr>
          <w:rFonts w:hint="eastAsia" w:ascii="Times New Roman" w:hAnsi="Times New Roman" w:eastAsia="仿宋_GB2312" w:cs="Times New Roman"/>
          <w:sz w:val="32"/>
          <w:szCs w:val="32"/>
          <w:lang w:val="en-US" w:eastAsia="zh-CN"/>
        </w:rPr>
        <w:t>1424.12万元，其他支出（主要是非同级财政拨款收入）1052.64万元，</w:t>
      </w:r>
      <w:r>
        <w:rPr>
          <w:rFonts w:hint="eastAsia" w:ascii="Times New Roman" w:hAnsi="Times New Roman" w:eastAsia="仿宋_GB2312" w:cs="Times New Roman"/>
          <w:sz w:val="32"/>
          <w:szCs w:val="32"/>
          <w:lang w:eastAsia="zh-CN"/>
        </w:rPr>
        <w:t>完成人员类支出、运转类支出、特定项目类支出，达到了正常运转及人民群众都比较满意。</w:t>
      </w:r>
    </w:p>
    <w:p w14:paraId="3BE74057">
      <w:pPr>
        <w:widowControl/>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（三）</w:t>
      </w:r>
      <w:r>
        <w:rPr>
          <w:rFonts w:ascii="Times New Roman" w:hAnsi="Times New Roman" w:eastAsia="楷体_GB2312" w:cs="Times New Roman"/>
          <w:b/>
          <w:sz w:val="32"/>
          <w:szCs w:val="32"/>
        </w:rPr>
        <w:t>结余分配和结转结余情况。</w:t>
      </w:r>
      <w:r>
        <w:rPr>
          <w:rFonts w:hint="eastAsia" w:ascii="Times New Roman" w:hAnsi="Times New Roman" w:eastAsia="楷体_GB2312" w:cs="Times New Roman"/>
          <w:sz w:val="32"/>
          <w:szCs w:val="32"/>
          <w:lang w:eastAsia="zh-CN"/>
        </w:rPr>
        <w:t>市自然资源和规划局仁和区分局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无</w:t>
      </w:r>
      <w:r>
        <w:rPr>
          <w:rFonts w:ascii="Times New Roman" w:hAnsi="Times New Roman" w:eastAsia="仿宋_GB2312" w:cs="Times New Roman"/>
          <w:color w:val="000000"/>
          <w:kern w:val="0"/>
          <w:sz w:val="32"/>
          <w:szCs w:val="32"/>
          <w:shd w:val="clear" w:color="auto" w:fill="FFFFFF"/>
        </w:rPr>
        <w:t>结转结余。</w:t>
      </w:r>
    </w:p>
    <w:p w14:paraId="3C5F1FD6">
      <w:pPr>
        <w:widowControl/>
        <w:adjustRightInd w:val="0"/>
        <w:snapToGrid w:val="0"/>
        <w:spacing w:line="578" w:lineRule="exact"/>
        <w:ind w:firstLine="640" w:firstLineChars="200"/>
        <w:contextualSpacing/>
        <w:jc w:val="left"/>
        <w:rPr>
          <w:rFonts w:ascii="Times New Roman" w:hAnsi="Times New Roman" w:eastAsia="黑体" w:cs="Times New Roman"/>
          <w:color w:val="000000" w:themeColor="text1"/>
          <w:kern w:val="0"/>
          <w:sz w:val="32"/>
          <w:szCs w:val="32"/>
          <w:shd w:val="clear" w:color="auto" w:fill="FFFFFF"/>
          <w14:textFill>
            <w14:solidFill>
              <w14:schemeClr w14:val="tx1"/>
            </w14:solidFill>
          </w14:textFill>
        </w:rPr>
      </w:pPr>
      <w:r>
        <w:rPr>
          <w:rFonts w:ascii="Times New Roman" w:hAnsi="Times New Roman" w:eastAsia="黑体" w:cs="Times New Roman"/>
          <w:color w:val="000000"/>
          <w:kern w:val="0"/>
          <w:sz w:val="32"/>
          <w:szCs w:val="32"/>
          <w:shd w:val="clear" w:color="auto" w:fill="FFFFFF"/>
        </w:rPr>
        <w:t>三、部门预算绩效分析</w:t>
      </w:r>
    </w:p>
    <w:p w14:paraId="475C2FB5">
      <w:pPr>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（一）部门预算总体绩效分析。</w:t>
      </w:r>
      <w:r>
        <w:rPr>
          <w:rFonts w:ascii="Times New Roman" w:hAnsi="Times New Roman" w:eastAsia="仿宋_GB2312" w:cs="Times New Roman"/>
          <w:color w:val="000000"/>
          <w:kern w:val="0"/>
          <w:sz w:val="32"/>
          <w:szCs w:val="32"/>
          <w:shd w:val="clear" w:color="auto" w:fill="FFFFFF"/>
          <w:lang w:val="zh-CN"/>
        </w:rPr>
        <w:t>根据部门预算绩效评价指标体系“总体绩效”涉及二、三级指标进行逐项绩效分析并评分，依次包括履职效能、预算管理、财务管理、资产管理、采购管理等情况。</w:t>
      </w:r>
    </w:p>
    <w:p w14:paraId="010AB045">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1.</w:t>
      </w:r>
      <w:r>
        <w:rPr>
          <w:rFonts w:ascii="Times New Roman" w:hAnsi="Times New Roman" w:eastAsia="楷体_GB2312" w:cs="Times New Roman"/>
          <w:color w:val="000000"/>
          <w:kern w:val="0"/>
          <w:sz w:val="32"/>
          <w:szCs w:val="32"/>
          <w:shd w:val="clear" w:color="auto" w:fill="FFFFFF"/>
          <w:lang w:val="zh-CN"/>
        </w:rPr>
        <w:t>履职效能。</w:t>
      </w:r>
    </w:p>
    <w:p w14:paraId="1A652C94">
      <w:pPr>
        <w:widowControl w:val="0"/>
        <w:spacing w:line="600" w:lineRule="exact"/>
        <w:ind w:firstLine="320" w:firstLineChars="1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（1）项目年度目标任务严格执行相关政策，保障工资及时发放、足额发放，保障单位日常运转。</w:t>
      </w:r>
    </w:p>
    <w:p w14:paraId="0C36AF68">
      <w:pPr>
        <w:widowControl w:val="0"/>
        <w:spacing w:line="600" w:lineRule="exact"/>
        <w:ind w:firstLine="320" w:firstLineChars="100"/>
        <w:jc w:val="both"/>
        <w:rPr>
          <w:rFonts w:hint="eastAsia"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（2）加快隐患点治理。</w:t>
      </w:r>
      <w:r>
        <w:rPr>
          <w:rFonts w:hint="eastAsia" w:ascii="Times New Roman" w:hAnsi="Times New Roman" w:eastAsia="仿宋_GB2312" w:cs="Times New Roman"/>
          <w:kern w:val="2"/>
          <w:sz w:val="32"/>
          <w:szCs w:val="32"/>
          <w:lang w:val="en-US" w:eastAsia="zh-CN" w:bidi="ar-SA"/>
        </w:rPr>
        <w:t>完成起查喇村大村组崖子脚滑坡治理、起查喇村苍蒲地组机动田滑坡治理、仁和区2025年地质灾害综合治理和避险搬迁等，保护人民群众生命财产安全。</w:t>
      </w:r>
    </w:p>
    <w:p w14:paraId="3598BBBB">
      <w:pPr>
        <w:widowControl w:val="0"/>
        <w:spacing w:line="600" w:lineRule="exact"/>
        <w:ind w:firstLine="640" w:firstLineChars="200"/>
        <w:jc w:val="both"/>
        <w:rPr>
          <w:rFonts w:hint="eastAsia"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kern w:val="2"/>
          <w:sz w:val="32"/>
          <w:szCs w:val="32"/>
          <w:lang w:val="en-US" w:eastAsia="zh-CN" w:bidi="ar-SA"/>
        </w:rPr>
        <w:t>）通过</w:t>
      </w:r>
      <w:r>
        <w:rPr>
          <w:rFonts w:hint="eastAsia" w:ascii="Times New Roman" w:hAnsi="Times New Roman" w:eastAsia="仿宋_GB2312" w:cs="Times New Roman"/>
          <w:kern w:val="2"/>
          <w:sz w:val="32"/>
          <w:szCs w:val="32"/>
          <w:lang w:val="en-US" w:eastAsia="zh-CN" w:bidi="ar-SA"/>
        </w:rPr>
        <w:t>监测点人员每天对隐患点实行简易监测，监测隐患点发展情况，及时采取</w:t>
      </w:r>
      <w:r>
        <w:rPr>
          <w:rFonts w:hint="eastAsia" w:eastAsia="仿宋_GB2312" w:cs="Times New Roman"/>
          <w:kern w:val="2"/>
          <w:sz w:val="32"/>
          <w:szCs w:val="32"/>
          <w:lang w:val="en-US" w:eastAsia="zh-CN" w:bidi="ar-SA"/>
        </w:rPr>
        <w:t>防治</w:t>
      </w:r>
      <w:r>
        <w:rPr>
          <w:rFonts w:hint="eastAsia" w:ascii="Times New Roman" w:hAnsi="Times New Roman" w:eastAsia="仿宋_GB2312" w:cs="Times New Roman"/>
          <w:kern w:val="2"/>
          <w:sz w:val="32"/>
          <w:szCs w:val="32"/>
          <w:lang w:val="en-US" w:eastAsia="zh-CN" w:bidi="ar-SA"/>
        </w:rPr>
        <w:t>措施，保障受威胁人群安全。</w:t>
      </w:r>
    </w:p>
    <w:p w14:paraId="28788B8E">
      <w:pPr>
        <w:widowControl w:val="0"/>
        <w:spacing w:line="600" w:lineRule="exact"/>
        <w:ind w:firstLine="320" w:firstLineChars="1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4</w:t>
      </w:r>
      <w:r>
        <w:rPr>
          <w:rFonts w:hint="default" w:ascii="Times New Roman" w:hAnsi="Times New Roman"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仁和区地质灾害防治能力建设和宣传，</w:t>
      </w:r>
      <w:r>
        <w:rPr>
          <w:rFonts w:hint="default" w:ascii="Times New Roman" w:hAnsi="Times New Roman" w:eastAsia="仿宋_GB2312" w:cs="Times New Roman"/>
          <w:kern w:val="2"/>
          <w:sz w:val="32"/>
          <w:szCs w:val="32"/>
          <w:lang w:val="en-US" w:eastAsia="zh-CN" w:bidi="ar-SA"/>
        </w:rPr>
        <w:t>该项目</w:t>
      </w:r>
      <w:r>
        <w:rPr>
          <w:rFonts w:hint="eastAsia" w:ascii="Times New Roman" w:hAnsi="Times New Roman" w:eastAsia="仿宋_GB2312" w:cs="Times New Roman"/>
          <w:kern w:val="2"/>
          <w:sz w:val="32"/>
          <w:szCs w:val="32"/>
          <w:lang w:val="en-US" w:eastAsia="zh-CN" w:bidi="ar-SA"/>
        </w:rPr>
        <w:t>用于</w:t>
      </w:r>
      <w:r>
        <w:rPr>
          <w:rFonts w:hint="eastAsia" w:eastAsia="仿宋_GB2312" w:cs="Times New Roman"/>
          <w:kern w:val="2"/>
          <w:sz w:val="32"/>
          <w:szCs w:val="32"/>
          <w:lang w:val="en-US" w:eastAsia="zh-CN" w:bidi="ar-SA"/>
        </w:rPr>
        <w:t>开展2025年度</w:t>
      </w:r>
      <w:r>
        <w:rPr>
          <w:rFonts w:hint="eastAsia" w:ascii="Times New Roman" w:hAnsi="Times New Roman" w:eastAsia="仿宋_GB2312" w:cs="Times New Roman"/>
          <w:kern w:val="2"/>
          <w:sz w:val="32"/>
          <w:szCs w:val="32"/>
          <w:lang w:val="en-US" w:eastAsia="zh-CN" w:bidi="ar-SA"/>
        </w:rPr>
        <w:t>地质灾害宣传、隐患点核查等，按合同约定督导核查隐患点完工率为100%，提高人民群众识灾防灾能力，群众满意度提升达到95%。</w:t>
      </w:r>
    </w:p>
    <w:p w14:paraId="301240C9">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2.</w:t>
      </w:r>
      <w:r>
        <w:rPr>
          <w:rFonts w:ascii="Times New Roman" w:hAnsi="Times New Roman" w:eastAsia="楷体_GB2312" w:cs="Times New Roman"/>
          <w:color w:val="000000"/>
          <w:kern w:val="0"/>
          <w:sz w:val="32"/>
          <w:szCs w:val="32"/>
          <w:shd w:val="clear" w:color="auto" w:fill="FFFFFF"/>
          <w:lang w:val="zh-CN"/>
        </w:rPr>
        <w:t>预算管理。</w:t>
      </w:r>
    </w:p>
    <w:p w14:paraId="25469DA1">
      <w:pPr>
        <w:widowControl w:val="0"/>
        <w:numPr>
          <w:ilvl w:val="0"/>
          <w:numId w:val="0"/>
        </w:numPr>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（1）预算编制：各部门之间沟通协调充分，预算与工作任务相适应。做到程序规范、方法科学、内容完整，项目落实，数据准确。</w:t>
      </w:r>
    </w:p>
    <w:p w14:paraId="046237ED">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（2）预算执行：根据批复预算严格安排各项支出、指标细化分解，审批下达，保障基本需求；项目支出与项目进度相协调、严格控制追加调整，充分发挥预算对单位事业发展及经济活动的管控作用。</w:t>
      </w:r>
    </w:p>
    <w:p w14:paraId="0C6F4867">
      <w:pPr>
        <w:widowControl w:val="0"/>
        <w:spacing w:line="600" w:lineRule="exact"/>
        <w:ind w:firstLine="640"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（3）预算年终结余：单位当年无预算年终结余。</w:t>
      </w:r>
    </w:p>
    <w:p w14:paraId="3F71A202">
      <w:pPr>
        <w:widowControl w:val="0"/>
        <w:spacing w:line="600" w:lineRule="exact"/>
        <w:ind w:firstLine="640" w:firstLineChars="200"/>
        <w:jc w:val="both"/>
        <w:rPr>
          <w:rFonts w:ascii="宋体" w:hAnsi="Courier New" w:eastAsia="宋体" w:cs="Times New Roman"/>
          <w:kern w:val="2"/>
          <w:sz w:val="32"/>
          <w:szCs w:val="24"/>
          <w:lang w:val="zh-CN" w:eastAsia="zh-CN" w:bidi="ar-SA"/>
        </w:rPr>
      </w:pPr>
      <w:r>
        <w:rPr>
          <w:rFonts w:hint="default" w:ascii="Times New Roman" w:hAnsi="Times New Roman" w:eastAsia="仿宋_GB2312" w:cs="Times New Roman"/>
          <w:kern w:val="2"/>
          <w:sz w:val="32"/>
          <w:szCs w:val="32"/>
          <w:lang w:val="en-US" w:eastAsia="zh-CN" w:bidi="ar-SA"/>
        </w:rPr>
        <w:t>（4）单位严格按照文件要求严控一般性支出。</w:t>
      </w:r>
    </w:p>
    <w:p w14:paraId="2E5A3E08">
      <w:p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3.</w:t>
      </w:r>
      <w:r>
        <w:rPr>
          <w:rFonts w:ascii="Times New Roman" w:hAnsi="Times New Roman" w:eastAsia="楷体_GB2312" w:cs="Times New Roman"/>
          <w:color w:val="000000"/>
          <w:kern w:val="0"/>
          <w:sz w:val="32"/>
          <w:szCs w:val="32"/>
          <w:shd w:val="clear" w:color="auto" w:fill="FFFFFF"/>
          <w:lang w:val="zh-CN"/>
        </w:rPr>
        <w:t>财务管理。</w:t>
      </w:r>
    </w:p>
    <w:p w14:paraId="77E493BB">
      <w:pPr>
        <w:widowControl w:val="0"/>
        <w:snapToGrid w:val="0"/>
        <w:ind w:firstLine="640" w:firstLineChars="200"/>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en-US" w:eastAsia="zh-CN" w:bidi="ar-SA"/>
        </w:rPr>
        <w:t>单位财务管理制度健全，严格执行财务管理制度，账务处理及时，会计核算规范</w:t>
      </w:r>
      <w:r>
        <w:rPr>
          <w:rFonts w:hint="default" w:ascii="Times New Roman" w:hAnsi="Times New Roman" w:eastAsia="仿宋_GB2312" w:cs="Times New Roman"/>
          <w:kern w:val="2"/>
          <w:sz w:val="32"/>
          <w:szCs w:val="32"/>
          <w:lang w:val="zh-CN" w:eastAsia="zh-CN" w:bidi="ar-SA"/>
        </w:rPr>
        <w:t>。</w:t>
      </w:r>
    </w:p>
    <w:p w14:paraId="6DF1CF9B">
      <w:pPr>
        <w:numPr>
          <w:ilvl w:val="0"/>
          <w:numId w:val="37"/>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lang w:val="zh-CN"/>
        </w:rPr>
        <w:t>资产管理。</w:t>
      </w:r>
    </w:p>
    <w:p w14:paraId="21F90ECC">
      <w:pPr>
        <w:widowControl w:val="0"/>
        <w:numPr>
          <w:ilvl w:val="0"/>
          <w:numId w:val="0"/>
        </w:numPr>
        <w:spacing w:line="600" w:lineRule="exact"/>
        <w:ind w:firstLine="640" w:firstLineChars="200"/>
        <w:jc w:val="both"/>
        <w:rPr>
          <w:rFonts w:ascii="宋体" w:hAnsi="Courier New" w:eastAsia="宋体" w:cs="Times New Roman"/>
          <w:kern w:val="2"/>
          <w:sz w:val="32"/>
          <w:szCs w:val="24"/>
          <w:lang w:val="zh-CN" w:eastAsia="zh-CN" w:bidi="ar-SA"/>
        </w:rPr>
      </w:pPr>
      <w:r>
        <w:rPr>
          <w:rFonts w:hint="default" w:ascii="Times New Roman" w:hAnsi="Times New Roman" w:eastAsia="仿宋_GB2312" w:cs="Times New Roman"/>
          <w:kern w:val="2"/>
          <w:sz w:val="32"/>
          <w:szCs w:val="32"/>
          <w:lang w:val="en-US" w:eastAsia="zh-CN" w:bidi="ar-SA"/>
        </w:rPr>
        <w:t>确保资产配置标准、决策和审批程序符合规定，规范国有资产使用行为，落实使用责任，防止国有资产流失，保证资产安全完整，提高资产使用效能。</w:t>
      </w:r>
    </w:p>
    <w:p w14:paraId="11F2CEF0">
      <w:p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5.</w:t>
      </w:r>
      <w:r>
        <w:rPr>
          <w:rFonts w:ascii="Times New Roman" w:hAnsi="Times New Roman" w:eastAsia="楷体_GB2312" w:cs="Times New Roman"/>
          <w:color w:val="000000"/>
          <w:kern w:val="0"/>
          <w:sz w:val="32"/>
          <w:szCs w:val="32"/>
          <w:shd w:val="clear" w:color="auto" w:fill="FFFFFF"/>
          <w:lang w:val="zh-CN"/>
        </w:rPr>
        <w:t>采购管理。</w:t>
      </w:r>
      <w:r>
        <w:rPr>
          <w:rFonts w:ascii="Times New Roman" w:hAnsi="Times New Roman" w:eastAsia="仿宋_GB2312" w:cs="Times New Roman"/>
          <w:color w:val="000000"/>
          <w:kern w:val="0"/>
          <w:sz w:val="32"/>
          <w:szCs w:val="32"/>
          <w:shd w:val="clear" w:color="auto" w:fill="FFFFFF"/>
          <w:lang w:val="zh-CN"/>
        </w:rPr>
        <w:t>围绕支持中小企业发展、采购执行率进行绩效分析。</w:t>
      </w:r>
    </w:p>
    <w:p w14:paraId="30ABEF41">
      <w:pPr>
        <w:widowControl/>
        <w:adjustRightInd w:val="0"/>
        <w:snapToGrid w:val="0"/>
        <w:spacing w:line="578" w:lineRule="exact"/>
        <w:ind w:firstLine="643" w:firstLineChars="200"/>
        <w:contextualSpacing/>
        <w:jc w:val="left"/>
        <w:rPr>
          <w:rFonts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（二）部门预算项目绩效分析。</w:t>
      </w:r>
      <w:r>
        <w:rPr>
          <w:rFonts w:ascii="Times New Roman" w:hAnsi="Times New Roman" w:eastAsia="仿宋_GB2312" w:cs="Times New Roman"/>
          <w:color w:val="000000"/>
          <w:kern w:val="0"/>
          <w:sz w:val="32"/>
          <w:szCs w:val="32"/>
          <w:shd w:val="clear" w:color="auto" w:fill="FFFFFF"/>
          <w:lang w:val="zh-CN"/>
        </w:rPr>
        <w:t>填报以下数据，并根据部门预算绩效评价指标体系“项目绩效”涉及二、三级指标进行逐项绩效分析并评分，依次包括项目</w:t>
      </w:r>
      <w:r>
        <w:rPr>
          <w:rFonts w:ascii="Times New Roman" w:hAnsi="Times New Roman" w:eastAsia="仿宋_GB2312" w:cs="Times New Roman"/>
          <w:color w:val="000000"/>
          <w:kern w:val="0"/>
          <w:sz w:val="32"/>
          <w:szCs w:val="32"/>
          <w:shd w:val="clear" w:color="auto" w:fill="FFFFFF"/>
        </w:rPr>
        <w:t>决策、项目执行、目标实现等情况。</w:t>
      </w:r>
    </w:p>
    <w:p w14:paraId="1E52B56A">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color w:val="000000"/>
          <w:kern w:val="0"/>
          <w:sz w:val="32"/>
          <w:szCs w:val="32"/>
          <w:shd w:val="clear" w:color="auto" w:fill="FFFFFF"/>
        </w:rPr>
        <w:t>常年项目绩效分析。</w:t>
      </w:r>
      <w:r>
        <w:rPr>
          <w:rFonts w:ascii="Times New Roman" w:hAnsi="Times New Roman" w:eastAsia="仿宋_GB2312" w:cs="Times New Roman"/>
          <w:color w:val="000000"/>
          <w:kern w:val="0"/>
          <w:sz w:val="32"/>
          <w:szCs w:val="32"/>
          <w:shd w:val="clear" w:color="auto" w:fill="FFFFFF"/>
          <w:lang w:val="zh-CN"/>
        </w:rPr>
        <w:t>该类项目总数</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个，涉及预算总金额</w:t>
      </w:r>
      <w:r>
        <w:rPr>
          <w:rFonts w:ascii="Times New Roman" w:hAnsi="Times New Roman" w:eastAsia="仿宋_GB2312" w:cs="Times New Roman"/>
          <w:color w:val="000000"/>
          <w:kern w:val="0"/>
          <w:sz w:val="32"/>
          <w:szCs w:val="32"/>
          <w:shd w:val="clear" w:color="auto" w:fill="FFFFFF"/>
        </w:rPr>
        <w:t xml:space="preserve">   </w:t>
      </w:r>
      <w:r>
        <w:rPr>
          <w:rFonts w:ascii="Times New Roman" w:hAnsi="Times New Roman" w:eastAsia="仿宋_GB2312" w:cs="Times New Roman"/>
          <w:color w:val="000000"/>
          <w:kern w:val="0"/>
          <w:sz w:val="32"/>
          <w:szCs w:val="32"/>
          <w:shd w:val="clear" w:color="auto" w:fill="FFFFFF"/>
          <w:lang w:val="zh-CN"/>
        </w:rPr>
        <w:t>万元，1</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1</w:t>
      </w:r>
      <w:r>
        <w:rPr>
          <w:rFonts w:ascii="Times New Roman" w:hAnsi="Times New Roman" w:eastAsia="仿宋_GB2312" w:cs="Times New Roman"/>
          <w:color w:val="000000"/>
          <w:kern w:val="0"/>
          <w:sz w:val="32"/>
          <w:szCs w:val="32"/>
          <w:shd w:val="clear" w:color="auto" w:fill="FFFFFF"/>
        </w:rPr>
        <w:t>2</w:t>
      </w:r>
      <w:r>
        <w:rPr>
          <w:rFonts w:ascii="Times New Roman" w:hAnsi="Times New Roman" w:eastAsia="仿宋_GB2312" w:cs="Times New Roman"/>
          <w:color w:val="000000"/>
          <w:kern w:val="0"/>
          <w:sz w:val="32"/>
          <w:szCs w:val="32"/>
          <w:shd w:val="clear" w:color="auto" w:fill="FFFFFF"/>
          <w:lang w:val="zh-CN"/>
        </w:rPr>
        <w:t>月预算执行总体进度为</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rPr>
        <w:t xml:space="preserve"> </w:t>
      </w:r>
      <w:r>
        <w:rPr>
          <w:rFonts w:ascii="Times New Roman" w:hAnsi="Times New Roman" w:eastAsia="仿宋_GB2312" w:cs="Times New Roman"/>
          <w:color w:val="000000"/>
          <w:kern w:val="0"/>
          <w:sz w:val="32"/>
          <w:szCs w:val="32"/>
          <w:shd w:val="clear" w:color="auto" w:fill="FFFFFF"/>
          <w:lang w:val="zh-CN"/>
        </w:rPr>
        <w:t>%，其中：预算结余率大于</w:t>
      </w:r>
      <w:r>
        <w:rPr>
          <w:rFonts w:ascii="Times New Roman" w:hAnsi="Times New Roman" w:eastAsia="仿宋_GB2312" w:cs="Times New Roman"/>
          <w:color w:val="000000"/>
          <w:kern w:val="0"/>
          <w:sz w:val="32"/>
          <w:szCs w:val="32"/>
          <w:shd w:val="clear" w:color="auto" w:fill="FFFFFF"/>
        </w:rPr>
        <w:t>10%</w:t>
      </w:r>
      <w:r>
        <w:rPr>
          <w:rFonts w:ascii="Times New Roman" w:hAnsi="Times New Roman" w:eastAsia="仿宋_GB2312" w:cs="Times New Roman"/>
          <w:color w:val="000000"/>
          <w:kern w:val="0"/>
          <w:sz w:val="32"/>
          <w:szCs w:val="32"/>
          <w:shd w:val="clear" w:color="auto" w:fill="FFFFFF"/>
          <w:lang w:val="zh-CN"/>
        </w:rPr>
        <w:t>的项目共计</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0</w:t>
      </w:r>
      <w:r>
        <w:rPr>
          <w:rFonts w:ascii="Times New Roman" w:hAnsi="Times New Roman" w:eastAsia="仿宋_GB2312" w:cs="Times New Roman"/>
          <w:color w:val="000000"/>
          <w:kern w:val="0"/>
          <w:sz w:val="32"/>
          <w:szCs w:val="32"/>
          <w:shd w:val="clear" w:color="auto" w:fill="FFFFFF"/>
          <w:lang w:val="zh-CN"/>
        </w:rPr>
        <w:t>个。</w:t>
      </w:r>
    </w:p>
    <w:p w14:paraId="42E1751E">
      <w:pPr>
        <w:adjustRightInd w:val="0"/>
        <w:snapToGrid w:val="0"/>
        <w:spacing w:line="578"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ascii="Times New Roman" w:hAnsi="Times New Roman" w:eastAsia="仿宋_GB2312" w:cs="Times New Roman"/>
          <w:color w:val="000000"/>
          <w:kern w:val="0"/>
          <w:sz w:val="32"/>
          <w:szCs w:val="32"/>
          <w:shd w:val="clear" w:color="auto" w:fill="FFFFFF"/>
        </w:rPr>
        <w:t>阶段（</w:t>
      </w:r>
      <w:r>
        <w:rPr>
          <w:rFonts w:hint="eastAsia" w:ascii="Times New Roman" w:hAnsi="Times New Roman" w:eastAsia="仿宋_GB2312" w:cs="Times New Roman"/>
          <w:color w:val="000000"/>
          <w:kern w:val="0"/>
          <w:sz w:val="32"/>
          <w:szCs w:val="32"/>
          <w:shd w:val="clear" w:color="auto" w:fill="FFFFFF"/>
        </w:rPr>
        <w:t>含</w:t>
      </w:r>
      <w:r>
        <w:rPr>
          <w:rFonts w:ascii="Times New Roman" w:hAnsi="Times New Roman" w:eastAsia="仿宋_GB2312" w:cs="Times New Roman"/>
          <w:color w:val="000000"/>
          <w:kern w:val="0"/>
          <w:sz w:val="32"/>
          <w:szCs w:val="32"/>
          <w:shd w:val="clear" w:color="auto" w:fill="FFFFFF"/>
        </w:rPr>
        <w:t>一次性）项目绩效分析。</w:t>
      </w:r>
      <w:r>
        <w:rPr>
          <w:rFonts w:ascii="Times New Roman" w:hAnsi="Times New Roman" w:eastAsia="仿宋_GB2312" w:cs="Times New Roman"/>
          <w:color w:val="000000"/>
          <w:kern w:val="0"/>
          <w:sz w:val="32"/>
          <w:szCs w:val="32"/>
          <w:shd w:val="clear" w:color="auto" w:fill="FFFFFF"/>
          <w:lang w:val="zh-CN"/>
        </w:rPr>
        <w:t>该类项目总数</w:t>
      </w:r>
      <w:r>
        <w:rPr>
          <w:rFonts w:hint="eastAsia" w:ascii="Times New Roman" w:hAnsi="Times New Roman" w:eastAsia="仿宋_GB2312" w:cs="Times New Roman"/>
          <w:color w:val="000000"/>
          <w:kern w:val="0"/>
          <w:sz w:val="32"/>
          <w:szCs w:val="32"/>
          <w:shd w:val="clear" w:color="auto" w:fill="FFFFFF"/>
          <w:lang w:val="en-US" w:eastAsia="zh-CN"/>
        </w:rPr>
        <w:t>13</w:t>
      </w:r>
      <w:r>
        <w:rPr>
          <w:rFonts w:ascii="Times New Roman" w:hAnsi="Times New Roman" w:eastAsia="仿宋_GB2312" w:cs="Times New Roman"/>
          <w:color w:val="000000"/>
          <w:kern w:val="0"/>
          <w:sz w:val="32"/>
          <w:szCs w:val="32"/>
          <w:shd w:val="clear" w:color="auto" w:fill="FFFFFF"/>
          <w:lang w:val="zh-CN"/>
        </w:rPr>
        <w:t>个，涉及预算总金额</w:t>
      </w:r>
      <w:r>
        <w:rPr>
          <w:rFonts w:hint="eastAsia" w:ascii="Times New Roman" w:hAnsi="Times New Roman" w:eastAsia="仿宋_GB2312" w:cs="Times New Roman"/>
          <w:color w:val="000000"/>
          <w:kern w:val="0"/>
          <w:sz w:val="32"/>
          <w:szCs w:val="32"/>
          <w:shd w:val="clear" w:color="auto" w:fill="FFFFFF"/>
          <w:lang w:val="en-US" w:eastAsia="zh-CN"/>
        </w:rPr>
        <w:t>1017.13</w:t>
      </w:r>
      <w:r>
        <w:rPr>
          <w:rFonts w:ascii="Times New Roman" w:hAnsi="Times New Roman" w:eastAsia="仿宋_GB2312" w:cs="Times New Roman"/>
          <w:color w:val="000000"/>
          <w:kern w:val="0"/>
          <w:sz w:val="32"/>
          <w:szCs w:val="32"/>
          <w:shd w:val="clear" w:color="auto" w:fill="FFFFFF"/>
          <w:lang w:val="zh-CN"/>
        </w:rPr>
        <w:t>万元，1</w:t>
      </w:r>
      <w:r>
        <w:rPr>
          <w:rFonts w:hint="eastAsia" w:ascii="Times New Roman" w:hAnsi="Times New Roman" w:eastAsia="仿宋_GB2312" w:cs="Times New Roman"/>
          <w:color w:val="000000"/>
          <w:kern w:val="0"/>
          <w:sz w:val="32"/>
          <w:szCs w:val="32"/>
          <w:shd w:val="clear" w:color="auto" w:fill="FFFFFF"/>
          <w:lang w:val="zh-CN"/>
        </w:rPr>
        <w:t>—</w:t>
      </w:r>
      <w:r>
        <w:rPr>
          <w:rFonts w:ascii="Times New Roman" w:hAnsi="Times New Roman" w:eastAsia="仿宋_GB2312" w:cs="Times New Roman"/>
          <w:color w:val="000000"/>
          <w:kern w:val="0"/>
          <w:sz w:val="32"/>
          <w:szCs w:val="32"/>
          <w:shd w:val="clear" w:color="auto" w:fill="FFFFFF"/>
          <w:lang w:val="zh-CN"/>
        </w:rPr>
        <w:t>1</w:t>
      </w:r>
      <w:r>
        <w:rPr>
          <w:rFonts w:ascii="Times New Roman" w:hAnsi="Times New Roman" w:eastAsia="仿宋_GB2312" w:cs="Times New Roman"/>
          <w:color w:val="000000"/>
          <w:kern w:val="0"/>
          <w:sz w:val="32"/>
          <w:szCs w:val="32"/>
          <w:shd w:val="clear" w:color="auto" w:fill="FFFFFF"/>
        </w:rPr>
        <w:t>2</w:t>
      </w:r>
      <w:r>
        <w:rPr>
          <w:rFonts w:ascii="Times New Roman" w:hAnsi="Times New Roman" w:eastAsia="仿宋_GB2312" w:cs="Times New Roman"/>
          <w:color w:val="000000"/>
          <w:kern w:val="0"/>
          <w:sz w:val="32"/>
          <w:szCs w:val="32"/>
          <w:shd w:val="clear" w:color="auto" w:fill="FFFFFF"/>
          <w:lang w:val="zh-CN"/>
        </w:rPr>
        <w:t>月预算执行总体进度为</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86.7</w:t>
      </w:r>
      <w:r>
        <w:rPr>
          <w:rFonts w:ascii="Times New Roman" w:hAnsi="Times New Roman" w:eastAsia="仿宋_GB2312" w:cs="Times New Roman"/>
          <w:color w:val="000000"/>
          <w:kern w:val="0"/>
          <w:sz w:val="32"/>
          <w:szCs w:val="32"/>
          <w:shd w:val="clear" w:color="auto" w:fill="FFFFFF"/>
        </w:rPr>
        <w:t xml:space="preserve"> </w:t>
      </w:r>
      <w:r>
        <w:rPr>
          <w:rFonts w:ascii="Times New Roman" w:hAnsi="Times New Roman" w:eastAsia="仿宋_GB2312" w:cs="Times New Roman"/>
          <w:color w:val="000000"/>
          <w:kern w:val="0"/>
          <w:sz w:val="32"/>
          <w:szCs w:val="32"/>
          <w:shd w:val="clear" w:color="auto" w:fill="FFFFFF"/>
          <w:lang w:val="zh-CN"/>
        </w:rPr>
        <w:t>%，其中：预算结余率大于</w:t>
      </w:r>
      <w:r>
        <w:rPr>
          <w:rFonts w:ascii="Times New Roman" w:hAnsi="Times New Roman" w:eastAsia="仿宋_GB2312" w:cs="Times New Roman"/>
          <w:color w:val="000000"/>
          <w:kern w:val="0"/>
          <w:sz w:val="32"/>
          <w:szCs w:val="32"/>
          <w:shd w:val="clear" w:color="auto" w:fill="FFFFFF"/>
        </w:rPr>
        <w:t>10%</w:t>
      </w:r>
      <w:r>
        <w:rPr>
          <w:rFonts w:ascii="Times New Roman" w:hAnsi="Times New Roman" w:eastAsia="仿宋_GB2312" w:cs="Times New Roman"/>
          <w:color w:val="000000"/>
          <w:kern w:val="0"/>
          <w:sz w:val="32"/>
          <w:szCs w:val="32"/>
          <w:shd w:val="clear" w:color="auto" w:fill="FFFFFF"/>
          <w:lang w:val="zh-CN"/>
        </w:rPr>
        <w:t>的项目共计</w:t>
      </w:r>
      <w:r>
        <w:rPr>
          <w:rFonts w:ascii="Times New Roman" w:hAnsi="Times New Roman" w:eastAsia="仿宋_GB2312" w:cs="Times New Roman"/>
          <w:color w:val="000000"/>
          <w:kern w:val="0"/>
          <w:sz w:val="32"/>
          <w:szCs w:val="32"/>
          <w:shd w:val="clear" w:color="auto" w:fill="FFFFFF"/>
        </w:rPr>
        <w:t xml:space="preserve"> </w:t>
      </w:r>
      <w:r>
        <w:rPr>
          <w:rFonts w:hint="eastAsia" w:ascii="Times New Roman" w:hAnsi="Times New Roman" w:eastAsia="仿宋_GB2312" w:cs="Times New Roman"/>
          <w:color w:val="000000"/>
          <w:kern w:val="0"/>
          <w:sz w:val="32"/>
          <w:szCs w:val="32"/>
          <w:shd w:val="clear" w:color="auto" w:fill="FFFFFF"/>
          <w:lang w:val="en-US" w:eastAsia="zh-CN"/>
        </w:rPr>
        <w:t>1</w:t>
      </w:r>
      <w:r>
        <w:rPr>
          <w:rFonts w:ascii="Times New Roman" w:hAnsi="Times New Roman" w:eastAsia="仿宋_GB2312" w:cs="Times New Roman"/>
          <w:color w:val="000000"/>
          <w:kern w:val="0"/>
          <w:sz w:val="32"/>
          <w:szCs w:val="32"/>
          <w:shd w:val="clear" w:color="auto" w:fill="FFFFFF"/>
          <w:lang w:val="zh-CN"/>
        </w:rPr>
        <w:t>个。</w:t>
      </w:r>
    </w:p>
    <w:p w14:paraId="1885D4F2">
      <w:pPr>
        <w:numPr>
          <w:ilvl w:val="0"/>
          <w:numId w:val="15"/>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lang w:val="zh-CN"/>
        </w:rPr>
        <w:t>项目决策。</w:t>
      </w:r>
    </w:p>
    <w:p w14:paraId="10CC98FE">
      <w:pPr>
        <w:widowControl w:val="0"/>
        <w:numPr>
          <w:ilvl w:val="0"/>
          <w:numId w:val="0"/>
        </w:numPr>
        <w:spacing w:line="600" w:lineRule="exact"/>
        <w:ind w:firstLine="640" w:firstLineChars="200"/>
        <w:jc w:val="both"/>
        <w:rPr>
          <w:rFonts w:ascii="宋体" w:hAnsi="Courier New" w:eastAsia="宋体" w:cs="Times New Roman"/>
          <w:kern w:val="2"/>
          <w:sz w:val="32"/>
          <w:szCs w:val="24"/>
          <w:lang w:val="zh-CN" w:eastAsia="zh-CN" w:bidi="ar-SA"/>
        </w:rPr>
      </w:pPr>
      <w:r>
        <w:rPr>
          <w:rFonts w:hint="default" w:ascii="Times New Roman" w:hAnsi="Times New Roman" w:eastAsia="仿宋_GB2312" w:cs="Times New Roman"/>
          <w:kern w:val="2"/>
          <w:sz w:val="32"/>
          <w:szCs w:val="32"/>
          <w:lang w:val="en-US" w:eastAsia="zh-CN" w:bidi="ar-SA"/>
        </w:rPr>
        <w:t>根据202</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年部门预算批复的规定，</w:t>
      </w:r>
      <w:r>
        <w:rPr>
          <w:rFonts w:hint="eastAsia" w:ascii="Times New Roman" w:hAnsi="Times New Roman" w:eastAsia="仿宋_GB2312" w:cs="Times New Roman"/>
          <w:kern w:val="2"/>
          <w:sz w:val="32"/>
          <w:szCs w:val="32"/>
          <w:lang w:val="en-US" w:eastAsia="zh-CN" w:bidi="ar-SA"/>
        </w:rPr>
        <w:t>攀枝花市自然资源和规划局仁和区分局</w:t>
      </w:r>
      <w:r>
        <w:rPr>
          <w:rFonts w:hint="default" w:ascii="Times New Roman" w:hAnsi="Times New Roman" w:eastAsia="仿宋_GB2312" w:cs="Times New Roman"/>
          <w:kern w:val="2"/>
          <w:sz w:val="32"/>
          <w:szCs w:val="32"/>
          <w:lang w:val="en-US" w:eastAsia="zh-CN" w:bidi="ar-SA"/>
        </w:rPr>
        <w:t>对项目的目标进行设置，各项指标设置完整细化，合理合规进行项目入库。</w:t>
      </w:r>
    </w:p>
    <w:p w14:paraId="6D9D60CF">
      <w:pPr>
        <w:numPr>
          <w:ilvl w:val="0"/>
          <w:numId w:val="15"/>
        </w:numPr>
        <w:adjustRightInd w:val="0"/>
        <w:snapToGrid w:val="0"/>
        <w:spacing w:line="578" w:lineRule="exact"/>
        <w:ind w:left="0" w:leftChars="0"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ascii="Times New Roman" w:hAnsi="Times New Roman" w:eastAsia="楷体_GB2312" w:cs="Times New Roman"/>
          <w:color w:val="000000"/>
          <w:kern w:val="0"/>
          <w:sz w:val="32"/>
          <w:szCs w:val="32"/>
          <w:shd w:val="clear" w:color="auto" w:fill="FFFFFF"/>
        </w:rPr>
        <w:t>项目执行</w:t>
      </w:r>
      <w:r>
        <w:rPr>
          <w:rFonts w:ascii="Times New Roman" w:hAnsi="Times New Roman" w:eastAsia="楷体_GB2312" w:cs="Times New Roman"/>
          <w:color w:val="000000"/>
          <w:kern w:val="0"/>
          <w:sz w:val="32"/>
          <w:szCs w:val="32"/>
          <w:shd w:val="clear" w:color="auto" w:fill="FFFFFF"/>
          <w:lang w:val="zh-CN"/>
        </w:rPr>
        <w:t>。</w:t>
      </w:r>
    </w:p>
    <w:p w14:paraId="54489E70">
      <w:pPr>
        <w:numPr>
          <w:ilvl w:val="0"/>
          <w:numId w:val="0"/>
        </w:numPr>
        <w:adjustRightInd w:val="0"/>
        <w:snapToGrid w:val="0"/>
        <w:spacing w:line="578" w:lineRule="exact"/>
        <w:ind w:firstLine="640" w:firstLineChars="200"/>
        <w:contextualSpacing/>
        <w:jc w:val="left"/>
        <w:rPr>
          <w:rFonts w:ascii="Times New Roman" w:hAnsi="Times New Roman" w:eastAsia="楷体_GB2312" w:cs="Times New Roman"/>
          <w:color w:val="000000"/>
          <w:kern w:val="0"/>
          <w:sz w:val="32"/>
          <w:szCs w:val="32"/>
          <w:shd w:val="clear" w:color="auto" w:fill="FFFFFF"/>
          <w:lang w:val="zh-CN"/>
        </w:rPr>
      </w:pPr>
      <w:r>
        <w:rPr>
          <w:rFonts w:hint="eastAsia" w:ascii="Times New Roman" w:hAnsi="Times New Roman" w:eastAsia="仿宋_GB2312" w:cs="Times New Roman"/>
          <w:sz w:val="32"/>
          <w:szCs w:val="32"/>
          <w:lang w:eastAsia="zh-CN"/>
        </w:rPr>
        <w:t>攀枝花市自然资源和规划局仁和区分局</w:t>
      </w:r>
      <w:r>
        <w:rPr>
          <w:rFonts w:hint="default" w:ascii="Times New Roman" w:hAnsi="Times New Roman" w:eastAsia="仿宋_GB2312" w:cs="Times New Roman"/>
          <w:sz w:val="32"/>
          <w:szCs w:val="32"/>
        </w:rPr>
        <w:t>遵循“先有预算、后有支出”的原则，结合单位年度工作任务，严格按照批复的预算项目、科目和金额，科学合理规范使用项目经费，年度无预算项目调整情况，项目预算执行进度进展良好，无违规记录，各项经费的开支范围均以预算批复数为基准</w:t>
      </w:r>
      <w:r>
        <w:rPr>
          <w:rFonts w:hint="eastAsia" w:ascii="Times New Roman" w:hAnsi="Times New Roman" w:eastAsia="仿宋_GB2312" w:cs="Times New Roman"/>
          <w:sz w:val="32"/>
          <w:szCs w:val="32"/>
          <w:lang w:eastAsia="zh-CN"/>
        </w:rPr>
        <w:t>。</w:t>
      </w:r>
    </w:p>
    <w:p w14:paraId="0FABE10E">
      <w:pPr>
        <w:numPr>
          <w:ilvl w:val="0"/>
          <w:numId w:val="15"/>
        </w:numPr>
        <w:adjustRightInd w:val="0"/>
        <w:snapToGrid w:val="0"/>
        <w:spacing w:line="578" w:lineRule="exact"/>
        <w:ind w:left="0" w:leftChars="0" w:firstLine="640" w:firstLineChars="200"/>
        <w:contextualSpacing/>
        <w:jc w:val="left"/>
        <w:rPr>
          <w:rFonts w:ascii="Times New Roman" w:hAnsi="Times New Roman" w:eastAsia="仿宋_GB2312" w:cs="Times New Roman"/>
          <w:sz w:val="32"/>
          <w:lang w:val="zh-CN"/>
        </w:rPr>
      </w:pPr>
      <w:r>
        <w:rPr>
          <w:rFonts w:ascii="Times New Roman" w:hAnsi="Times New Roman" w:eastAsia="楷体_GB2312" w:cs="Times New Roman"/>
          <w:color w:val="000000"/>
          <w:kern w:val="0"/>
          <w:sz w:val="32"/>
          <w:szCs w:val="32"/>
          <w:shd w:val="clear" w:color="auto" w:fill="FFFFFF"/>
          <w:lang w:val="zh-CN"/>
        </w:rPr>
        <w:t>目标实现。</w:t>
      </w:r>
    </w:p>
    <w:p w14:paraId="6F0C3C26">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（1）2018</w:t>
      </w:r>
      <w:r>
        <w:rPr>
          <w:rFonts w:hint="eastAsia"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2021年上级地质灾害防治项目经费</w:t>
      </w:r>
    </w:p>
    <w:p w14:paraId="5E87B042">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该工程已完成2018年2个治理项目；2个清淤加固项目及2批次自动化监测建设项目；2019年1个地灾治理项目；1个专业监测项目；2020年6个地灾治理项目；2021年7个地灾治理项目，已支付90.64万元，</w:t>
      </w:r>
      <w:r>
        <w:rPr>
          <w:rFonts w:hint="eastAsia" w:ascii="Times New Roman" w:hAnsi="Times New Roman" w:eastAsia="仿宋_GB2312" w:cs="Times New Roman"/>
          <w:sz w:val="32"/>
          <w:szCs w:val="32"/>
          <w:lang w:eastAsia="zh-CN"/>
        </w:rPr>
        <w:t>绩效目标已全部实现。</w:t>
      </w:r>
    </w:p>
    <w:p w14:paraId="2D0B9CE3">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（2）202</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eastAsia="zh-CN"/>
        </w:rPr>
        <w:t>年第一批中央地质灾害防治项目</w:t>
      </w:r>
    </w:p>
    <w:p w14:paraId="13B8D3A9">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该工程已完成同德道中桥、中坝乡团山村炳密、务本乡乌拉半边街滑坡治理项目、完成斜坡地灾隐患调查，</w:t>
      </w:r>
      <w:r>
        <w:rPr>
          <w:rFonts w:hint="eastAsia" w:ascii="Times New Roman" w:hAnsi="Times New Roman" w:eastAsia="仿宋_GB2312" w:cs="Times New Roman"/>
          <w:sz w:val="32"/>
          <w:szCs w:val="32"/>
          <w:lang w:eastAsia="zh-CN"/>
        </w:rPr>
        <w:t>已支付</w:t>
      </w:r>
      <w:r>
        <w:rPr>
          <w:rFonts w:hint="eastAsia" w:ascii="Times New Roman" w:hAnsi="Times New Roman" w:eastAsia="仿宋_GB2312" w:cs="Times New Roman"/>
          <w:sz w:val="32"/>
          <w:szCs w:val="32"/>
          <w:lang w:val="en-US" w:eastAsia="zh-CN"/>
        </w:rPr>
        <w:t>8.3</w:t>
      </w:r>
      <w:r>
        <w:rPr>
          <w:rFonts w:hint="eastAsia" w:ascii="Times New Roman" w:hAnsi="Times New Roman" w:eastAsia="仿宋_GB2312" w:cs="Times New Roman"/>
          <w:sz w:val="32"/>
          <w:szCs w:val="32"/>
          <w:lang w:eastAsia="zh-CN"/>
        </w:rPr>
        <w:t>万元，其年度绩效目标已全部实现。</w:t>
      </w:r>
    </w:p>
    <w:p w14:paraId="3E690B91">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（3）2024年第一批中央地质防治（起查喇村大村组崖子脚滑坡治理）</w:t>
      </w:r>
    </w:p>
    <w:p w14:paraId="5322946F">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该工程已完成起查喇村大村组崖子脚滑坡治理</w:t>
      </w:r>
      <w:r>
        <w:rPr>
          <w:rFonts w:hint="eastAsia" w:ascii="Times New Roman" w:hAnsi="Times New Roman" w:eastAsia="仿宋_GB2312" w:cs="Times New Roman"/>
          <w:sz w:val="32"/>
          <w:szCs w:val="32"/>
          <w:lang w:val="en-US" w:eastAsia="zh-CN"/>
        </w:rPr>
        <w:t>，已支付60.35万元，其年度</w:t>
      </w:r>
      <w:r>
        <w:rPr>
          <w:rFonts w:hint="eastAsia" w:ascii="Times New Roman" w:hAnsi="Times New Roman" w:eastAsia="仿宋_GB2312" w:cs="Times New Roman"/>
          <w:sz w:val="32"/>
          <w:szCs w:val="32"/>
          <w:lang w:eastAsia="zh-CN"/>
        </w:rPr>
        <w:t>绩效目标已全部实现。</w:t>
      </w:r>
    </w:p>
    <w:p w14:paraId="5E515646">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（4）2024年第一批中央地质防治（起查喇村苍蒲地组机动田滑坡治理）</w:t>
      </w:r>
    </w:p>
    <w:p w14:paraId="20195477">
      <w:pPr>
        <w:numPr>
          <w:ilvl w:val="0"/>
          <w:numId w:val="0"/>
        </w:numPr>
        <w:adjustRightInd w:val="0"/>
        <w:snapToGrid w:val="0"/>
        <w:spacing w:line="578" w:lineRule="exact"/>
        <w:ind w:firstLine="640" w:firstLineChars="200"/>
        <w:contextualSpacing/>
        <w:jc w:val="left"/>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该工程已完成起查喇村苍蒲地组机动田滑坡治理，已支付</w:t>
      </w:r>
      <w:r>
        <w:rPr>
          <w:rFonts w:hint="eastAsia" w:ascii="Times New Roman" w:hAnsi="Times New Roman" w:eastAsia="仿宋_GB2312" w:cs="Times New Roman"/>
          <w:sz w:val="32"/>
          <w:szCs w:val="32"/>
          <w:lang w:val="en-US" w:eastAsia="zh-CN"/>
        </w:rPr>
        <w:t>55.23万元，其年度</w:t>
      </w:r>
      <w:r>
        <w:rPr>
          <w:rFonts w:hint="eastAsia" w:ascii="Times New Roman" w:hAnsi="Times New Roman" w:eastAsia="仿宋_GB2312" w:cs="Times New Roman"/>
          <w:sz w:val="32"/>
          <w:szCs w:val="32"/>
          <w:lang w:eastAsia="zh-CN"/>
        </w:rPr>
        <w:t>绩效目标已全部实现。</w:t>
      </w:r>
    </w:p>
    <w:p w14:paraId="573C0198">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lang w:eastAsia="zh-CN"/>
        </w:rPr>
        <w:t>）专职监测员补助</w:t>
      </w:r>
    </w:p>
    <w:p w14:paraId="50982F3A">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完成50地灾隐患点动态监控；完成30名监测人员补助，已支付15.93万元，其年度</w:t>
      </w:r>
      <w:r>
        <w:rPr>
          <w:rFonts w:hint="eastAsia" w:ascii="Times New Roman" w:hAnsi="Times New Roman" w:eastAsia="仿宋_GB2312" w:cs="Times New Roman"/>
          <w:sz w:val="32"/>
          <w:szCs w:val="32"/>
          <w:lang w:eastAsia="zh-CN"/>
        </w:rPr>
        <w:t>绩效目标已全部实现。</w:t>
      </w:r>
    </w:p>
    <w:p w14:paraId="4E71AAF6">
      <w:pPr>
        <w:numPr>
          <w:ilvl w:val="0"/>
          <w:numId w:val="0"/>
        </w:numPr>
        <w:adjustRightInd w:val="0"/>
        <w:snapToGrid w:val="0"/>
        <w:spacing w:line="578" w:lineRule="exact"/>
        <w:ind w:firstLine="640" w:firstLineChars="200"/>
        <w:contextualSpacing/>
        <w:jc w:val="left"/>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2024年第二批地灾防治项目（省级）</w:t>
      </w:r>
    </w:p>
    <w:p w14:paraId="288F4F28">
      <w:pPr>
        <w:numPr>
          <w:ilvl w:val="0"/>
          <w:numId w:val="0"/>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该工程已完成</w:t>
      </w:r>
      <w:r>
        <w:rPr>
          <w:rFonts w:hint="eastAsia" w:ascii="仿宋_GB2312" w:hAnsi="Times New Roman" w:eastAsia="仿宋_GB2312" w:cs="Times New Roman"/>
          <w:sz w:val="32"/>
          <w:szCs w:val="32"/>
          <w:lang w:eastAsia="zh-CN"/>
        </w:rPr>
        <w:t>布德新桥村龙田组夏家岩崩塌</w:t>
      </w:r>
      <w:r>
        <w:rPr>
          <w:rFonts w:hint="eastAsia" w:ascii="仿宋_GB2312" w:hAnsi="Times New Roman" w:eastAsia="仿宋_GB2312" w:cs="Times New Roman"/>
          <w:sz w:val="32"/>
          <w:szCs w:val="32"/>
        </w:rPr>
        <w:t>治理</w:t>
      </w:r>
      <w:r>
        <w:rPr>
          <w:rFonts w:hint="eastAsia" w:ascii="仿宋_GB2312" w:hAnsi="Times New Roman" w:eastAsia="仿宋_GB2312" w:cs="Times New Roman"/>
          <w:sz w:val="32"/>
          <w:szCs w:val="32"/>
          <w:lang w:val="en-US" w:eastAsia="zh-CN"/>
        </w:rPr>
        <w:t>，已支付64.99万元，其年度</w:t>
      </w:r>
      <w:r>
        <w:rPr>
          <w:rFonts w:hint="eastAsia" w:ascii="仿宋_GB2312" w:hAnsi="Times New Roman" w:eastAsia="仿宋_GB2312" w:cs="Times New Roman"/>
          <w:sz w:val="32"/>
          <w:szCs w:val="32"/>
        </w:rPr>
        <w:t>绩效目标</w:t>
      </w:r>
      <w:r>
        <w:rPr>
          <w:rFonts w:hint="eastAsia" w:ascii="仿宋_GB2312" w:hAnsi="Times New Roman" w:eastAsia="仿宋_GB2312" w:cs="Times New Roman"/>
          <w:sz w:val="32"/>
          <w:szCs w:val="32"/>
          <w:lang w:eastAsia="zh-CN"/>
        </w:rPr>
        <w:t>已</w:t>
      </w:r>
      <w:r>
        <w:rPr>
          <w:rFonts w:hint="eastAsia" w:ascii="仿宋_GB2312" w:hAnsi="Times New Roman" w:eastAsia="仿宋_GB2312" w:cs="Times New Roman"/>
          <w:sz w:val="32"/>
          <w:szCs w:val="32"/>
        </w:rPr>
        <w:t>全部实现</w:t>
      </w:r>
      <w:r>
        <w:rPr>
          <w:rFonts w:hint="eastAsia" w:ascii="仿宋_GB2312" w:hAnsi="Times New Roman" w:eastAsia="仿宋_GB2312" w:cs="Times New Roman"/>
          <w:sz w:val="32"/>
          <w:szCs w:val="32"/>
          <w:lang w:eastAsia="zh-CN"/>
        </w:rPr>
        <w:t>。</w:t>
      </w:r>
    </w:p>
    <w:p w14:paraId="0A5AF224">
      <w:pPr>
        <w:numPr>
          <w:ilvl w:val="0"/>
          <w:numId w:val="0"/>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lang w:val="en-US" w:eastAsia="zh-CN"/>
        </w:rPr>
        <w:t>7</w:t>
      </w: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lang w:val="en-US" w:eastAsia="zh-CN"/>
        </w:rPr>
        <w:t>2025年第一批（中央）地灾防治专项资金</w:t>
      </w:r>
    </w:p>
    <w:p w14:paraId="5707375E">
      <w:pPr>
        <w:numPr>
          <w:ilvl w:val="0"/>
          <w:numId w:val="0"/>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该项目已完成啊喇乡大村组滑坡治理，已支付78.8万元，其年度绩效目标已全部实现。</w:t>
      </w:r>
    </w:p>
    <w:p w14:paraId="696A8E50">
      <w:pPr>
        <w:numPr>
          <w:ilvl w:val="0"/>
          <w:numId w:val="16"/>
        </w:numPr>
        <w:adjustRightInd w:val="0"/>
        <w:snapToGrid w:val="0"/>
        <w:spacing w:line="578" w:lineRule="exact"/>
        <w:ind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专项地质灾害隐患排查（仁和区）</w:t>
      </w:r>
    </w:p>
    <w:p w14:paraId="20EE4E4F">
      <w:pPr>
        <w:numPr>
          <w:ilvl w:val="0"/>
          <w:numId w:val="0"/>
        </w:numPr>
        <w:adjustRightInd w:val="0"/>
        <w:snapToGrid w:val="0"/>
        <w:spacing w:line="578" w:lineRule="exact"/>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 xml:space="preserve">     该项目已完成仁和辖区内地质灾害隐患排查，已支付22万元，其年度绩效目标已全部实现。</w:t>
      </w:r>
    </w:p>
    <w:p w14:paraId="377EA738">
      <w:pPr>
        <w:numPr>
          <w:ilvl w:val="0"/>
          <w:numId w:val="16"/>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矿产违法实地测绘项目</w:t>
      </w:r>
    </w:p>
    <w:p w14:paraId="3D70EFFF">
      <w:pPr>
        <w:numPr>
          <w:ilvl w:val="0"/>
          <w:numId w:val="0"/>
        </w:numPr>
        <w:adjustRightInd w:val="0"/>
        <w:snapToGrid w:val="0"/>
        <w:spacing w:line="578" w:lineRule="exact"/>
        <w:ind w:left="0" w:leftChars="0" w:firstLine="835" w:firstLineChars="261"/>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该项目已完成仁和区太平乡蓉斤洗煤厂入井探查和清理维护，已支付9.15万元，其年度目标已全部实现。</w:t>
      </w:r>
    </w:p>
    <w:p w14:paraId="3CD53B75">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（10）2025年清理拖欠企业款（区级）</w:t>
      </w:r>
    </w:p>
    <w:p w14:paraId="6583B5D8">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该项目清理拖欠企业款39笔，已支付366.24万元，其年度绩效目标已全部实现。</w:t>
      </w:r>
    </w:p>
    <w:p w14:paraId="738D2713">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（11）2025年清理拖欠企业款（50</w:t>
      </w:r>
      <w:r>
        <w:rPr>
          <w:rFonts w:hint="eastAsia" w:ascii="仿宋_GB2312" w:eastAsia="仿宋_GB2312" w:cs="Times New Roman"/>
          <w:sz w:val="32"/>
          <w:szCs w:val="32"/>
          <w:lang w:val="en-US" w:eastAsia="zh-CN"/>
        </w:rPr>
        <w:t>万元</w:t>
      </w:r>
      <w:r>
        <w:rPr>
          <w:rFonts w:hint="eastAsia" w:ascii="仿宋_GB2312" w:hAnsi="Times New Roman" w:eastAsia="仿宋_GB2312" w:cs="Times New Roman"/>
          <w:sz w:val="32"/>
          <w:szCs w:val="32"/>
          <w:lang w:val="en-US" w:eastAsia="zh-CN"/>
        </w:rPr>
        <w:t>以下工程类）</w:t>
      </w:r>
    </w:p>
    <w:p w14:paraId="02F761F0">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该项目清理拖欠企业款8笔，已支付92.04万元，其年度绩效目标已全部实现。</w:t>
      </w:r>
    </w:p>
    <w:p w14:paraId="47F04A0B">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（12）2025年第四批地质灾害防治专项资金（省级）</w:t>
      </w:r>
    </w:p>
    <w:p w14:paraId="1DB3C2C4">
      <w:pPr>
        <w:numPr>
          <w:ilvl w:val="0"/>
          <w:numId w:val="0"/>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仁和区辖区内21户避险搬迁修建房屋中，已支付17.5万元，其年度绩效目标已全部实现。</w:t>
      </w:r>
    </w:p>
    <w:p w14:paraId="5CFC550C">
      <w:pPr>
        <w:numPr>
          <w:ilvl w:val="0"/>
          <w:numId w:val="17"/>
        </w:numPr>
        <w:adjustRightInd w:val="0"/>
        <w:snapToGrid w:val="0"/>
        <w:spacing w:line="578" w:lineRule="exact"/>
        <w:ind w:left="0" w:leftChars="0" w:firstLine="640" w:firstLineChars="200"/>
        <w:contextualSpacing/>
        <w:jc w:val="left"/>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自然资源所乡镇工作补贴</w:t>
      </w:r>
    </w:p>
    <w:p w14:paraId="179C3128">
      <w:pPr>
        <w:numPr>
          <w:ilvl w:val="0"/>
          <w:numId w:val="0"/>
        </w:numPr>
        <w:adjustRightInd w:val="0"/>
        <w:snapToGrid w:val="0"/>
        <w:spacing w:line="578" w:lineRule="exact"/>
        <w:ind w:leftChars="200"/>
        <w:contextualSpacing/>
        <w:jc w:val="left"/>
        <w:rPr>
          <w:rFonts w:hint="default"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该项目完成13个自然资源所乡镇工作人员补贴，已支付0.78万元，其年度绩效目标已全部实现。</w:t>
      </w:r>
    </w:p>
    <w:p w14:paraId="0C3AB1C6">
      <w:pPr>
        <w:numPr>
          <w:ilvl w:val="0"/>
          <w:numId w:val="18"/>
        </w:numPr>
        <w:spacing w:line="578"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市级部</w:t>
      </w:r>
      <w:r>
        <w:rPr>
          <w:rFonts w:ascii="Times New Roman" w:hAnsi="Times New Roman" w:eastAsia="仿宋_GB2312" w:cs="Times New Roman"/>
          <w:sz w:val="32"/>
          <w:szCs w:val="32"/>
        </w:rPr>
        <w:t>门</w:t>
      </w:r>
      <w:r>
        <w:rPr>
          <w:rFonts w:hint="eastAsia" w:ascii="Times New Roman" w:hAnsi="Times New Roman" w:eastAsia="仿宋_GB2312" w:cs="Times New Roman"/>
          <w:sz w:val="32"/>
          <w:szCs w:val="32"/>
        </w:rPr>
        <w:t>对</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年度一般公共预算、政府性基金预算、国有资本经营预算安排的常年项目、阶段项目绩效目标完成情况</w:t>
      </w:r>
      <w:r>
        <w:rPr>
          <w:rFonts w:hint="eastAsia" w:ascii="Times New Roman" w:hAnsi="Times New Roman" w:eastAsia="仿宋_GB2312" w:cs="Times New Roman"/>
          <w:sz w:val="32"/>
          <w:szCs w:val="32"/>
        </w:rPr>
        <w:t>，以及</w:t>
      </w:r>
      <w:r>
        <w:rPr>
          <w:rFonts w:ascii="Times New Roman" w:hAnsi="Times New Roman" w:eastAsia="仿宋_GB2312" w:cs="Times New Roman"/>
          <w:sz w:val="32"/>
          <w:szCs w:val="32"/>
        </w:rPr>
        <w:t>债券资金、政府购买服务</w:t>
      </w:r>
      <w:r>
        <w:rPr>
          <w:rFonts w:hint="eastAsia" w:ascii="Times New Roman" w:hAnsi="Times New Roman" w:eastAsia="仿宋_GB2312" w:cs="Times New Roman"/>
          <w:sz w:val="32"/>
          <w:szCs w:val="32"/>
        </w:rPr>
        <w:t>有关情况</w:t>
      </w:r>
      <w:r>
        <w:rPr>
          <w:rFonts w:ascii="Times New Roman" w:hAnsi="Times New Roman" w:eastAsia="仿宋_GB2312" w:cs="Times New Roman"/>
          <w:sz w:val="32"/>
          <w:szCs w:val="32"/>
        </w:rPr>
        <w:t>进行梳理阐述。</w:t>
      </w:r>
    </w:p>
    <w:p w14:paraId="1E3DDFB8">
      <w:pPr>
        <w:numPr>
          <w:ilvl w:val="0"/>
          <w:numId w:val="0"/>
        </w:numPr>
        <w:spacing w:line="578" w:lineRule="exact"/>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无</w:t>
      </w:r>
    </w:p>
    <w:p w14:paraId="728CEFC6">
      <w:pPr>
        <w:numPr>
          <w:ilvl w:val="0"/>
          <w:numId w:val="19"/>
        </w:numPr>
        <w:snapToGrid w:val="0"/>
        <w:spacing w:line="600" w:lineRule="exact"/>
        <w:ind w:firstLine="643" w:firstLineChars="200"/>
        <w:rPr>
          <w:rFonts w:hint="eastAsia" w:ascii="Times New Roman" w:hAnsi="Times New Roman" w:eastAsia="仿宋_GB2312" w:cs="Times New Roman"/>
          <w:color w:val="000000"/>
          <w:kern w:val="0"/>
          <w:sz w:val="32"/>
          <w:szCs w:val="32"/>
          <w:shd w:val="clear" w:color="auto" w:fill="FFFFFF"/>
        </w:rPr>
      </w:pPr>
      <w:r>
        <w:rPr>
          <w:rFonts w:ascii="Times New Roman" w:hAnsi="Times New Roman" w:eastAsia="楷体_GB2312" w:cs="Times New Roman"/>
          <w:b/>
          <w:bCs/>
          <w:sz w:val="32"/>
          <w:szCs w:val="32"/>
          <w:lang w:val="zh-CN"/>
        </w:rPr>
        <w:t>绩效结果应用情况。</w:t>
      </w:r>
      <w:r>
        <w:rPr>
          <w:rFonts w:hint="eastAsia" w:ascii="Times New Roman" w:hAnsi="Times New Roman" w:eastAsia="仿宋_GB2312" w:cs="Times New Roman"/>
          <w:color w:val="000000"/>
          <w:kern w:val="0"/>
          <w:sz w:val="32"/>
          <w:szCs w:val="32"/>
          <w:shd w:val="clear" w:color="auto" w:fill="FFFFFF"/>
        </w:rPr>
        <w:t>仁和区分局在202</w:t>
      </w:r>
      <w:r>
        <w:rPr>
          <w:rFonts w:hint="eastAsia" w:ascii="Times New Roman" w:hAnsi="Times New Roman" w:eastAsia="仿宋_GB2312" w:cs="Times New Roman"/>
          <w:color w:val="000000"/>
          <w:kern w:val="0"/>
          <w:sz w:val="32"/>
          <w:szCs w:val="32"/>
          <w:shd w:val="clear" w:color="auto" w:fill="FFFFFF"/>
          <w:lang w:val="en-US" w:eastAsia="zh-CN"/>
        </w:rPr>
        <w:t>5</w:t>
      </w:r>
      <w:r>
        <w:rPr>
          <w:rFonts w:hint="eastAsia" w:ascii="Times New Roman" w:hAnsi="Times New Roman" w:eastAsia="仿宋_GB2312" w:cs="Times New Roman"/>
          <w:color w:val="000000"/>
          <w:kern w:val="0"/>
          <w:sz w:val="32"/>
          <w:szCs w:val="32"/>
          <w:shd w:val="clear" w:color="auto" w:fill="FFFFFF"/>
        </w:rPr>
        <w:t>年</w:t>
      </w:r>
      <w:r>
        <w:rPr>
          <w:rFonts w:hint="eastAsia" w:ascii="Times New Roman" w:hAnsi="Times New Roman" w:eastAsia="仿宋_GB2312" w:cs="Times New Roman"/>
          <w:color w:val="000000"/>
          <w:kern w:val="0"/>
          <w:sz w:val="32"/>
          <w:szCs w:val="32"/>
          <w:shd w:val="clear" w:color="auto" w:fill="FFFFFF"/>
          <w:lang w:val="en-US" w:eastAsia="zh-CN"/>
        </w:rPr>
        <w:t>8</w:t>
      </w:r>
      <w:r>
        <w:rPr>
          <w:rFonts w:hint="eastAsia" w:ascii="Times New Roman" w:hAnsi="Times New Roman" w:eastAsia="仿宋_GB2312" w:cs="Times New Roman"/>
          <w:color w:val="000000"/>
          <w:kern w:val="0"/>
          <w:sz w:val="32"/>
          <w:szCs w:val="32"/>
          <w:shd w:val="clear" w:color="auto" w:fill="FFFFFF"/>
        </w:rPr>
        <w:t>月开展了事中绩效评估，并根据评估情况对相关业务股室进行了提醒，提出了整改要求。业务股室根据评估和上级财政部门的检查情况对薄弱环节进行了整改，加强了与市局和市级财政部门的汇报沟通，极大地促进了项目资金支付进程，提升了资金使用效率。</w:t>
      </w:r>
    </w:p>
    <w:p w14:paraId="2B421058">
      <w:pPr>
        <w:widowControl/>
        <w:numPr>
          <w:ilvl w:val="0"/>
          <w:numId w:val="0"/>
        </w:numPr>
        <w:adjustRightInd w:val="0"/>
        <w:snapToGrid w:val="0"/>
        <w:spacing w:line="580" w:lineRule="exact"/>
        <w:ind w:firstLine="640" w:firstLineChars="200"/>
        <w:contextualSpacing/>
        <w:jc w:val="left"/>
        <w:rPr>
          <w:rFonts w:ascii="Times New Roman" w:hAnsi="Times New Roman" w:eastAsia="仿宋_GB2312" w:cs="Times New Roman"/>
          <w:color w:val="000000"/>
          <w:kern w:val="0"/>
          <w:sz w:val="32"/>
          <w:szCs w:val="32"/>
          <w:shd w:val="clear" w:color="auto" w:fill="FFFFFF"/>
          <w:lang w:val="zh-CN"/>
        </w:rPr>
      </w:pPr>
      <w:r>
        <w:rPr>
          <w:rFonts w:hint="eastAsia" w:ascii="Times New Roman" w:hAnsi="Times New Roman" w:eastAsia="仿宋_GB2312" w:cs="Times New Roman"/>
          <w:color w:val="000000"/>
          <w:kern w:val="0"/>
          <w:sz w:val="32"/>
          <w:szCs w:val="32"/>
          <w:shd w:val="clear" w:fill="FFFFFF"/>
          <w:lang w:val="en-US" w:eastAsia="zh-CN" w:bidi="ar-SA"/>
        </w:rPr>
        <w:t>2</w:t>
      </w:r>
      <w:r>
        <w:rPr>
          <w:rFonts w:ascii="Times New Roman" w:hAnsi="Times New Roman" w:eastAsia="仿宋_GB2312" w:cs="Times New Roman"/>
          <w:sz w:val="32"/>
          <w:szCs w:val="32"/>
        </w:rPr>
        <w:t>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年，仁和区分局在市自然资源和规划局及仁和</w:t>
      </w:r>
      <w:r>
        <w:rPr>
          <w:rFonts w:hint="eastAsia" w:eastAsia="仿宋_GB2312" w:cs="Times New Roman"/>
          <w:sz w:val="32"/>
          <w:szCs w:val="32"/>
          <w:lang w:eastAsia="zh-CN"/>
        </w:rPr>
        <w:t>区委、区政府</w:t>
      </w:r>
      <w:r>
        <w:rPr>
          <w:rFonts w:ascii="Times New Roman" w:hAnsi="Times New Roman" w:eastAsia="仿宋_GB2312" w:cs="Times New Roman"/>
          <w:sz w:val="32"/>
          <w:szCs w:val="32"/>
        </w:rPr>
        <w:t>的领导下，在市、区两级财政部门的大力支持下，努力做好自然资源日常监管，用地用矿服务，保障重点项目建设用地，持续推进农村房地一体不动产登记工作，</w:t>
      </w:r>
      <w:r>
        <w:rPr>
          <w:rFonts w:hint="eastAsia" w:ascii="Times New Roman" w:hAnsi="Times New Roman" w:eastAsia="仿宋_GB2312" w:cs="Times New Roman"/>
          <w:sz w:val="32"/>
          <w:szCs w:val="32"/>
        </w:rPr>
        <w:t>开展</w:t>
      </w:r>
      <w:r>
        <w:rPr>
          <w:rFonts w:ascii="Times New Roman" w:hAnsi="Times New Roman" w:eastAsia="仿宋_GB2312" w:cs="Times New Roman"/>
          <w:sz w:val="32"/>
          <w:szCs w:val="32"/>
        </w:rPr>
        <w:t>地质灾害防治工作，实</w:t>
      </w:r>
      <w:r>
        <w:rPr>
          <w:rFonts w:hint="eastAsia" w:ascii="仿宋_GB2312" w:hAnsi="仿宋_GB2312" w:eastAsia="仿宋_GB2312" w:cs="仿宋_GB2312"/>
          <w:sz w:val="32"/>
          <w:szCs w:val="32"/>
        </w:rPr>
        <w:t>现“零”伤亡目标，圆</w:t>
      </w:r>
      <w:r>
        <w:rPr>
          <w:rFonts w:ascii="Times New Roman" w:hAnsi="Times New Roman" w:eastAsia="仿宋_GB2312" w:cs="Times New Roman"/>
          <w:sz w:val="32"/>
          <w:szCs w:val="32"/>
        </w:rPr>
        <w:t>满完成了各项工作任务。</w:t>
      </w:r>
      <w:r>
        <w:rPr>
          <w:rFonts w:hint="eastAsia" w:ascii="Times New Roman" w:hAnsi="Times New Roman" w:eastAsia="仿宋_GB2312" w:cs="Times New Roman"/>
          <w:sz w:val="32"/>
          <w:szCs w:val="32"/>
        </w:rPr>
        <w:t>仁和区分局绩效管理工作做到了事前申报，事中监督，事后评估，实事求是进行各环节绩效评估，程序严谨，自我评价客观可靠。</w:t>
      </w:r>
    </w:p>
    <w:p w14:paraId="51EC0F45">
      <w:pPr>
        <w:numPr>
          <w:ilvl w:val="0"/>
          <w:numId w:val="0"/>
        </w:numPr>
        <w:snapToGrid w:val="0"/>
        <w:spacing w:line="600" w:lineRule="exact"/>
        <w:rPr>
          <w:rFonts w:hint="eastAsia" w:ascii="Times New Roman" w:hAnsi="Times New Roman" w:eastAsia="仿宋_GB2312" w:cs="Times New Roman"/>
          <w:color w:val="000000"/>
          <w:kern w:val="0"/>
          <w:sz w:val="32"/>
          <w:szCs w:val="32"/>
          <w:shd w:val="clear" w:color="auto" w:fill="FFFFFF"/>
        </w:rPr>
      </w:pPr>
      <w:r>
        <w:rPr>
          <w:rFonts w:ascii="Times New Roman" w:hAnsi="Times New Roman" w:eastAsia="仿宋_GB2312" w:cs="Times New Roman"/>
          <w:color w:val="000000"/>
          <w:kern w:val="0"/>
          <w:sz w:val="32"/>
          <w:szCs w:val="32"/>
          <w:shd w:val="clear" w:color="auto" w:fill="FFFFFF"/>
        </w:rPr>
        <w:t xml:space="preserve">    包括评价部门整体支出自评准确情况。</w:t>
      </w:r>
    </w:p>
    <w:p w14:paraId="3215B439">
      <w:pPr>
        <w:widowControl/>
        <w:adjustRightInd w:val="0"/>
        <w:snapToGrid w:val="0"/>
        <w:spacing w:line="578" w:lineRule="exact"/>
        <w:ind w:firstLine="640" w:firstLineChars="200"/>
        <w:contextualSpacing/>
        <w:jc w:val="left"/>
        <w:rPr>
          <w:rFonts w:ascii="Times New Roman" w:hAnsi="Times New Roman" w:eastAsia="黑体" w:cs="Times New Roman"/>
          <w:color w:val="000000"/>
          <w:kern w:val="0"/>
          <w:sz w:val="32"/>
          <w:szCs w:val="32"/>
          <w:shd w:val="clear" w:color="auto" w:fill="FFFFFF"/>
        </w:rPr>
      </w:pPr>
      <w:r>
        <w:rPr>
          <w:rFonts w:ascii="Times New Roman" w:hAnsi="Times New Roman" w:eastAsia="黑体" w:cs="Times New Roman"/>
          <w:color w:val="000000"/>
          <w:kern w:val="0"/>
          <w:sz w:val="32"/>
          <w:szCs w:val="32"/>
          <w:shd w:val="clear" w:color="auto" w:fill="FFFFFF"/>
        </w:rPr>
        <w:t>四、评价结论及建议</w:t>
      </w:r>
    </w:p>
    <w:p w14:paraId="341FFDB5">
      <w:pPr>
        <w:widowControl/>
        <w:adjustRightInd w:val="0"/>
        <w:snapToGrid w:val="0"/>
        <w:spacing w:line="580" w:lineRule="exact"/>
        <w:ind w:firstLine="643" w:firstLineChars="200"/>
        <w:contextualSpacing/>
        <w:jc w:val="left"/>
        <w:rPr>
          <w:rFonts w:ascii="仿宋_GB2312" w:hAnsi="Times New Roman" w:eastAsia="仿宋_GB2312" w:cs="仿宋_GB2312"/>
          <w:color w:val="000000"/>
          <w:sz w:val="31"/>
          <w:szCs w:val="31"/>
        </w:rPr>
      </w:pPr>
      <w:r>
        <w:rPr>
          <w:rFonts w:ascii="Times New Roman" w:hAnsi="Times New Roman" w:eastAsia="楷体_GB2312" w:cs="Times New Roman"/>
          <w:b/>
          <w:bCs/>
          <w:color w:val="000000"/>
          <w:kern w:val="0"/>
          <w:sz w:val="32"/>
          <w:szCs w:val="32"/>
          <w:shd w:val="clear" w:color="auto" w:fill="FFFFFF"/>
          <w:lang w:val="zh-CN"/>
        </w:rPr>
        <w:t>（一）评价结论。</w:t>
      </w:r>
      <w:r>
        <w:rPr>
          <w:rFonts w:ascii="仿宋_GB2312" w:hAnsi="宋体" w:eastAsia="仿宋_GB2312" w:cs="仿宋_GB2312"/>
          <w:color w:val="000000"/>
          <w:kern w:val="0"/>
          <w:sz w:val="31"/>
          <w:szCs w:val="31"/>
        </w:rPr>
        <w:t>对照《</w:t>
      </w:r>
      <w:r>
        <w:rPr>
          <w:rFonts w:ascii="Times New Roman" w:hAnsi="Times New Roman" w:eastAsia="宋体" w:cs="Times New Roman"/>
          <w:color w:val="000000"/>
          <w:kern w:val="0"/>
          <w:sz w:val="31"/>
          <w:szCs w:val="31"/>
        </w:rPr>
        <w:t>202</w:t>
      </w:r>
      <w:r>
        <w:rPr>
          <w:rFonts w:hint="eastAsia" w:ascii="Times New Roman" w:hAnsi="Times New Roman" w:eastAsia="宋体" w:cs="Times New Roman"/>
          <w:color w:val="000000"/>
          <w:kern w:val="0"/>
          <w:sz w:val="31"/>
          <w:szCs w:val="31"/>
          <w:lang w:val="en-US" w:eastAsia="zh-CN"/>
        </w:rPr>
        <w:t>5</w:t>
      </w:r>
      <w:r>
        <w:rPr>
          <w:rFonts w:hint="eastAsia" w:ascii="仿宋_GB2312" w:hAnsi="宋体" w:eastAsia="仿宋_GB2312" w:cs="仿宋_GB2312"/>
          <w:color w:val="000000"/>
          <w:kern w:val="0"/>
          <w:sz w:val="31"/>
          <w:szCs w:val="31"/>
        </w:rPr>
        <w:t>年市级部门整体支出</w:t>
      </w:r>
      <w:r>
        <w:rPr>
          <w:rFonts w:hint="eastAsia" w:ascii="仿宋_GB2312" w:hAnsi="Times New Roman" w:eastAsia="仿宋_GB2312" w:cs="仿宋_GB2312"/>
          <w:color w:val="000000"/>
          <w:sz w:val="31"/>
          <w:szCs w:val="31"/>
        </w:rPr>
        <w:t>绩效评价指标体系》进行自我评价，仁和区分局</w:t>
      </w:r>
      <w:r>
        <w:rPr>
          <w:rFonts w:hint="eastAsia" w:ascii="仿宋_GB2312" w:hAnsi="宋体" w:eastAsia="仿宋_GB2312" w:cs="宋体"/>
          <w:color w:val="000000"/>
          <w:kern w:val="0"/>
          <w:sz w:val="32"/>
          <w:szCs w:val="32"/>
          <w:shd w:val="clear" w:color="auto" w:fill="FFFFFF"/>
        </w:rPr>
        <w:t>绩效目标设定合理，</w:t>
      </w:r>
      <w:r>
        <w:rPr>
          <w:rFonts w:hint="eastAsia" w:ascii="仿宋_GB2312" w:hAnsi="Times New Roman" w:eastAsia="仿宋_GB2312" w:cs="仿宋_GB2312"/>
          <w:color w:val="000000"/>
          <w:sz w:val="31"/>
          <w:szCs w:val="31"/>
        </w:rPr>
        <w:t>自评分</w:t>
      </w:r>
      <w:r>
        <w:rPr>
          <w:rFonts w:hint="eastAsia" w:ascii="仿宋_GB2312" w:hAnsi="Times New Roman" w:eastAsia="仿宋_GB2312" w:cs="仿宋_GB2312"/>
          <w:color w:val="000000"/>
          <w:sz w:val="31"/>
          <w:szCs w:val="31"/>
          <w:lang w:val="en-US" w:eastAsia="zh-CN"/>
        </w:rPr>
        <w:t>86</w:t>
      </w:r>
      <w:r>
        <w:rPr>
          <w:rFonts w:hint="eastAsia" w:ascii="仿宋_GB2312" w:hAnsi="Times New Roman" w:eastAsia="仿宋_GB2312" w:cs="仿宋_GB2312"/>
          <w:color w:val="000000"/>
          <w:sz w:val="31"/>
          <w:szCs w:val="31"/>
        </w:rPr>
        <w:t>分。</w:t>
      </w:r>
    </w:p>
    <w:p w14:paraId="1DBB5CB6">
      <w:pPr>
        <w:widowControl/>
        <w:adjustRightInd w:val="0"/>
        <w:snapToGrid w:val="0"/>
        <w:spacing w:line="578" w:lineRule="exact"/>
        <w:ind w:firstLine="643" w:firstLineChars="200"/>
        <w:contextualSpacing/>
        <w:jc w:val="left"/>
        <w:rPr>
          <w:rFonts w:ascii="Times New Roman" w:hAnsi="Times New Roman" w:eastAsia="楷体_GB2312" w:cs="Times New Roman"/>
          <w:b/>
          <w:bCs/>
          <w:color w:val="000000"/>
          <w:kern w:val="0"/>
          <w:sz w:val="32"/>
          <w:szCs w:val="32"/>
          <w:shd w:val="clear" w:color="auto" w:fill="FFFFFF"/>
        </w:rPr>
      </w:pPr>
      <w:r>
        <w:rPr>
          <w:rFonts w:ascii="Times New Roman" w:hAnsi="Times New Roman" w:eastAsia="楷体_GB2312" w:cs="Times New Roman"/>
          <w:b/>
          <w:bCs/>
          <w:color w:val="000000"/>
          <w:kern w:val="0"/>
          <w:sz w:val="32"/>
          <w:szCs w:val="32"/>
          <w:shd w:val="clear" w:color="auto" w:fill="FFFFFF"/>
          <w:lang w:val="zh-CN"/>
        </w:rPr>
        <w:t>（二）存在问题。</w:t>
      </w:r>
      <w:r>
        <w:rPr>
          <w:rFonts w:hint="eastAsia" w:ascii="Times New Roman" w:hAnsi="Times New Roman" w:eastAsia="仿宋_GB2312" w:cs="Times New Roman"/>
          <w:color w:val="000000"/>
          <w:kern w:val="0"/>
          <w:sz w:val="32"/>
          <w:szCs w:val="32"/>
          <w:shd w:val="clear" w:color="auto" w:fill="FFFFFF"/>
        </w:rPr>
        <w:t>项目资金支付不够及时</w:t>
      </w:r>
      <w:r>
        <w:rPr>
          <w:rFonts w:ascii="Times New Roman" w:hAnsi="Times New Roman" w:eastAsia="仿宋_GB2312" w:cs="Times New Roman"/>
          <w:w w:val="95"/>
          <w:kern w:val="0"/>
          <w:sz w:val="32"/>
          <w:szCs w:val="32"/>
        </w:rPr>
        <w:t>。</w:t>
      </w:r>
    </w:p>
    <w:p w14:paraId="1DA0AF0E">
      <w:pPr>
        <w:widowControl/>
        <w:adjustRightInd w:val="0"/>
        <w:snapToGrid w:val="0"/>
        <w:spacing w:line="578" w:lineRule="exact"/>
        <w:ind w:firstLine="643" w:firstLineChars="200"/>
        <w:contextualSpacing/>
        <w:jc w:val="left"/>
        <w:rPr>
          <w:rFonts w:ascii="Times New Roman" w:hAnsi="Times New Roman" w:eastAsia="仿宋_GB2312" w:cs="Times New Roman"/>
          <w:kern w:val="0"/>
          <w:sz w:val="32"/>
          <w:szCs w:val="32"/>
          <w:lang w:val="en"/>
        </w:rPr>
      </w:pPr>
      <w:r>
        <w:rPr>
          <w:rFonts w:ascii="Times New Roman" w:hAnsi="Times New Roman" w:eastAsia="楷体_GB2312" w:cs="Times New Roman"/>
          <w:b/>
          <w:bCs/>
          <w:color w:val="000000"/>
          <w:kern w:val="0"/>
          <w:sz w:val="32"/>
          <w:szCs w:val="32"/>
          <w:shd w:val="clear" w:color="auto" w:fill="FFFFFF"/>
          <w:lang w:val="zh-CN"/>
        </w:rPr>
        <w:t>（三）改进建议。</w:t>
      </w:r>
      <w:r>
        <w:rPr>
          <w:rFonts w:hint="eastAsia" w:ascii="Times New Roman" w:hAnsi="Times New Roman" w:eastAsia="仿宋_GB2312" w:cs="Times New Roman"/>
          <w:color w:val="000000"/>
          <w:kern w:val="0"/>
          <w:sz w:val="32"/>
          <w:szCs w:val="32"/>
          <w:shd w:val="clear" w:color="auto" w:fill="FFFFFF"/>
        </w:rPr>
        <w:t>加强与市局和市级财政的汇报沟通，争取支持，按合同约定及时支付项目资金</w:t>
      </w:r>
    </w:p>
    <w:p w14:paraId="13723993">
      <w:pPr>
        <w:spacing w:line="578" w:lineRule="exact"/>
        <w:contextualSpacing/>
        <w:rPr>
          <w:rFonts w:ascii="Times New Roman" w:hAnsi="Times New Roman" w:eastAsia="黑体" w:cs="Times New Roman"/>
          <w:sz w:val="32"/>
          <w:szCs w:val="32"/>
        </w:rPr>
      </w:pPr>
    </w:p>
    <w:p w14:paraId="2EBA55F2">
      <w:pPr>
        <w:spacing w:line="578" w:lineRule="exact"/>
        <w:ind w:firstLine="640" w:firstLineChars="200"/>
        <w:rPr>
          <w:rFonts w:ascii="Times New Roman" w:hAnsi="Times New Roman" w:eastAsia="仿宋_GB2312" w:cs="Times New Roman"/>
          <w:sz w:val="32"/>
          <w:szCs w:val="32"/>
          <w:lang w:bidi="ar"/>
        </w:rPr>
      </w:pPr>
      <w:r>
        <w:rPr>
          <w:rFonts w:ascii="Times New Roman" w:hAnsi="Times New Roman" w:eastAsia="仿宋_GB2312" w:cs="Times New Roman"/>
          <w:color w:val="000000"/>
          <w:kern w:val="0"/>
          <w:sz w:val="32"/>
          <w:szCs w:val="32"/>
          <w:shd w:val="clear" w:color="auto" w:fill="FFFFFF"/>
        </w:rPr>
        <w:t>附表：</w:t>
      </w:r>
      <w:r>
        <w:rPr>
          <w:rFonts w:hint="eastAsia" w:ascii="Times New Roman" w:hAnsi="Times New Roman" w:eastAsia="仿宋_GB2312" w:cs="Times New Roman"/>
          <w:color w:val="000000"/>
          <w:kern w:val="0"/>
          <w:sz w:val="32"/>
          <w:szCs w:val="32"/>
          <w:shd w:val="clear" w:color="auto" w:fill="FFFFFF"/>
        </w:rPr>
        <w:t>1.</w:t>
      </w:r>
      <w:r>
        <w:rPr>
          <w:rFonts w:hint="eastAsia" w:ascii="Times New Roman" w:hAnsi="Times New Roman" w:eastAsia="仿宋_GB2312" w:cs="Times New Roman"/>
          <w:sz w:val="32"/>
          <w:szCs w:val="32"/>
          <w:lang w:bidi="ar"/>
        </w:rPr>
        <w:t>部门预算绩效自评打分表</w:t>
      </w:r>
    </w:p>
    <w:p w14:paraId="5C4F2F76">
      <w:pPr>
        <w:spacing w:line="578" w:lineRule="exact"/>
        <w:ind w:firstLine="1600" w:firstLineChars="500"/>
        <w:rPr>
          <w:rFonts w:ascii="Times New Roman" w:hAnsi="Times New Roman" w:eastAsia="宋体" w:cs="Times New Roman"/>
          <w:color w:val="auto"/>
          <w:kern w:val="2"/>
          <w:sz w:val="32"/>
          <w:szCs w:val="32"/>
          <w:lang w:val="zh-CN" w:eastAsia="zh-CN" w:bidi="ar-SA"/>
        </w:rPr>
      </w:pPr>
      <w:r>
        <w:rPr>
          <w:rFonts w:hint="eastAsia" w:ascii="Times New Roman" w:hAnsi="Times New Roman" w:eastAsia="仿宋_GB2312" w:cs="Times New Roman"/>
          <w:sz w:val="32"/>
          <w:szCs w:val="32"/>
          <w:lang w:bidi="ar"/>
        </w:rPr>
        <w:t>2.</w:t>
      </w:r>
      <w:r>
        <w:rPr>
          <w:rFonts w:ascii="Times New Roman" w:hAnsi="Times New Roman" w:eastAsia="仿宋_GB2312" w:cs="Times New Roman"/>
          <w:color w:val="000000"/>
          <w:kern w:val="0"/>
          <w:sz w:val="32"/>
          <w:szCs w:val="32"/>
          <w:shd w:val="clear" w:color="auto" w:fill="FFFFFF"/>
        </w:rPr>
        <w:t>部门整体绩效目标完成情况自评表</w:t>
      </w:r>
      <w:r>
        <w:rPr>
          <w:rFonts w:ascii="Times New Roman" w:hAnsi="Times New Roman" w:eastAsia="仿宋_GB2312" w:cs="Times New Roman"/>
          <w:color w:val="000000"/>
          <w:kern w:val="0"/>
          <w:sz w:val="32"/>
          <w:szCs w:val="32"/>
          <w:shd w:val="clear" w:color="auto" w:fill="FFFFFF"/>
        </w:rPr>
        <w:br w:type="page"/>
      </w:r>
    </w:p>
    <w:p w14:paraId="34C887DE">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6C70AE41">
      <w:pPr>
        <w:widowControl w:val="0"/>
        <w:spacing w:line="600" w:lineRule="exact"/>
        <w:ind w:firstLine="640"/>
        <w:jc w:val="center"/>
        <w:rPr>
          <w:rFonts w:ascii="Times New Roman" w:hAnsi="Times New Roman" w:eastAsia="宋体" w:cs="Times New Roman"/>
          <w:color w:val="auto"/>
          <w:kern w:val="2"/>
          <w:sz w:val="32"/>
          <w:szCs w:val="32"/>
          <w:lang w:val="zh-CN" w:eastAsia="zh-CN" w:bidi="ar-SA"/>
        </w:rPr>
      </w:pPr>
    </w:p>
    <w:p w14:paraId="5ADCC50D">
      <w:pPr>
        <w:widowControl/>
        <w:jc w:val="center"/>
        <w:outlineLvl w:val="0"/>
        <w:rPr>
          <w:rFonts w:hint="eastAsia" w:ascii="Times New Roman" w:hAnsi="Times New Roman" w:eastAsia="仿宋"/>
          <w:b w:val="0"/>
          <w:color w:val="auto"/>
          <w:highlight w:val="none"/>
        </w:rPr>
      </w:pPr>
      <w:bookmarkStart w:id="136" w:name="_Toc27682"/>
      <w:r>
        <w:rPr>
          <w:rFonts w:hint="eastAsia" w:ascii="Times New Roman" w:hAnsi="Times New Roman" w:eastAsia="黑体"/>
          <w:color w:val="auto"/>
          <w:sz w:val="44"/>
          <w:szCs w:val="44"/>
          <w:highlight w:val="none"/>
        </w:rPr>
        <w:t>第</w:t>
      </w:r>
      <w:r>
        <w:rPr>
          <w:rStyle w:val="33"/>
          <w:rFonts w:hint="eastAsia" w:ascii="Times New Roman" w:hAnsi="Times New Roman" w:eastAsia="黑体"/>
          <w:b w:val="0"/>
          <w:color w:val="auto"/>
          <w:highlight w:val="none"/>
        </w:rPr>
        <w:t>五部分 附表</w:t>
      </w:r>
      <w:bookmarkEnd w:id="96"/>
      <w:bookmarkEnd w:id="106"/>
      <w:bookmarkEnd w:id="136"/>
      <w:bookmarkStart w:id="137" w:name="_Toc15396619"/>
    </w:p>
    <w:p w14:paraId="5DD26F8E">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650882A0">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38" w:name="_Toc22897"/>
      <w:r>
        <w:rPr>
          <w:rFonts w:hint="eastAsia" w:ascii="方正公文仿宋" w:hAnsi="方正公文仿宋" w:eastAsia="方正公文仿宋" w:cs="方正公文仿宋"/>
          <w:color w:val="auto"/>
          <w:sz w:val="32"/>
          <w:szCs w:val="32"/>
          <w:highlight w:val="none"/>
          <w:lang w:eastAsia="zh-CN"/>
        </w:rPr>
        <w:t>一、收入支出决算总表</w:t>
      </w:r>
      <w:bookmarkEnd w:id="137"/>
      <w:bookmarkEnd w:id="138"/>
    </w:p>
    <w:p w14:paraId="7E01161B">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39" w:name="_Toc15396620"/>
      <w:bookmarkStart w:id="140" w:name="_Toc31755"/>
      <w:r>
        <w:rPr>
          <w:rFonts w:hint="eastAsia" w:ascii="方正公文仿宋" w:hAnsi="方正公文仿宋" w:eastAsia="方正公文仿宋" w:cs="方正公文仿宋"/>
          <w:color w:val="auto"/>
          <w:sz w:val="32"/>
          <w:szCs w:val="32"/>
          <w:highlight w:val="none"/>
          <w:lang w:eastAsia="zh-CN"/>
        </w:rPr>
        <w:t>二、收入决算表</w:t>
      </w:r>
      <w:bookmarkEnd w:id="139"/>
      <w:bookmarkEnd w:id="140"/>
    </w:p>
    <w:p w14:paraId="21553DD2">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41" w:name="_Toc13142"/>
      <w:bookmarkStart w:id="142" w:name="_Toc15396621"/>
      <w:r>
        <w:rPr>
          <w:rFonts w:hint="eastAsia" w:ascii="方正公文仿宋" w:hAnsi="方正公文仿宋" w:eastAsia="方正公文仿宋" w:cs="方正公文仿宋"/>
          <w:color w:val="auto"/>
          <w:sz w:val="32"/>
          <w:szCs w:val="32"/>
          <w:highlight w:val="none"/>
          <w:lang w:eastAsia="zh-CN"/>
        </w:rPr>
        <w:t>三、支出决算表</w:t>
      </w:r>
      <w:bookmarkEnd w:id="141"/>
      <w:bookmarkEnd w:id="142"/>
    </w:p>
    <w:p w14:paraId="2DD370E1">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43" w:name="_Toc15396622"/>
      <w:bookmarkStart w:id="144" w:name="_Toc21535"/>
      <w:r>
        <w:rPr>
          <w:rFonts w:hint="eastAsia" w:ascii="方正公文仿宋" w:hAnsi="方正公文仿宋" w:eastAsia="方正公文仿宋" w:cs="方正公文仿宋"/>
          <w:color w:val="auto"/>
          <w:sz w:val="32"/>
          <w:szCs w:val="32"/>
          <w:highlight w:val="none"/>
          <w:lang w:eastAsia="zh-CN"/>
        </w:rPr>
        <w:t>四、财政拨款收入支出决算总表</w:t>
      </w:r>
      <w:bookmarkEnd w:id="143"/>
      <w:bookmarkEnd w:id="144"/>
    </w:p>
    <w:p w14:paraId="062D99C3">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45" w:name="_Toc29181"/>
      <w:bookmarkStart w:id="146" w:name="_Toc15396623"/>
      <w:r>
        <w:rPr>
          <w:rFonts w:hint="eastAsia" w:ascii="方正公文仿宋" w:hAnsi="方正公文仿宋" w:eastAsia="方正公文仿宋" w:cs="方正公文仿宋"/>
          <w:color w:val="auto"/>
          <w:sz w:val="32"/>
          <w:szCs w:val="32"/>
          <w:highlight w:val="none"/>
          <w:lang w:eastAsia="zh-CN"/>
        </w:rPr>
        <w:t>五、财政拨款支出决算明细表</w:t>
      </w:r>
      <w:bookmarkEnd w:id="145"/>
      <w:bookmarkEnd w:id="146"/>
      <w:bookmarkStart w:id="147" w:name="_Toc15396624"/>
    </w:p>
    <w:p w14:paraId="3F7FBECA">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48" w:name="_Toc23331"/>
      <w:r>
        <w:rPr>
          <w:rFonts w:hint="eastAsia" w:ascii="方正公文仿宋" w:hAnsi="方正公文仿宋" w:eastAsia="方正公文仿宋" w:cs="方正公文仿宋"/>
          <w:color w:val="auto"/>
          <w:sz w:val="32"/>
          <w:szCs w:val="32"/>
          <w:highlight w:val="none"/>
          <w:lang w:eastAsia="zh-CN"/>
        </w:rPr>
        <w:t>六、一般公共预算财政拨款支出决算表</w:t>
      </w:r>
      <w:bookmarkEnd w:id="147"/>
      <w:bookmarkEnd w:id="148"/>
    </w:p>
    <w:p w14:paraId="3758390F">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49" w:name="_Toc15396625"/>
      <w:bookmarkStart w:id="150" w:name="_Toc19740"/>
      <w:r>
        <w:rPr>
          <w:rFonts w:hint="eastAsia" w:ascii="方正公文仿宋" w:hAnsi="方正公文仿宋" w:eastAsia="方正公文仿宋" w:cs="方正公文仿宋"/>
          <w:color w:val="auto"/>
          <w:sz w:val="32"/>
          <w:szCs w:val="32"/>
          <w:highlight w:val="none"/>
          <w:lang w:eastAsia="zh-CN"/>
        </w:rPr>
        <w:t>七、一般公共预算财政拨款支出决算明细表</w:t>
      </w:r>
      <w:bookmarkEnd w:id="149"/>
      <w:bookmarkEnd w:id="150"/>
    </w:p>
    <w:p w14:paraId="6E4FF889">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51" w:name="_Toc15396626"/>
      <w:bookmarkStart w:id="152" w:name="_Toc19937"/>
      <w:r>
        <w:rPr>
          <w:rFonts w:hint="eastAsia" w:ascii="方正公文仿宋" w:hAnsi="方正公文仿宋" w:eastAsia="方正公文仿宋" w:cs="方正公文仿宋"/>
          <w:color w:val="auto"/>
          <w:sz w:val="32"/>
          <w:szCs w:val="32"/>
          <w:highlight w:val="none"/>
          <w:lang w:eastAsia="zh-CN"/>
        </w:rPr>
        <w:t>八、一般公共预算财政拨款基本支出决算表</w:t>
      </w:r>
      <w:bookmarkEnd w:id="151"/>
      <w:bookmarkEnd w:id="152"/>
    </w:p>
    <w:p w14:paraId="0E09FCDA">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53" w:name="_Toc15396627"/>
      <w:bookmarkStart w:id="154" w:name="_Toc27318"/>
      <w:r>
        <w:rPr>
          <w:rFonts w:hint="eastAsia" w:ascii="方正公文仿宋" w:hAnsi="方正公文仿宋" w:eastAsia="方正公文仿宋" w:cs="方正公文仿宋"/>
          <w:color w:val="auto"/>
          <w:sz w:val="32"/>
          <w:szCs w:val="32"/>
          <w:highlight w:val="none"/>
          <w:lang w:eastAsia="zh-CN"/>
        </w:rPr>
        <w:t>九、一般公共预算财政拨款项目支出决算表</w:t>
      </w:r>
      <w:bookmarkEnd w:id="153"/>
      <w:bookmarkEnd w:id="154"/>
    </w:p>
    <w:p w14:paraId="63897659">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55" w:name="_Toc15396628"/>
      <w:bookmarkStart w:id="156" w:name="_Toc3388"/>
      <w:r>
        <w:rPr>
          <w:rFonts w:hint="eastAsia" w:ascii="方正公文仿宋" w:hAnsi="方正公文仿宋" w:eastAsia="方正公文仿宋" w:cs="方正公文仿宋"/>
          <w:color w:val="auto"/>
          <w:sz w:val="32"/>
          <w:szCs w:val="32"/>
          <w:highlight w:val="none"/>
          <w:lang w:eastAsia="zh-CN"/>
        </w:rPr>
        <w:t>十、</w:t>
      </w:r>
      <w:bookmarkEnd w:id="155"/>
      <w:r>
        <w:rPr>
          <w:rFonts w:hint="eastAsia" w:ascii="方正公文仿宋" w:hAnsi="方正公文仿宋" w:eastAsia="方正公文仿宋" w:cs="方正公文仿宋"/>
          <w:color w:val="auto"/>
          <w:sz w:val="32"/>
          <w:szCs w:val="32"/>
          <w:highlight w:val="none"/>
          <w:lang w:eastAsia="zh-CN"/>
        </w:rPr>
        <w:t>政府性基金预算财政拨款收入支出决算表</w:t>
      </w:r>
      <w:bookmarkEnd w:id="156"/>
    </w:p>
    <w:p w14:paraId="0E91A3BD">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57" w:name="_Toc15396629"/>
      <w:bookmarkStart w:id="158" w:name="_Toc30533"/>
      <w:r>
        <w:rPr>
          <w:rFonts w:hint="eastAsia" w:ascii="方正公文仿宋" w:hAnsi="方正公文仿宋" w:eastAsia="方正公文仿宋" w:cs="方正公文仿宋"/>
          <w:color w:val="auto"/>
          <w:sz w:val="32"/>
          <w:szCs w:val="32"/>
          <w:highlight w:val="none"/>
          <w:lang w:eastAsia="zh-CN"/>
        </w:rPr>
        <w:t>十一、</w:t>
      </w:r>
      <w:bookmarkEnd w:id="157"/>
      <w:r>
        <w:rPr>
          <w:rFonts w:hint="eastAsia" w:ascii="方正公文仿宋" w:hAnsi="方正公文仿宋" w:eastAsia="方正公文仿宋" w:cs="方正公文仿宋"/>
          <w:color w:val="auto"/>
          <w:sz w:val="32"/>
          <w:szCs w:val="32"/>
          <w:highlight w:val="none"/>
          <w:lang w:eastAsia="zh-CN"/>
        </w:rPr>
        <w:t>国有资本经营预算财政拨款收入支出决算表</w:t>
      </w:r>
      <w:bookmarkEnd w:id="158"/>
    </w:p>
    <w:p w14:paraId="010EA3CA">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59" w:name="_Toc15396630"/>
      <w:bookmarkStart w:id="160" w:name="_Toc20046"/>
      <w:r>
        <w:rPr>
          <w:rFonts w:hint="eastAsia" w:ascii="方正公文仿宋" w:hAnsi="方正公文仿宋" w:eastAsia="方正公文仿宋" w:cs="方正公文仿宋"/>
          <w:color w:val="auto"/>
          <w:sz w:val="32"/>
          <w:szCs w:val="32"/>
          <w:highlight w:val="none"/>
          <w:lang w:eastAsia="zh-CN"/>
        </w:rPr>
        <w:t>十二、</w:t>
      </w:r>
      <w:bookmarkEnd w:id="159"/>
      <w:r>
        <w:rPr>
          <w:rFonts w:hint="eastAsia" w:ascii="方正公文仿宋" w:hAnsi="方正公文仿宋" w:eastAsia="方正公文仿宋" w:cs="方正公文仿宋"/>
          <w:color w:val="auto"/>
          <w:sz w:val="32"/>
          <w:szCs w:val="32"/>
          <w:highlight w:val="none"/>
          <w:lang w:eastAsia="zh-CN"/>
        </w:rPr>
        <w:t>国有资本经营预算财政拨款支出决算表</w:t>
      </w:r>
      <w:bookmarkEnd w:id="160"/>
    </w:p>
    <w:p w14:paraId="4A481868">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方正公文仿宋" w:hAnsi="方正公文仿宋" w:eastAsia="方正公文仿宋" w:cs="方正公文仿宋"/>
          <w:color w:val="auto"/>
          <w:sz w:val="32"/>
          <w:szCs w:val="32"/>
          <w:highlight w:val="none"/>
          <w:lang w:eastAsia="zh-CN"/>
        </w:rPr>
      </w:pPr>
      <w:bookmarkStart w:id="161" w:name="_Toc15396631"/>
      <w:bookmarkStart w:id="162" w:name="_Toc11257"/>
      <w:r>
        <w:rPr>
          <w:rFonts w:hint="eastAsia" w:ascii="方正公文仿宋" w:hAnsi="方正公文仿宋" w:eastAsia="方正公文仿宋" w:cs="方正公文仿宋"/>
          <w:color w:val="auto"/>
          <w:sz w:val="32"/>
          <w:szCs w:val="32"/>
          <w:highlight w:val="none"/>
          <w:lang w:eastAsia="zh-CN"/>
        </w:rPr>
        <w:t>十三、</w:t>
      </w:r>
      <w:bookmarkEnd w:id="161"/>
      <w:r>
        <w:rPr>
          <w:rFonts w:hint="eastAsia" w:ascii="方正公文仿宋" w:hAnsi="方正公文仿宋" w:eastAsia="方正公文仿宋" w:cs="方正公文仿宋"/>
          <w:color w:val="auto"/>
          <w:sz w:val="32"/>
          <w:szCs w:val="32"/>
          <w:highlight w:val="none"/>
          <w:lang w:eastAsia="zh-CN"/>
        </w:rPr>
        <w:t>财政拨款“三公”经费支出决算表</w:t>
      </w:r>
      <w:bookmarkEnd w:id="162"/>
    </w:p>
    <w:p w14:paraId="7B17A117">
      <w:pPr>
        <w:rPr>
          <w:rFonts w:hint="eastAsia" w:ascii="Times New Roman" w:hAnsi="Times New Roman"/>
          <w:lang w:eastAsia="zh-CN"/>
        </w:rPr>
      </w:pPr>
    </w:p>
    <w:sectPr>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3E26B40-F4CF-4476-8A70-DAE97379814C}"/>
  </w:font>
  <w:font w:name="黑体">
    <w:panose1 w:val="02010609060101010101"/>
    <w:charset w:val="86"/>
    <w:family w:val="auto"/>
    <w:pitch w:val="default"/>
    <w:sig w:usb0="800002BF" w:usb1="38CF7CFA" w:usb2="00000016" w:usb3="00000000" w:csb0="00040001" w:csb1="00000000"/>
    <w:embedRegular r:id="rId2" w:fontKey="{41CD800F-380F-43F8-9A61-D9C0E03FCBA8}"/>
  </w:font>
  <w:font w:name="Courier New">
    <w:panose1 w:val="02070309020205020404"/>
    <w:charset w:val="01"/>
    <w:family w:val="modern"/>
    <w:pitch w:val="default"/>
    <w:sig w:usb0="E0002EFF" w:usb1="C0007843" w:usb2="00000009" w:usb3="00000000" w:csb0="400001FF" w:csb1="FFFF0000"/>
    <w:embedRegular r:id="rId3" w:fontKey="{487470B0-3882-40C4-A8C7-670E6EA2BC6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6C9B980-FFAF-4356-9871-123C55F033F2}"/>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5" w:fontKey="{EE74B2A1-7811-4DF3-B2E6-B4C22B6CE051}"/>
  </w:font>
  <w:font w:name="仿宋">
    <w:panose1 w:val="02010609060101010101"/>
    <w:charset w:val="86"/>
    <w:family w:val="modern"/>
    <w:pitch w:val="default"/>
    <w:sig w:usb0="800002BF" w:usb1="38CF7CFA" w:usb2="00000016" w:usb3="00000000" w:csb0="00040001" w:csb1="00000000"/>
    <w:embedRegular r:id="rId6" w:fontKey="{94D626F6-F26A-4FB9-AF56-96B5324A0288}"/>
  </w:font>
  <w:font w:name="??">
    <w:altName w:val="Segoe Print"/>
    <w:panose1 w:val="00000000000000000000"/>
    <w:charset w:val="00"/>
    <w:family w:val="roman"/>
    <w:pitch w:val="default"/>
    <w:sig w:usb0="00000000" w:usb1="00000000" w:usb2="00000000" w:usb3="00000000" w:csb0="00000000" w:csb1="00000000"/>
    <w:embedRegular r:id="rId7" w:fontKey="{3E1B018C-0902-4930-AFDD-BBC974FEEC66}"/>
  </w:font>
  <w:font w:name="Segoe Print">
    <w:panose1 w:val="02000600000000000000"/>
    <w:charset w:val="00"/>
    <w:family w:val="auto"/>
    <w:pitch w:val="default"/>
    <w:sig w:usb0="0000028F" w:usb1="00000000" w:usb2="00000000" w:usb3="00000000" w:csb0="2000009F" w:csb1="4701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方正小标宋简体">
    <w:panose1 w:val="02000000000000000000"/>
    <w:charset w:val="86"/>
    <w:family w:val="script"/>
    <w:pitch w:val="default"/>
    <w:sig w:usb0="00000001" w:usb1="08000000" w:usb2="00000000" w:usb3="00000000" w:csb0="00040000" w:csb1="00000000"/>
    <w:embedRegular r:id="rId8" w:fontKey="{5B1FC20D-95D9-45DE-8A86-7800C6D47BB9}"/>
  </w:font>
  <w:font w:name="方正仿宋_GB2312">
    <w:panose1 w:val="02000000000000000000"/>
    <w:charset w:val="86"/>
    <w:family w:val="auto"/>
    <w:pitch w:val="default"/>
    <w:sig w:usb0="A00002BF" w:usb1="184F6CFA" w:usb2="00000012" w:usb3="00000000" w:csb0="00040001" w:csb1="00000000"/>
    <w:embedRegular r:id="rId9" w:fontKey="{7D010811-E4AD-4566-BB5E-5EFDF7A6DCFA}"/>
  </w:font>
  <w:font w:name="楷体_GB2312">
    <w:altName w:val="楷体"/>
    <w:panose1 w:val="02010609030101010101"/>
    <w:charset w:val="86"/>
    <w:family w:val="auto"/>
    <w:pitch w:val="default"/>
    <w:sig w:usb0="00000000" w:usb1="00000000" w:usb2="00000000" w:usb3="00000000" w:csb0="00040000" w:csb1="00000000"/>
    <w:embedRegular r:id="rId10" w:fontKey="{81381816-7926-44D5-B018-2FBC7C911813}"/>
  </w:font>
  <w:font w:name="楷体">
    <w:panose1 w:val="02010609060101010101"/>
    <w:charset w:val="86"/>
    <w:family w:val="auto"/>
    <w:pitch w:val="default"/>
    <w:sig w:usb0="800002BF" w:usb1="38CF7CFA" w:usb2="00000016" w:usb3="00000000" w:csb0="00040001" w:csb1="00000000"/>
    <w:embedRegular r:id="rId11" w:fontKey="{FFD72C3F-CC10-478D-89DA-BBA7C05FB71D}"/>
  </w:font>
  <w:font w:name="方正仿宋_GBK">
    <w:panose1 w:val="02000000000000000000"/>
    <w:charset w:val="86"/>
    <w:family w:val="script"/>
    <w:pitch w:val="default"/>
    <w:sig w:usb0="00000001" w:usb1="080E0000" w:usb2="00000000" w:usb3="00000000" w:csb0="00040000" w:csb1="00000000"/>
    <w:embedRegular r:id="rId12" w:fontKey="{BD0F225C-1835-4E35-9BAF-93C24F14DB5A}"/>
  </w:font>
  <w:font w:name="方正楷体_GBK">
    <w:panose1 w:val="03000509000000000000"/>
    <w:charset w:val="86"/>
    <w:family w:val="script"/>
    <w:pitch w:val="default"/>
    <w:sig w:usb0="00000001" w:usb1="080E0000" w:usb2="00000000" w:usb3="00000000" w:csb0="00040000" w:csb1="00000000"/>
    <w:embedRegular r:id="rId13" w:fontKey="{F06AAC47-027D-4361-983C-A6D15A8CE1F4}"/>
  </w:font>
  <w:font w:name="KSOFE44F9426">
    <w:panose1 w:val="02010609060101010101"/>
    <w:charset w:val="86"/>
    <w:family w:val="auto"/>
    <w:pitch w:val="default"/>
    <w:sig w:usb0="00000001" w:usb1="00000000" w:usb2="00000000" w:usb3="00000000" w:csb0="00040001" w:csb1="00000000"/>
  </w:font>
  <w:font w:name="KSOF6B657194">
    <w:panose1 w:val="02020500000000000000"/>
    <w:charset w:val="88"/>
    <w:family w:val="auto"/>
    <w:pitch w:val="default"/>
    <w:sig w:usb0="00000001" w:usb1="00000000" w:usb2="00000000" w:usb3="00000000" w:csb0="00100001" w:csb1="00000000"/>
  </w:font>
  <w:font w:name="方正小标宋_GBK">
    <w:panose1 w:val="03000509000000000000"/>
    <w:charset w:val="86"/>
    <w:family w:val="auto"/>
    <w:pitch w:val="default"/>
    <w:sig w:usb0="00000001" w:usb1="080E0000" w:usb2="00000000" w:usb3="00000000" w:csb0="00040000" w:csb1="00000000"/>
    <w:embedRegular r:id="rId14" w:fontKey="{FB833578-AEB9-4FE1-AA7F-434CACD1FCC4}"/>
  </w:font>
  <w:font w:name="方正公文小标宋">
    <w:panose1 w:val="02000500000000000000"/>
    <w:charset w:val="86"/>
    <w:family w:val="auto"/>
    <w:pitch w:val="default"/>
    <w:sig w:usb0="A00002BF" w:usb1="38CF7CFA" w:usb2="00000016" w:usb3="00000000" w:csb0="00040001" w:csb1="00000000"/>
    <w:embedRegular r:id="rId15" w:fontKey="{14FA15FE-184A-41D7-910F-CE5FE84B6B25}"/>
  </w:font>
  <w:font w:name="方正黑体_GBK">
    <w:panose1 w:val="03000509000000000000"/>
    <w:charset w:val="86"/>
    <w:family w:val="auto"/>
    <w:pitch w:val="default"/>
    <w:sig w:usb0="00000001" w:usb1="080E0000" w:usb2="00000000" w:usb3="00000000" w:csb0="00040000" w:csb1="00000000"/>
    <w:embedRegular r:id="rId16" w:fontKey="{39928966-1D9D-4788-A754-8E0D4F92608B}"/>
  </w:font>
  <w:font w:name="方正楷体_GB2312">
    <w:panose1 w:val="02000000000000000000"/>
    <w:charset w:val="86"/>
    <w:family w:val="auto"/>
    <w:pitch w:val="default"/>
    <w:sig w:usb0="A00002BF" w:usb1="184F6CFA" w:usb2="00000012" w:usb3="00000000" w:csb0="00040001" w:csb1="00000000"/>
    <w:embedRegular r:id="rId17" w:fontKey="{661364BF-CA2E-4C22-AC13-86F911A7DD25}"/>
  </w:font>
  <w:font w:name="CESI仿宋-GB2312">
    <w:altName w:val="仿宋"/>
    <w:panose1 w:val="02000500000000000000"/>
    <w:charset w:val="86"/>
    <w:family w:val="script"/>
    <w:pitch w:val="default"/>
    <w:sig w:usb0="00000000" w:usb1="00000000" w:usb2="00000010" w:usb3="00000000" w:csb0="0004000F" w:csb1="00000000"/>
    <w:embedRegular r:id="rId18" w:fontKey="{78B5F32A-B770-406B-8165-B27E688B39CD}"/>
  </w:font>
  <w:font w:name="方正大标宋_GBK">
    <w:altName w:val="宋体"/>
    <w:panose1 w:val="02000000000000000000"/>
    <w:charset w:val="86"/>
    <w:family w:val="script"/>
    <w:pitch w:val="default"/>
    <w:sig w:usb0="00000000" w:usb1="00000000" w:usb2="00000000" w:usb3="00000000" w:csb0="00040001" w:csb1="00000000"/>
    <w:embedRegular r:id="rId19" w:fontKey="{2E69D03E-FFB4-459D-B99D-B008AFC9392D}"/>
  </w:font>
  <w:font w:name="方正公文仿宋">
    <w:panose1 w:val="02000500000000000000"/>
    <w:charset w:val="86"/>
    <w:family w:val="auto"/>
    <w:pitch w:val="default"/>
    <w:sig w:usb0="A00002BF" w:usb1="38CF7CFA" w:usb2="00000016" w:usb3="00000000" w:csb0="00040001" w:csb1="00000000"/>
    <w:embedRegular r:id="rId20" w:fontKey="{EAFC7CE2-6011-4E0C-B586-0AB0D96100CB}"/>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BE650">
    <w:pPr>
      <w:pStyle w:val="1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BCBC44">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BCBC44">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777CE55B">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D34DC">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B89B85">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B89B85">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36F19">
    <w:pPr>
      <w:pStyle w:val="1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5F1E0B">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A5F1E0B">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606591F6">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45414">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1A8FE3">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61A8FE3">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E2C7A">
    <w:pPr>
      <w:pStyle w:val="1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62B38">
                          <w:pPr>
                            <w:pStyle w:val="1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0262B38">
                    <w:pPr>
                      <w:pStyle w:val="1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p w14:paraId="0921DCFD">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0EDEE">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3F5AF7">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93F5AF7">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61CA6">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CD234"/>
    <w:multiLevelType w:val="singleLevel"/>
    <w:tmpl w:val="838CD234"/>
    <w:lvl w:ilvl="0" w:tentative="0">
      <w:start w:val="2"/>
      <w:numFmt w:val="decimal"/>
      <w:suff w:val="space"/>
      <w:lvlText w:val="%1."/>
      <w:lvlJc w:val="left"/>
    </w:lvl>
  </w:abstractNum>
  <w:abstractNum w:abstractNumId="1">
    <w:nsid w:val="88C7E236"/>
    <w:multiLevelType w:val="singleLevel"/>
    <w:tmpl w:val="88C7E236"/>
    <w:lvl w:ilvl="0" w:tentative="0">
      <w:start w:val="1"/>
      <w:numFmt w:val="decimal"/>
      <w:lvlText w:val="(%1)"/>
      <w:lvlJc w:val="left"/>
      <w:pPr>
        <w:ind w:left="425" w:hanging="425"/>
      </w:pPr>
      <w:rPr>
        <w:rFonts w:hint="default"/>
      </w:rPr>
    </w:lvl>
  </w:abstractNum>
  <w:abstractNum w:abstractNumId="2">
    <w:nsid w:val="89183DE9"/>
    <w:multiLevelType w:val="singleLevel"/>
    <w:tmpl w:val="89183DE9"/>
    <w:lvl w:ilvl="0" w:tentative="0">
      <w:start w:val="2"/>
      <w:numFmt w:val="chineseCounting"/>
      <w:suff w:val="nothing"/>
      <w:lvlText w:val="（%1）"/>
      <w:lvlJc w:val="left"/>
      <w:rPr>
        <w:rFonts w:hint="eastAsia"/>
      </w:rPr>
    </w:lvl>
  </w:abstractNum>
  <w:abstractNum w:abstractNumId="3">
    <w:nsid w:val="8BC50822"/>
    <w:multiLevelType w:val="singleLevel"/>
    <w:tmpl w:val="8BC50822"/>
    <w:lvl w:ilvl="0" w:tentative="0">
      <w:start w:val="1"/>
      <w:numFmt w:val="chineseCounting"/>
      <w:suff w:val="nothing"/>
      <w:lvlText w:val="（%1）"/>
      <w:lvlJc w:val="left"/>
      <w:rPr>
        <w:rFonts w:hint="eastAsia"/>
      </w:rPr>
    </w:lvl>
  </w:abstractNum>
  <w:abstractNum w:abstractNumId="4">
    <w:nsid w:val="8F450A65"/>
    <w:multiLevelType w:val="singleLevel"/>
    <w:tmpl w:val="8F450A65"/>
    <w:lvl w:ilvl="0" w:tentative="0">
      <w:start w:val="3"/>
      <w:numFmt w:val="chineseCounting"/>
      <w:suff w:val="nothing"/>
      <w:lvlText w:val="（%1）"/>
      <w:lvlJc w:val="left"/>
      <w:rPr>
        <w:rFonts w:hint="eastAsia"/>
      </w:rPr>
    </w:lvl>
  </w:abstractNum>
  <w:abstractNum w:abstractNumId="5">
    <w:nsid w:val="A1CAC1D0"/>
    <w:multiLevelType w:val="singleLevel"/>
    <w:tmpl w:val="A1CAC1D0"/>
    <w:lvl w:ilvl="0" w:tentative="0">
      <w:start w:val="2"/>
      <w:numFmt w:val="chineseCounting"/>
      <w:suff w:val="nothing"/>
      <w:lvlText w:val="（%1）"/>
      <w:lvlJc w:val="left"/>
      <w:rPr>
        <w:rFonts w:hint="eastAsia"/>
      </w:rPr>
    </w:lvl>
  </w:abstractNum>
  <w:abstractNum w:abstractNumId="6">
    <w:nsid w:val="AF5F1239"/>
    <w:multiLevelType w:val="singleLevel"/>
    <w:tmpl w:val="AF5F1239"/>
    <w:lvl w:ilvl="0" w:tentative="0">
      <w:start w:val="3"/>
      <w:numFmt w:val="chineseCounting"/>
      <w:suff w:val="nothing"/>
      <w:lvlText w:val="（%1）"/>
      <w:lvlJc w:val="left"/>
      <w:rPr>
        <w:rFonts w:hint="eastAsia"/>
      </w:rPr>
    </w:lvl>
  </w:abstractNum>
  <w:abstractNum w:abstractNumId="7">
    <w:nsid w:val="B64DBE8C"/>
    <w:multiLevelType w:val="singleLevel"/>
    <w:tmpl w:val="B64DBE8C"/>
    <w:lvl w:ilvl="0" w:tentative="0">
      <w:start w:val="1"/>
      <w:numFmt w:val="chineseCounting"/>
      <w:suff w:val="nothing"/>
      <w:lvlText w:val="（%1）"/>
      <w:lvlJc w:val="left"/>
      <w:rPr>
        <w:rFonts w:hint="eastAsia"/>
      </w:rPr>
    </w:lvl>
  </w:abstractNum>
  <w:abstractNum w:abstractNumId="8">
    <w:nsid w:val="BD9E4C47"/>
    <w:multiLevelType w:val="singleLevel"/>
    <w:tmpl w:val="BD9E4C47"/>
    <w:lvl w:ilvl="0" w:tentative="0">
      <w:start w:val="1"/>
      <w:numFmt w:val="decimal"/>
      <w:suff w:val="space"/>
      <w:lvlText w:val="%1."/>
      <w:lvlJc w:val="left"/>
      <w:pPr>
        <w:tabs>
          <w:tab w:val="left" w:pos="0"/>
        </w:tabs>
        <w:ind w:left="0" w:firstLine="0"/>
      </w:pPr>
    </w:lvl>
  </w:abstractNum>
  <w:abstractNum w:abstractNumId="9">
    <w:nsid w:val="C1CCE870"/>
    <w:multiLevelType w:val="singleLevel"/>
    <w:tmpl w:val="C1CCE870"/>
    <w:lvl w:ilvl="0" w:tentative="0">
      <w:start w:val="2"/>
      <w:numFmt w:val="decimal"/>
      <w:suff w:val="space"/>
      <w:lvlText w:val="%1."/>
      <w:lvlJc w:val="left"/>
    </w:lvl>
  </w:abstractNum>
  <w:abstractNum w:abstractNumId="10">
    <w:nsid w:val="C931CBE7"/>
    <w:multiLevelType w:val="singleLevel"/>
    <w:tmpl w:val="C931CBE7"/>
    <w:lvl w:ilvl="0" w:tentative="0">
      <w:start w:val="8"/>
      <w:numFmt w:val="decimal"/>
      <w:suff w:val="nothing"/>
      <w:lvlText w:val="（%1）"/>
      <w:lvlJc w:val="left"/>
    </w:lvl>
  </w:abstractNum>
  <w:abstractNum w:abstractNumId="11">
    <w:nsid w:val="CA7EED44"/>
    <w:multiLevelType w:val="singleLevel"/>
    <w:tmpl w:val="CA7EED44"/>
    <w:lvl w:ilvl="0" w:tentative="0">
      <w:start w:val="2"/>
      <w:numFmt w:val="chineseCounting"/>
      <w:suff w:val="nothing"/>
      <w:lvlText w:val="（%1）"/>
      <w:lvlJc w:val="left"/>
      <w:rPr>
        <w:rFonts w:hint="eastAsia"/>
      </w:rPr>
    </w:lvl>
  </w:abstractNum>
  <w:abstractNum w:abstractNumId="12">
    <w:nsid w:val="CFF614A0"/>
    <w:multiLevelType w:val="singleLevel"/>
    <w:tmpl w:val="CFF614A0"/>
    <w:lvl w:ilvl="0" w:tentative="0">
      <w:start w:val="1"/>
      <w:numFmt w:val="chineseCounting"/>
      <w:suff w:val="nothing"/>
      <w:lvlText w:val="（%1）"/>
      <w:lvlJc w:val="left"/>
      <w:rPr>
        <w:rFonts w:hint="eastAsia"/>
      </w:rPr>
    </w:lvl>
  </w:abstractNum>
  <w:abstractNum w:abstractNumId="13">
    <w:nsid w:val="D1CAAEE9"/>
    <w:multiLevelType w:val="singleLevel"/>
    <w:tmpl w:val="D1CAAEE9"/>
    <w:lvl w:ilvl="0" w:tentative="0">
      <w:start w:val="4"/>
      <w:numFmt w:val="decimal"/>
      <w:suff w:val="nothing"/>
      <w:lvlText w:val="%1、"/>
      <w:lvlJc w:val="left"/>
    </w:lvl>
  </w:abstractNum>
  <w:abstractNum w:abstractNumId="14">
    <w:nsid w:val="DB7E4F5D"/>
    <w:multiLevelType w:val="singleLevel"/>
    <w:tmpl w:val="DB7E4F5D"/>
    <w:lvl w:ilvl="0" w:tentative="0">
      <w:start w:val="1"/>
      <w:numFmt w:val="chineseCounting"/>
      <w:suff w:val="nothing"/>
      <w:lvlText w:val="（%1）"/>
      <w:lvlJc w:val="left"/>
      <w:rPr>
        <w:rFonts w:hint="eastAsia"/>
      </w:rPr>
    </w:lvl>
  </w:abstractNum>
  <w:abstractNum w:abstractNumId="15">
    <w:nsid w:val="E05403EA"/>
    <w:multiLevelType w:val="multilevel"/>
    <w:tmpl w:val="E05403EA"/>
    <w:lvl w:ilvl="0" w:tentative="0">
      <w:start w:val="1"/>
      <w:numFmt w:val="decimal"/>
      <w:lvlText w:val="%1．"/>
      <w:lvlJc w:val="left"/>
      <w:pPr>
        <w:ind w:left="1200" w:hanging="480"/>
      </w:pPr>
      <w:rPr>
        <w:rFonts w:hint="eastAsia" w:eastAsia="楷体_GB2312"/>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6">
    <w:nsid w:val="E8D35141"/>
    <w:multiLevelType w:val="singleLevel"/>
    <w:tmpl w:val="E8D35141"/>
    <w:lvl w:ilvl="0" w:tentative="0">
      <w:start w:val="1"/>
      <w:numFmt w:val="decimal"/>
      <w:lvlText w:val="(%1)"/>
      <w:lvlJc w:val="left"/>
      <w:pPr>
        <w:ind w:left="425" w:hanging="425"/>
      </w:pPr>
      <w:rPr>
        <w:rFonts w:hint="default"/>
      </w:rPr>
    </w:lvl>
  </w:abstractNum>
  <w:abstractNum w:abstractNumId="17">
    <w:nsid w:val="E9F8074C"/>
    <w:multiLevelType w:val="singleLevel"/>
    <w:tmpl w:val="E9F8074C"/>
    <w:lvl w:ilvl="0" w:tentative="0">
      <w:start w:val="2"/>
      <w:numFmt w:val="chineseCounting"/>
      <w:suff w:val="nothing"/>
      <w:lvlText w:val="（%1）"/>
      <w:lvlJc w:val="left"/>
      <w:rPr>
        <w:rFonts w:hint="eastAsia"/>
      </w:rPr>
    </w:lvl>
  </w:abstractNum>
  <w:abstractNum w:abstractNumId="18">
    <w:nsid w:val="F3FEAB03"/>
    <w:multiLevelType w:val="singleLevel"/>
    <w:tmpl w:val="F3FEAB03"/>
    <w:lvl w:ilvl="0" w:tentative="0">
      <w:start w:val="3"/>
      <w:numFmt w:val="decimal"/>
      <w:suff w:val="space"/>
      <w:lvlText w:val="%1."/>
      <w:lvlJc w:val="left"/>
    </w:lvl>
  </w:abstractNum>
  <w:abstractNum w:abstractNumId="19">
    <w:nsid w:val="FC7C4AAC"/>
    <w:multiLevelType w:val="singleLevel"/>
    <w:tmpl w:val="FC7C4AAC"/>
    <w:lvl w:ilvl="0" w:tentative="0">
      <w:start w:val="2"/>
      <w:numFmt w:val="decimal"/>
      <w:suff w:val="nothing"/>
      <w:lvlText w:val="%1．"/>
      <w:lvlJc w:val="left"/>
    </w:lvl>
  </w:abstractNum>
  <w:abstractNum w:abstractNumId="20">
    <w:nsid w:val="04C29285"/>
    <w:multiLevelType w:val="singleLevel"/>
    <w:tmpl w:val="04C29285"/>
    <w:lvl w:ilvl="0" w:tentative="0">
      <w:start w:val="2"/>
      <w:numFmt w:val="chineseCounting"/>
      <w:suff w:val="nothing"/>
      <w:lvlText w:val="（%1）"/>
      <w:lvlJc w:val="left"/>
      <w:rPr>
        <w:rFonts w:hint="eastAsia"/>
      </w:rPr>
    </w:lvl>
  </w:abstractNum>
  <w:abstractNum w:abstractNumId="21">
    <w:nsid w:val="06863100"/>
    <w:multiLevelType w:val="singleLevel"/>
    <w:tmpl w:val="06863100"/>
    <w:lvl w:ilvl="0" w:tentative="0">
      <w:start w:val="13"/>
      <w:numFmt w:val="decimal"/>
      <w:suff w:val="nothing"/>
      <w:lvlText w:val="（%1）"/>
      <w:lvlJc w:val="left"/>
    </w:lvl>
  </w:abstractNum>
  <w:abstractNum w:abstractNumId="22">
    <w:nsid w:val="06AC5D88"/>
    <w:multiLevelType w:val="singleLevel"/>
    <w:tmpl w:val="06AC5D88"/>
    <w:lvl w:ilvl="0" w:tentative="0">
      <w:start w:val="1"/>
      <w:numFmt w:val="decimal"/>
      <w:suff w:val="nothing"/>
      <w:lvlText w:val="（%1）"/>
      <w:lvlJc w:val="left"/>
    </w:lvl>
  </w:abstractNum>
  <w:abstractNum w:abstractNumId="23">
    <w:nsid w:val="0887FDD0"/>
    <w:multiLevelType w:val="singleLevel"/>
    <w:tmpl w:val="0887FDD0"/>
    <w:lvl w:ilvl="0" w:tentative="0">
      <w:start w:val="3"/>
      <w:numFmt w:val="chineseCounting"/>
      <w:suff w:val="nothing"/>
      <w:lvlText w:val="（%1）"/>
      <w:lvlJc w:val="left"/>
      <w:rPr>
        <w:rFonts w:hint="eastAsia"/>
      </w:rPr>
    </w:lvl>
  </w:abstractNum>
  <w:abstractNum w:abstractNumId="24">
    <w:nsid w:val="0D6F96CC"/>
    <w:multiLevelType w:val="singleLevel"/>
    <w:tmpl w:val="0D6F96CC"/>
    <w:lvl w:ilvl="0" w:tentative="0">
      <w:start w:val="1"/>
      <w:numFmt w:val="chineseCounting"/>
      <w:suff w:val="nothing"/>
      <w:lvlText w:val="%1、"/>
      <w:lvlJc w:val="left"/>
      <w:rPr>
        <w:rFonts w:hint="eastAsia"/>
      </w:rPr>
    </w:lvl>
  </w:abstractNum>
  <w:abstractNum w:abstractNumId="25">
    <w:nsid w:val="10408C3F"/>
    <w:multiLevelType w:val="singleLevel"/>
    <w:tmpl w:val="10408C3F"/>
    <w:lvl w:ilvl="0" w:tentative="0">
      <w:start w:val="1"/>
      <w:numFmt w:val="decimal"/>
      <w:lvlText w:val="%1."/>
      <w:lvlJc w:val="left"/>
      <w:pPr>
        <w:tabs>
          <w:tab w:val="left" w:pos="312"/>
        </w:tabs>
      </w:pPr>
    </w:lvl>
  </w:abstractNum>
  <w:abstractNum w:abstractNumId="26">
    <w:nsid w:val="2B396653"/>
    <w:multiLevelType w:val="singleLevel"/>
    <w:tmpl w:val="2B396653"/>
    <w:lvl w:ilvl="0" w:tentative="0">
      <w:start w:val="1"/>
      <w:numFmt w:val="chineseCounting"/>
      <w:suff w:val="nothing"/>
      <w:lvlText w:val="（%1）"/>
      <w:lvlJc w:val="left"/>
      <w:rPr>
        <w:rFonts w:hint="eastAsia"/>
      </w:rPr>
    </w:lvl>
  </w:abstractNum>
  <w:abstractNum w:abstractNumId="27">
    <w:nsid w:val="2BCE588F"/>
    <w:multiLevelType w:val="singleLevel"/>
    <w:tmpl w:val="2BCE588F"/>
    <w:lvl w:ilvl="0" w:tentative="0">
      <w:start w:val="1"/>
      <w:numFmt w:val="chineseCounting"/>
      <w:suff w:val="nothing"/>
      <w:lvlText w:val="（%1）"/>
      <w:lvlJc w:val="left"/>
      <w:rPr>
        <w:rFonts w:hint="eastAsia"/>
      </w:rPr>
    </w:lvl>
  </w:abstractNum>
  <w:abstractNum w:abstractNumId="28">
    <w:nsid w:val="2FF14DF2"/>
    <w:multiLevelType w:val="singleLevel"/>
    <w:tmpl w:val="2FF14DF2"/>
    <w:lvl w:ilvl="0" w:tentative="0">
      <w:start w:val="1"/>
      <w:numFmt w:val="chineseCounting"/>
      <w:suff w:val="nothing"/>
      <w:lvlText w:val="（%1）"/>
      <w:lvlJc w:val="left"/>
      <w:rPr>
        <w:rFonts w:hint="eastAsia"/>
      </w:rPr>
    </w:lvl>
  </w:abstractNum>
  <w:abstractNum w:abstractNumId="29">
    <w:nsid w:val="341CAF02"/>
    <w:multiLevelType w:val="singleLevel"/>
    <w:tmpl w:val="341CAF02"/>
    <w:lvl w:ilvl="0" w:tentative="0">
      <w:start w:val="1"/>
      <w:numFmt w:val="decimal"/>
      <w:lvlText w:val="%1."/>
      <w:lvlJc w:val="left"/>
      <w:pPr>
        <w:tabs>
          <w:tab w:val="left" w:pos="312"/>
        </w:tabs>
      </w:pPr>
    </w:lvl>
  </w:abstractNum>
  <w:abstractNum w:abstractNumId="30">
    <w:nsid w:val="34F84897"/>
    <w:multiLevelType w:val="singleLevel"/>
    <w:tmpl w:val="34F84897"/>
    <w:lvl w:ilvl="0" w:tentative="0">
      <w:start w:val="3"/>
      <w:numFmt w:val="chineseCounting"/>
      <w:suff w:val="nothing"/>
      <w:lvlText w:val="（%1）"/>
      <w:lvlJc w:val="left"/>
      <w:rPr>
        <w:rFonts w:hint="eastAsia"/>
      </w:rPr>
    </w:lvl>
  </w:abstractNum>
  <w:abstractNum w:abstractNumId="31">
    <w:nsid w:val="35F3828F"/>
    <w:multiLevelType w:val="singleLevel"/>
    <w:tmpl w:val="35F3828F"/>
    <w:lvl w:ilvl="0" w:tentative="0">
      <w:start w:val="2"/>
      <w:numFmt w:val="chineseCounting"/>
      <w:suff w:val="nothing"/>
      <w:lvlText w:val="（%1）"/>
      <w:lvlJc w:val="left"/>
      <w:rPr>
        <w:rFonts w:hint="eastAsia"/>
      </w:rPr>
    </w:lvl>
  </w:abstractNum>
  <w:abstractNum w:abstractNumId="32">
    <w:nsid w:val="3CDDBE64"/>
    <w:multiLevelType w:val="singleLevel"/>
    <w:tmpl w:val="3CDDBE64"/>
    <w:lvl w:ilvl="0" w:tentative="0">
      <w:start w:val="4"/>
      <w:numFmt w:val="decimal"/>
      <w:lvlText w:val="%1."/>
      <w:lvlJc w:val="left"/>
      <w:pPr>
        <w:tabs>
          <w:tab w:val="left" w:pos="312"/>
        </w:tabs>
      </w:pPr>
    </w:lvl>
  </w:abstractNum>
  <w:abstractNum w:abstractNumId="33">
    <w:nsid w:val="4E6F3564"/>
    <w:multiLevelType w:val="singleLevel"/>
    <w:tmpl w:val="4E6F3564"/>
    <w:lvl w:ilvl="0" w:tentative="0">
      <w:start w:val="1"/>
      <w:numFmt w:val="decimal"/>
      <w:lvlText w:val="(%1)"/>
      <w:lvlJc w:val="left"/>
      <w:pPr>
        <w:ind w:left="425" w:hanging="425"/>
      </w:pPr>
      <w:rPr>
        <w:rFonts w:hint="default"/>
      </w:rPr>
    </w:lvl>
  </w:abstractNum>
  <w:abstractNum w:abstractNumId="34">
    <w:nsid w:val="58A7D4F4"/>
    <w:multiLevelType w:val="singleLevel"/>
    <w:tmpl w:val="58A7D4F4"/>
    <w:lvl w:ilvl="0" w:tentative="0">
      <w:start w:val="1"/>
      <w:numFmt w:val="decimal"/>
      <w:lvlText w:val="(%1)"/>
      <w:lvlJc w:val="left"/>
      <w:pPr>
        <w:ind w:left="425" w:hanging="425"/>
      </w:pPr>
      <w:rPr>
        <w:rFonts w:hint="default"/>
      </w:rPr>
    </w:lvl>
  </w:abstractNum>
  <w:abstractNum w:abstractNumId="35">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abstractNum w:abstractNumId="36">
    <w:nsid w:val="742A205B"/>
    <w:multiLevelType w:val="singleLevel"/>
    <w:tmpl w:val="742A205B"/>
    <w:lvl w:ilvl="0" w:tentative="0">
      <w:start w:val="1"/>
      <w:numFmt w:val="decimal"/>
      <w:lvlText w:val="(%1)"/>
      <w:lvlJc w:val="left"/>
      <w:pPr>
        <w:ind w:left="425" w:hanging="425"/>
      </w:pPr>
      <w:rPr>
        <w:rFonts w:hint="default"/>
      </w:rPr>
    </w:lvl>
  </w:abstractNum>
  <w:num w:numId="1">
    <w:abstractNumId w:val="24"/>
  </w:num>
  <w:num w:numId="2">
    <w:abstractNumId w:val="35"/>
  </w:num>
  <w:num w:numId="3">
    <w:abstractNumId w:val="8"/>
    <w:lvlOverride w:ilvl="0">
      <w:lvl w:ilvl="0" w:tentative="1">
        <w:start w:val="1"/>
        <w:numFmt w:val="decimal"/>
        <w:suff w:val="space"/>
        <w:lvlText w:val="%1."/>
        <w:lvlJc w:val="left"/>
        <w:pPr>
          <w:tabs>
            <w:tab w:val="left" w:pos="0"/>
          </w:tabs>
          <w:ind w:left="0" w:firstLine="0"/>
        </w:pPr>
      </w:lvl>
    </w:lvlOverride>
  </w:num>
  <w:num w:numId="4">
    <w:abstractNumId w:val="33"/>
  </w:num>
  <w:num w:numId="5">
    <w:abstractNumId w:val="16"/>
  </w:num>
  <w:num w:numId="6">
    <w:abstractNumId w:val="36"/>
  </w:num>
  <w:num w:numId="7">
    <w:abstractNumId w:val="34"/>
  </w:num>
  <w:num w:numId="8">
    <w:abstractNumId w:val="1"/>
  </w:num>
  <w:num w:numId="9">
    <w:abstractNumId w:val="17"/>
  </w:num>
  <w:num w:numId="10">
    <w:abstractNumId w:val="4"/>
  </w:num>
  <w:num w:numId="11">
    <w:abstractNumId w:val="20"/>
  </w:num>
  <w:num w:numId="12">
    <w:abstractNumId w:val="25"/>
  </w:num>
  <w:num w:numId="13">
    <w:abstractNumId w:val="22"/>
  </w:num>
  <w:num w:numId="14">
    <w:abstractNumId w:val="2"/>
  </w:num>
  <w:num w:numId="15">
    <w:abstractNumId w:val="29"/>
  </w:num>
  <w:num w:numId="16">
    <w:abstractNumId w:val="10"/>
  </w:num>
  <w:num w:numId="17">
    <w:abstractNumId w:val="21"/>
  </w:num>
  <w:num w:numId="18">
    <w:abstractNumId w:val="13"/>
  </w:num>
  <w:num w:numId="19">
    <w:abstractNumId w:val="23"/>
  </w:num>
  <w:num w:numId="20">
    <w:abstractNumId w:val="6"/>
  </w:num>
  <w:num w:numId="21">
    <w:abstractNumId w:val="3"/>
  </w:num>
  <w:num w:numId="22">
    <w:abstractNumId w:val="11"/>
  </w:num>
  <w:num w:numId="23">
    <w:abstractNumId w:val="18"/>
  </w:num>
  <w:num w:numId="24">
    <w:abstractNumId w:val="19"/>
  </w:num>
  <w:num w:numId="25">
    <w:abstractNumId w:val="15"/>
  </w:num>
  <w:num w:numId="26">
    <w:abstractNumId w:val="9"/>
  </w:num>
  <w:num w:numId="27">
    <w:abstractNumId w:val="0"/>
  </w:num>
  <w:num w:numId="28">
    <w:abstractNumId w:val="30"/>
  </w:num>
  <w:num w:numId="29">
    <w:abstractNumId w:val="14"/>
  </w:num>
  <w:num w:numId="30">
    <w:abstractNumId w:val="31"/>
  </w:num>
  <w:num w:numId="31">
    <w:abstractNumId w:val="27"/>
  </w:num>
  <w:num w:numId="32">
    <w:abstractNumId w:val="5"/>
  </w:num>
  <w:num w:numId="33">
    <w:abstractNumId w:val="12"/>
  </w:num>
  <w:num w:numId="34">
    <w:abstractNumId w:val="7"/>
  </w:num>
  <w:num w:numId="35">
    <w:abstractNumId w:val="28"/>
  </w:num>
  <w:num w:numId="36">
    <w:abstractNumId w:val="26"/>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5461B09"/>
    <w:rsid w:val="061E35DE"/>
    <w:rsid w:val="066E0107"/>
    <w:rsid w:val="06B31420"/>
    <w:rsid w:val="07996F6E"/>
    <w:rsid w:val="07DFD8BA"/>
    <w:rsid w:val="08DB07E4"/>
    <w:rsid w:val="09867E8F"/>
    <w:rsid w:val="0A2032A3"/>
    <w:rsid w:val="0C6C4794"/>
    <w:rsid w:val="0CA8290A"/>
    <w:rsid w:val="0D35B1ED"/>
    <w:rsid w:val="0DE07E2B"/>
    <w:rsid w:val="0DEB1CBB"/>
    <w:rsid w:val="0F98263C"/>
    <w:rsid w:val="101860EC"/>
    <w:rsid w:val="102173FB"/>
    <w:rsid w:val="10C055FF"/>
    <w:rsid w:val="11772AA4"/>
    <w:rsid w:val="118107EC"/>
    <w:rsid w:val="11BC01FB"/>
    <w:rsid w:val="11F76540"/>
    <w:rsid w:val="12B83028"/>
    <w:rsid w:val="13741F37"/>
    <w:rsid w:val="13957196"/>
    <w:rsid w:val="13D50BC4"/>
    <w:rsid w:val="14022904"/>
    <w:rsid w:val="152F2A07"/>
    <w:rsid w:val="165E0673"/>
    <w:rsid w:val="16BB723D"/>
    <w:rsid w:val="16F13FCB"/>
    <w:rsid w:val="17747262"/>
    <w:rsid w:val="18453242"/>
    <w:rsid w:val="186504BB"/>
    <w:rsid w:val="1938089F"/>
    <w:rsid w:val="19A445FC"/>
    <w:rsid w:val="1B7D550C"/>
    <w:rsid w:val="1BAF3882"/>
    <w:rsid w:val="1BE8440E"/>
    <w:rsid w:val="1CD852E5"/>
    <w:rsid w:val="1D155CEE"/>
    <w:rsid w:val="1DE178F3"/>
    <w:rsid w:val="1E5E32A2"/>
    <w:rsid w:val="1E740ACF"/>
    <w:rsid w:val="1FF35744"/>
    <w:rsid w:val="1FF6BC77"/>
    <w:rsid w:val="21962A9E"/>
    <w:rsid w:val="21AE7C77"/>
    <w:rsid w:val="22BC3C41"/>
    <w:rsid w:val="23860B96"/>
    <w:rsid w:val="239C52BE"/>
    <w:rsid w:val="240371BF"/>
    <w:rsid w:val="260F557C"/>
    <w:rsid w:val="281408E2"/>
    <w:rsid w:val="282505F5"/>
    <w:rsid w:val="29FD04D3"/>
    <w:rsid w:val="2BFF7BC6"/>
    <w:rsid w:val="2C8A61B5"/>
    <w:rsid w:val="2D2E01CF"/>
    <w:rsid w:val="2DF04E50"/>
    <w:rsid w:val="2E9545B0"/>
    <w:rsid w:val="2F040D46"/>
    <w:rsid w:val="2FAE5751"/>
    <w:rsid w:val="2FB1A395"/>
    <w:rsid w:val="2FD9A7D8"/>
    <w:rsid w:val="30CC2310"/>
    <w:rsid w:val="319F7F4E"/>
    <w:rsid w:val="321B2544"/>
    <w:rsid w:val="3304709D"/>
    <w:rsid w:val="33D6077A"/>
    <w:rsid w:val="34281836"/>
    <w:rsid w:val="349D6851"/>
    <w:rsid w:val="35BA6CAF"/>
    <w:rsid w:val="35D37231"/>
    <w:rsid w:val="363323F5"/>
    <w:rsid w:val="364D14C1"/>
    <w:rsid w:val="36AA5135"/>
    <w:rsid w:val="36BE0DA7"/>
    <w:rsid w:val="376B6AA6"/>
    <w:rsid w:val="376D39B2"/>
    <w:rsid w:val="37E16F03"/>
    <w:rsid w:val="37E66B23"/>
    <w:rsid w:val="37EB016A"/>
    <w:rsid w:val="37F53A3B"/>
    <w:rsid w:val="389B6C89"/>
    <w:rsid w:val="38D469F0"/>
    <w:rsid w:val="39627CCD"/>
    <w:rsid w:val="397BAF1F"/>
    <w:rsid w:val="3AB765DF"/>
    <w:rsid w:val="3AB79AF3"/>
    <w:rsid w:val="3B7EF35A"/>
    <w:rsid w:val="3B9FDB6C"/>
    <w:rsid w:val="3BF5BC2F"/>
    <w:rsid w:val="3C4C7144"/>
    <w:rsid w:val="3CEBA265"/>
    <w:rsid w:val="3D98207C"/>
    <w:rsid w:val="3D9B0D99"/>
    <w:rsid w:val="3DEE7CF3"/>
    <w:rsid w:val="3DF02244"/>
    <w:rsid w:val="3E78745D"/>
    <w:rsid w:val="3FF4CAE0"/>
    <w:rsid w:val="3FF7B227"/>
    <w:rsid w:val="40E54C45"/>
    <w:rsid w:val="41313393"/>
    <w:rsid w:val="43A407DF"/>
    <w:rsid w:val="44515BEA"/>
    <w:rsid w:val="44E268DA"/>
    <w:rsid w:val="453F7E5B"/>
    <w:rsid w:val="45730AF9"/>
    <w:rsid w:val="457E6F7D"/>
    <w:rsid w:val="486A6C7A"/>
    <w:rsid w:val="49176D9B"/>
    <w:rsid w:val="494006BD"/>
    <w:rsid w:val="4A627F82"/>
    <w:rsid w:val="4B0E749A"/>
    <w:rsid w:val="4B4F25DA"/>
    <w:rsid w:val="4BDA0CFB"/>
    <w:rsid w:val="4BE068DB"/>
    <w:rsid w:val="4C5440D8"/>
    <w:rsid w:val="4D3C0CCC"/>
    <w:rsid w:val="4D577224"/>
    <w:rsid w:val="4DBF1CEB"/>
    <w:rsid w:val="4E212877"/>
    <w:rsid w:val="4EAB630A"/>
    <w:rsid w:val="4ECE2238"/>
    <w:rsid w:val="4F833267"/>
    <w:rsid w:val="4FE9BD67"/>
    <w:rsid w:val="4FFB052F"/>
    <w:rsid w:val="524349D3"/>
    <w:rsid w:val="52DA35C6"/>
    <w:rsid w:val="53083A92"/>
    <w:rsid w:val="537E6D0A"/>
    <w:rsid w:val="53AF27A2"/>
    <w:rsid w:val="53F74C96"/>
    <w:rsid w:val="54F810A2"/>
    <w:rsid w:val="55895AFA"/>
    <w:rsid w:val="56E47B74"/>
    <w:rsid w:val="57BD3DD4"/>
    <w:rsid w:val="58DC518A"/>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3201190"/>
    <w:rsid w:val="63953DDD"/>
    <w:rsid w:val="63E951CF"/>
    <w:rsid w:val="647F5392"/>
    <w:rsid w:val="661F5A37"/>
    <w:rsid w:val="664B1D71"/>
    <w:rsid w:val="6659611C"/>
    <w:rsid w:val="67AA3209"/>
    <w:rsid w:val="681C4F0D"/>
    <w:rsid w:val="69046D0F"/>
    <w:rsid w:val="698D0931"/>
    <w:rsid w:val="6A136F29"/>
    <w:rsid w:val="6A993CED"/>
    <w:rsid w:val="6AAC36BF"/>
    <w:rsid w:val="6B053271"/>
    <w:rsid w:val="6B7A618C"/>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0B213C9"/>
    <w:rsid w:val="712A28F1"/>
    <w:rsid w:val="71352A9F"/>
    <w:rsid w:val="715C0E4B"/>
    <w:rsid w:val="72233669"/>
    <w:rsid w:val="72661C0B"/>
    <w:rsid w:val="72734D90"/>
    <w:rsid w:val="7332FE48"/>
    <w:rsid w:val="734A2299"/>
    <w:rsid w:val="73620DF3"/>
    <w:rsid w:val="73AB61DA"/>
    <w:rsid w:val="73AD73D5"/>
    <w:rsid w:val="73B6EB34"/>
    <w:rsid w:val="73FA497D"/>
    <w:rsid w:val="744731E5"/>
    <w:rsid w:val="74527205"/>
    <w:rsid w:val="74BBD01D"/>
    <w:rsid w:val="74C276BA"/>
    <w:rsid w:val="74ED5379"/>
    <w:rsid w:val="74FC2395"/>
    <w:rsid w:val="75DEEEC2"/>
    <w:rsid w:val="76E3355F"/>
    <w:rsid w:val="76E71519"/>
    <w:rsid w:val="76FF5125"/>
    <w:rsid w:val="771434BB"/>
    <w:rsid w:val="776F6FFA"/>
    <w:rsid w:val="778769C8"/>
    <w:rsid w:val="778C05F6"/>
    <w:rsid w:val="77DC22F5"/>
    <w:rsid w:val="79086DAD"/>
    <w:rsid w:val="79974F09"/>
    <w:rsid w:val="79CB512B"/>
    <w:rsid w:val="79D7FD79"/>
    <w:rsid w:val="79EE5BA4"/>
    <w:rsid w:val="7A861051"/>
    <w:rsid w:val="7A894339"/>
    <w:rsid w:val="7AFF7572"/>
    <w:rsid w:val="7B6C7DFB"/>
    <w:rsid w:val="7BA172BA"/>
    <w:rsid w:val="7BBFBED0"/>
    <w:rsid w:val="7BC3E394"/>
    <w:rsid w:val="7C1F3737"/>
    <w:rsid w:val="7CBFC87B"/>
    <w:rsid w:val="7CFE0F48"/>
    <w:rsid w:val="7D7EC23E"/>
    <w:rsid w:val="7D916348"/>
    <w:rsid w:val="7DA91FF0"/>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7"/>
    <w:unhideWhenUsed/>
    <w:qFormat/>
    <w:uiPriority w:val="9"/>
    <w:pPr>
      <w:keepNext/>
      <w:keepLines/>
      <w:spacing w:before="260" w:after="260" w:line="416" w:lineRule="auto"/>
      <w:outlineLvl w:val="2"/>
    </w:pPr>
    <w:rPr>
      <w:b/>
      <w:bCs/>
      <w:sz w:val="32"/>
      <w:szCs w:val="32"/>
    </w:rPr>
  </w:style>
  <w:style w:type="character" w:default="1" w:styleId="20">
    <w:name w:val="Default Paragraph Font"/>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autoSpaceDE w:val="0"/>
      <w:autoSpaceDN w:val="0"/>
      <w:adjustRightInd w:val="0"/>
      <w:spacing w:line="560" w:lineRule="atLeast"/>
      <w:ind w:firstLine="420"/>
    </w:pPr>
    <w:rPr>
      <w:rFonts w:ascii="仿宋_GB2312" w:eastAsia="仿宋_GB2312"/>
      <w:kern w:val="0"/>
      <w:sz w:val="32"/>
    </w:rPr>
  </w:style>
  <w:style w:type="paragraph" w:styleId="6">
    <w:name w:val="Body Text"/>
    <w:basedOn w:val="1"/>
    <w:link w:val="30"/>
    <w:qFormat/>
    <w:uiPriority w:val="99"/>
    <w:pPr>
      <w:spacing w:beforeLines="30"/>
    </w:pPr>
    <w:rPr>
      <w:rFonts w:ascii="仿宋_GB2312" w:eastAsia="仿宋_GB2312"/>
      <w:kern w:val="0"/>
      <w:sz w:val="30"/>
    </w:rPr>
  </w:style>
  <w:style w:type="paragraph" w:styleId="7">
    <w:name w:val="Body Text Indent"/>
    <w:basedOn w:val="1"/>
    <w:next w:val="8"/>
    <w:qFormat/>
    <w:uiPriority w:val="0"/>
    <w:pPr>
      <w:spacing w:after="120"/>
      <w:ind w:leftChars="200"/>
    </w:pPr>
    <w:rPr>
      <w:rFonts w:ascii="仿宋_GB2312"/>
      <w:szCs w:val="32"/>
    </w:rPr>
  </w:style>
  <w:style w:type="paragraph" w:styleId="8">
    <w:name w:val="Body Text First Indent 2"/>
    <w:basedOn w:val="7"/>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Plain Text"/>
    <w:basedOn w:val="1"/>
    <w:unhideWhenUsed/>
    <w:qFormat/>
    <w:uiPriority w:val="0"/>
    <w:rPr>
      <w:rFonts w:ascii="宋体" w:hAnsi="Courier New" w:eastAsia="宋体"/>
      <w:sz w:val="21"/>
    </w:rPr>
  </w:style>
  <w:style w:type="paragraph" w:styleId="11">
    <w:name w:val="Balloon Text"/>
    <w:basedOn w:val="1"/>
    <w:link w:val="36"/>
    <w:semiHidden/>
    <w:unhideWhenUsed/>
    <w:qFormat/>
    <w:uiPriority w:val="99"/>
    <w:rPr>
      <w:sz w:val="18"/>
      <w:szCs w:val="18"/>
    </w:rPr>
  </w:style>
  <w:style w:type="paragraph" w:styleId="12">
    <w:name w:val="footer"/>
    <w:basedOn w:val="1"/>
    <w:link w:val="28"/>
    <w:qFormat/>
    <w:uiPriority w:val="99"/>
    <w:pPr>
      <w:tabs>
        <w:tab w:val="center" w:pos="4153"/>
        <w:tab w:val="right" w:pos="8306"/>
      </w:tabs>
      <w:snapToGrid w:val="0"/>
      <w:jc w:val="left"/>
    </w:pPr>
    <w:rPr>
      <w:rFonts w:ascii="Calibri" w:hAnsi="Calibri"/>
      <w:kern w:val="0"/>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link w:val="26"/>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5">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6">
    <w:name w:val="footnote text"/>
    <w:basedOn w:val="1"/>
    <w:next w:val="8"/>
    <w:semiHidden/>
    <w:qFormat/>
    <w:uiPriority w:val="0"/>
    <w:pPr>
      <w:snapToGrid w:val="0"/>
      <w:jc w:val="left"/>
    </w:pPr>
    <w:rPr>
      <w:sz w:val="18"/>
      <w:szCs w:val="18"/>
    </w:rPr>
  </w:style>
  <w:style w:type="paragraph" w:styleId="17">
    <w:name w:val="toc 2"/>
    <w:basedOn w:val="1"/>
    <w:next w:val="1"/>
    <w:unhideWhenUsed/>
    <w:qFormat/>
    <w:uiPriority w:val="39"/>
    <w:pPr>
      <w:tabs>
        <w:tab w:val="right" w:leader="dot" w:pos="8296"/>
      </w:tabs>
      <w:ind w:left="420" w:leftChars="200"/>
    </w:p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21">
    <w:name w:val="Strong"/>
    <w:basedOn w:val="20"/>
    <w:qFormat/>
    <w:uiPriority w:val="99"/>
    <w:rPr>
      <w:b/>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character" w:styleId="23">
    <w:name w:val="HTML Code"/>
    <w:basedOn w:val="20"/>
    <w:semiHidden/>
    <w:unhideWhenUsed/>
    <w:qFormat/>
    <w:uiPriority w:val="99"/>
    <w:rPr>
      <w:rFonts w:ascii="Courier New" w:hAnsi="Courier New"/>
      <w:sz w:val="20"/>
    </w:rPr>
  </w:style>
  <w:style w:type="paragraph" w:customStyle="1" w:styleId="24">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5">
    <w:name w:val="Header Char"/>
    <w:basedOn w:val="20"/>
    <w:semiHidden/>
    <w:qFormat/>
    <w:uiPriority w:val="99"/>
    <w:rPr>
      <w:rFonts w:ascii="Times New Roman" w:hAnsi="Times New Roman"/>
      <w:sz w:val="18"/>
      <w:szCs w:val="18"/>
    </w:rPr>
  </w:style>
  <w:style w:type="character" w:customStyle="1" w:styleId="26">
    <w:name w:val="页眉 Char"/>
    <w:link w:val="14"/>
    <w:semiHidden/>
    <w:qFormat/>
    <w:locked/>
    <w:uiPriority w:val="99"/>
    <w:rPr>
      <w:sz w:val="18"/>
    </w:rPr>
  </w:style>
  <w:style w:type="character" w:customStyle="1" w:styleId="27">
    <w:name w:val="Footer Char"/>
    <w:basedOn w:val="20"/>
    <w:semiHidden/>
    <w:qFormat/>
    <w:uiPriority w:val="99"/>
    <w:rPr>
      <w:rFonts w:ascii="Times New Roman" w:hAnsi="Times New Roman"/>
      <w:sz w:val="18"/>
      <w:szCs w:val="18"/>
    </w:rPr>
  </w:style>
  <w:style w:type="character" w:customStyle="1" w:styleId="28">
    <w:name w:val="页脚 Char"/>
    <w:link w:val="12"/>
    <w:qFormat/>
    <w:locked/>
    <w:uiPriority w:val="99"/>
    <w:rPr>
      <w:sz w:val="18"/>
    </w:rPr>
  </w:style>
  <w:style w:type="character" w:customStyle="1" w:styleId="29">
    <w:name w:val="Body Text Char"/>
    <w:basedOn w:val="20"/>
    <w:semiHidden/>
    <w:qFormat/>
    <w:uiPriority w:val="99"/>
    <w:rPr>
      <w:rFonts w:ascii="Times New Roman" w:hAnsi="Times New Roman"/>
      <w:szCs w:val="24"/>
    </w:rPr>
  </w:style>
  <w:style w:type="character" w:customStyle="1" w:styleId="30">
    <w:name w:val="正文文本 Char"/>
    <w:link w:val="6"/>
    <w:qFormat/>
    <w:locked/>
    <w:uiPriority w:val="99"/>
    <w:rPr>
      <w:rFonts w:ascii="仿宋_GB2312" w:hAnsi="Times New Roman" w:eastAsia="仿宋_GB2312"/>
      <w:sz w:val="24"/>
    </w:rPr>
  </w:style>
  <w:style w:type="paragraph" w:customStyle="1" w:styleId="31">
    <w:name w:val="Default"/>
    <w:next w:val="1"/>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2">
    <w:name w:val="List Paragraph"/>
    <w:basedOn w:val="1"/>
    <w:qFormat/>
    <w:uiPriority w:val="34"/>
    <w:pPr>
      <w:ind w:firstLine="420" w:firstLineChars="200"/>
    </w:pPr>
  </w:style>
  <w:style w:type="character" w:customStyle="1" w:styleId="33">
    <w:name w:val="标题 1 Char"/>
    <w:basedOn w:val="20"/>
    <w:link w:val="2"/>
    <w:qFormat/>
    <w:uiPriority w:val="9"/>
    <w:rPr>
      <w:rFonts w:ascii="Times New Roman" w:hAnsi="Times New Roman"/>
      <w:b/>
      <w:bCs/>
      <w:kern w:val="44"/>
      <w:sz w:val="44"/>
      <w:szCs w:val="44"/>
    </w:rPr>
  </w:style>
  <w:style w:type="character" w:customStyle="1" w:styleId="34">
    <w:name w:val="标题 2 Char"/>
    <w:basedOn w:val="20"/>
    <w:link w:val="3"/>
    <w:qFormat/>
    <w:uiPriority w:val="9"/>
    <w:rPr>
      <w:rFonts w:asciiTheme="majorHAnsi" w:hAnsiTheme="majorHAnsi" w:eastAsiaTheme="majorEastAsia" w:cstheme="majorBidi"/>
      <w:b/>
      <w:bCs/>
      <w:kern w:val="2"/>
      <w:sz w:val="32"/>
      <w:szCs w:val="32"/>
    </w:rPr>
  </w:style>
  <w:style w:type="paragraph" w:customStyle="1" w:styleId="35">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6">
    <w:name w:val="批注框文本 Char"/>
    <w:basedOn w:val="20"/>
    <w:link w:val="11"/>
    <w:semiHidden/>
    <w:qFormat/>
    <w:uiPriority w:val="99"/>
    <w:rPr>
      <w:rFonts w:ascii="Times New Roman" w:hAnsi="Times New Roman"/>
      <w:kern w:val="2"/>
      <w:sz w:val="18"/>
      <w:szCs w:val="18"/>
    </w:rPr>
  </w:style>
  <w:style w:type="character" w:customStyle="1" w:styleId="37">
    <w:name w:val="标题 3 Char"/>
    <w:basedOn w:val="20"/>
    <w:link w:val="4"/>
    <w:qFormat/>
    <w:uiPriority w:val="9"/>
    <w:rPr>
      <w:rFonts w:ascii="Times New Roman" w:hAnsi="Times New Roman"/>
      <w:b/>
      <w:bCs/>
      <w:kern w:val="2"/>
      <w:sz w:val="32"/>
      <w:szCs w:val="32"/>
    </w:rPr>
  </w:style>
  <w:style w:type="paragraph" w:customStyle="1" w:styleId="38">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9">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40">
    <w:name w:val="正文文本2"/>
    <w:basedOn w:val="1"/>
    <w:qFormat/>
    <w:uiPriority w:val="0"/>
    <w:pPr>
      <w:shd w:val="clear" w:color="auto" w:fill="FFFFFF"/>
      <w:spacing w:before="1380" w:after="1260" w:line="0" w:lineRule="atLeast"/>
      <w:ind w:hanging="240"/>
      <w:jc w:val="center"/>
    </w:pPr>
    <w:rPr>
      <w:rFonts w:ascii="MingLiU" w:hAnsi="MingLiU" w:eastAsia="MingLiU" w:cs="MingLiU"/>
      <w:spacing w:val="30"/>
      <w:kern w:val="0"/>
      <w:sz w:val="29"/>
      <w:szCs w:val="29"/>
    </w:rPr>
  </w:style>
  <w:style w:type="paragraph" w:customStyle="1" w:styleId="41">
    <w:name w:val="列出段落1"/>
    <w:basedOn w:val="1"/>
    <w:qFormat/>
    <w:uiPriority w:val="0"/>
    <w:pPr>
      <w:ind w:firstLine="200" w:firstLineChars="200"/>
    </w:pPr>
    <w:rPr>
      <w:rFonts w:cs="Times New Roman"/>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0" Type="http://schemas.openxmlformats.org/officeDocument/2006/relationships/font" Target="fonts/font20.odttf"/><Relationship Id="rId2" Type="http://schemas.openxmlformats.org/officeDocument/2006/relationships/font" Target="fonts/font2.odttf"/><Relationship Id="rId19" Type="http://schemas.openxmlformats.org/officeDocument/2006/relationships/font" Target="fonts/font19.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8570f6af-42d4-4606-bc45-4b9ff129aeea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52F67BCC</paraID>
      <start>9148</start>
      <end>9149</end>
      <status>unmodified</status>
      <modifiedWord/>
      <trackRevisions>false</trackRevisions>
    </reviewItem>
    <reviewItem>
      <errorID>e50e2756-cd27-4256-bfd8-31b900661a7c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2A0EA4B1</paraID>
      <start>285</start>
      <end>286</end>
      <status>unmodified</status>
      <modifiedWord/>
      <trackRevisions>false</trackRevisions>
    </reviewItem>
    <reviewItem>
      <errorID>cd6126c4-4d31-46c2-9b09-75f39b7f7088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79DD5C4F</paraID>
      <start>48</start>
      <end>49</end>
      <status>unmodified</status>
      <modifiedWord/>
      <trackRevisions>false</trackRevisions>
    </reviewItem>
    <reviewItem>
      <errorID>309acf69-4cc2-4f45-8b54-0a917e8919e9</errorID>
      <errorWord>》</errorWord>
      <group>L1_Word</group>
      <groupName>字词问题</groupName>
      <ability>L2_Typo</ability>
      <abilityName>字词错误</abilityName>
      <candidateList>
        <item>》和</item>
      </candidateList>
      <explain/>
      <paraID> F497861</paraID>
      <start>40</start>
      <end>42</end>
      <status>modified</status>
      <modifiedWord>》和</modifiedWord>
      <trackRevisions>false</trackRevisions>
    </reviewItem>
    <reviewItem>
      <errorID>763b9bab-7aea-478b-bda0-19605b623de3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33BCAC56</paraID>
      <start>18</start>
      <end>19</end>
      <status>unmodified</status>
      <modifiedWord/>
      <trackRevisions>false</trackRevisions>
    </reviewItem>
    <reviewItem>
      <errorID>19bb9a3f-1b39-49c7-b4de-947d9c957c20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2AFD8032</paraID>
      <start>18</start>
      <end>19</end>
      <status>unmodified</status>
      <modifiedWord/>
      <trackRevisions>false</trackRevisions>
    </reviewItem>
    <reviewItem>
      <errorID>d7358089-ca92-4e6d-b035-cd0a90e9cd5b</errorID>
      <errorWord>（</errorWord>
      <group>L1_Punc</group>
      <groupName>标点问题</groupName>
      <ability>L2_Punc_CN</ability>
      <abilityName>标点符号问题</abilityName>
      <candidateList/>
      <explain>同一形式括号套用。</explain>
      <paraID> 29B4B25</paraID>
      <start>11</start>
      <end>12</end>
      <status>unmodified</status>
      <modifiedWord/>
      <trackRevisions>false</trackRevisions>
    </reviewItem>
    <reviewItem>
      <errorID>e61ea745-edd3-487d-af3e-cd3cc061ce55</errorID>
      <errorWord>）</errorWord>
      <group>L1_Punc</group>
      <groupName>标点问题</groupName>
      <ability>L2_Punc_CN</ability>
      <abilityName>标点符号问题</abilityName>
      <candidateList/>
      <explain>同一形式括号套用。</explain>
      <paraID> 29B4B25</paraID>
      <start>18</start>
      <end>19</end>
      <status>unmodified</status>
      <modifiedWord/>
      <trackRevisions>false</trackRevisions>
    </reviewItem>
    <reviewItem>
      <errorID>89124d4c-b831-46cc-bed6-040d4bfa6ff2</errorID>
      <errorWord>（</errorWord>
      <group>L1_Punc</group>
      <groupName>标点问题</groupName>
      <ability>L2_Punc_CN</ability>
      <abilityName>标点符号问题</abilityName>
      <candidateList/>
      <explain>同一形式括号套用。</explain>
      <paraID>4E79E377</paraID>
      <start>11</start>
      <end>12</end>
      <status>unmodified</status>
      <modifiedWord/>
      <trackRevisions>false</trackRevisions>
    </reviewItem>
    <reviewItem>
      <errorID>1abe9255-47a0-440c-902f-7e942f71aaae</errorID>
      <errorWord>）</errorWord>
      <group>L1_Punc</group>
      <groupName>标点问题</groupName>
      <ability>L2_Punc_CN</ability>
      <abilityName>标点符号问题</abilityName>
      <candidateList/>
      <explain>同一形式括号套用。</explain>
      <paraID>4E79E377</paraID>
      <start>18</start>
      <end>19</end>
      <status>unmodified</status>
      <modifiedWord/>
      <trackRevisions>false</trackRevisions>
    </reviewItem>
    <reviewItem>
      <errorID>65473579-ef40-48b8-a3a1-4d334823370f</errorID>
      <errorWord>《中共中央、国务院</errorWord>
      <group>L1_Political</group>
      <groupName>政治性问题</groupName>
      <ability>L2_Unpolitical</ability>
      <abilityName>政治敏感错误</abilityName>
      <candidateList>
        <item>《中共中央 国务院</item>
      </candidateList>
      <explain/>
      <paraID> FC471C5</paraID>
      <start>144</start>
      <end>153</end>
      <status>modified</status>
      <modifiedWord>《中共中央 国务院</modifiedWord>
      <trackRevisions>false</trackRevisions>
    </reviewItem>
    <reviewItem>
      <errorID>1ed9796c-f520-4587-8af4-864da330e875</errorID>
      <errorWord>（</errorWord>
      <group>L1_Punc</group>
      <groupName>标点问题</groupName>
      <ability>L2_Punc_CN</ability>
      <abilityName>标点符号问题</abilityName>
      <candidateList/>
      <explain>同一形式括号套用。</explain>
      <paraID>33A3F111</paraID>
      <start>13</start>
      <end>14</end>
      <status>unmodified</status>
      <modifiedWord/>
      <trackRevisions>false</trackRevisions>
    </reviewItem>
    <reviewItem>
      <errorID>a81da8f3-5fc7-4194-940c-3a967e8cccfe</errorID>
      <errorWord>）</errorWord>
      <group>L1_Punc</group>
      <groupName>标点问题</groupName>
      <ability>L2_Punc_CN</ability>
      <abilityName>标点符号问题</abilityName>
      <candidateList/>
      <explain>同一形式括号套用。</explain>
      <paraID>33A3F111</paraID>
      <start>24</start>
      <end>25</end>
      <status>unmodified</status>
      <modifiedWord/>
      <trackRevisions>false</trackRevisions>
    </reviewItem>
    <reviewItem>
      <errorID>9a124b2d-1b74-4bb1-9601-6d5dde9dccda</errorID>
      <errorWord>《中共中央、国务院</errorWord>
      <group>L1_Political</group>
      <groupName>政治性问题</groupName>
      <ability>L2_Unpolitical</ability>
      <abilityName>政治敏感错误</abilityName>
      <candidateList>
        <item>《中共中央 国务院</item>
      </candidateList>
      <explain/>
      <paraID>145054FF</paraID>
      <start>144</start>
      <end>153</end>
      <status>modified</status>
      <modifiedWord>《中共中央 国务院</modifiedWord>
      <trackRevisions>false</trackRevisions>
    </reviewItem>
    <reviewItem>
      <errorID>9b698a13-87cf-4586-ba74-9373c804c439</errorID>
      <errorWord>（</errorWord>
      <group>L1_Punc</group>
      <groupName>标点问题</groupName>
      <ability>L2_Punc_CN</ability>
      <abilityName>标点符号问题</abilityName>
      <candidateList/>
      <explain>同一形式括号套用。</explain>
      <paraID>330DB348</paraID>
      <start>10</start>
      <end>11</end>
      <status>unmodified</status>
      <modifiedWord/>
      <trackRevisions>false</trackRevisions>
    </reviewItem>
    <reviewItem>
      <errorID>82b9a247-3b85-4f2a-b0ae-dabefaa08692</errorID>
      <errorWord>）</errorWord>
      <group>L1_Punc</group>
      <groupName>标点问题</groupName>
      <ability>L2_Punc_CN</ability>
      <abilityName>标点符号问题</abilityName>
      <candidateList/>
      <explain>同一形式括号套用。</explain>
      <paraID>330DB348</paraID>
      <start>15</start>
      <end>16</end>
      <status>unmodified</status>
      <modifiedWord/>
      <trackRevisions>false</trackRevisions>
    </reviewItem>
    <reviewItem>
      <errorID>5f3a5255-7a4d-47bb-a413-9845928dc0e7</errorID>
      <errorWord>《中共中央、国务院</errorWord>
      <group>L1_Political</group>
      <groupName>政治性问题</groupName>
      <ability>L2_Unpolitical</ability>
      <abilityName>政治敏感错误</abilityName>
      <candidateList>
        <item>《中共中央 国务院</item>
      </candidateList>
      <explain/>
      <paraID>13343786</paraID>
      <start>143</start>
      <end>152</end>
      <status>modified</status>
      <modifiedWord>《中共中央 国务院</modifiedWord>
      <trackRevisions>false</trackRevisions>
    </reviewItem>
    <reviewItem>
      <errorID>6d306644-5c24-4372-ad63-33666b01f012</errorID>
      <errorWord>（</errorWord>
      <group>L1_Punc</group>
      <groupName>标点问题</groupName>
      <ability>L2_Punc_CN</ability>
      <abilityName>标点符号问题</abilityName>
      <candidateList/>
      <explain>同一形式括号套用。</explain>
      <paraID>135439DD</paraID>
      <start>21</start>
      <end>22</end>
      <status>unmodified</status>
      <modifiedWord/>
      <trackRevisions>false</trackRevisions>
    </reviewItem>
    <reviewItem>
      <errorID>ed1343dd-de32-44dd-b1f7-7a9c9ca74bd9</errorID>
      <errorWord>）</errorWord>
      <group>L1_Punc</group>
      <groupName>标点问题</groupName>
      <ability>L2_Punc_CN</ability>
      <abilityName>标点符号问题</abilityName>
      <candidateList/>
      <explain>同一形式括号套用。</explain>
      <paraID>135439DD</paraID>
      <start>26</start>
      <end>27</end>
      <status>unmodified</status>
      <modifiedWord/>
      <trackRevisions>false</trackRevisions>
    </reviewItem>
    <reviewItem>
      <errorID>d49f756c-73ad-4b08-b64e-0536eea33ba4</errorID>
      <errorWord>（</errorWord>
      <group>L1_Punc</group>
      <groupName>标点问题</groupName>
      <ability>L2_Punc_CN</ability>
      <abilityName>标点符号问题</abilityName>
      <candidateList/>
      <explain>同一形式括号套用。</explain>
      <paraID>6A87B33F</paraID>
      <start>13</start>
      <end>14</end>
      <status>unmodified</status>
      <modifiedWord/>
      <trackRevisions>false</trackRevisions>
    </reviewItem>
    <reviewItem>
      <errorID>2a9c76ae-689a-4282-add6-dd3ba84e896a</errorID>
      <errorWord>）</errorWord>
      <group>L1_Punc</group>
      <groupName>标点问题</groupName>
      <ability>L2_Punc_CN</ability>
      <abilityName>标点符号问题</abilityName>
      <candidateList/>
      <explain>同一形式括号套用。</explain>
      <paraID>6A87B33F</paraID>
      <start>24</start>
      <end>25</end>
      <status>unmodified</status>
      <modifiedWord/>
      <trackRevisions>false</trackRevisions>
    </reviewItem>
    <reviewItem>
      <errorID>18dff840-80cc-4ac1-9255-104c257b196c</errorID>
      <errorWord>（</errorWord>
      <group>L1_Punc</group>
      <groupName>标点问题</groupName>
      <ability>L2_Punc_CN</ability>
      <abilityName>标点符号问题</abilityName>
      <candidateList/>
      <explain>同一形式括号套用。</explain>
      <paraID>1CDAE8EA</paraID>
      <start>15</start>
      <end>16</end>
      <status>unmodified</status>
      <modifiedWord/>
      <trackRevisions>false</trackRevisions>
    </reviewItem>
    <reviewItem>
      <errorID>8b53ab13-eea3-411d-9df4-2a404c840a1c</errorID>
      <errorWord>）</errorWord>
      <group>L1_Punc</group>
      <groupName>标点问题</groupName>
      <ability>L2_Punc_CN</ability>
      <abilityName>标点符号问题</abilityName>
      <candidateList/>
      <explain>同一形式括号套用。</explain>
      <paraID>1CDAE8EA</paraID>
      <start>26</start>
      <end>27</end>
      <status>unmodified</status>
      <modifiedWord/>
      <trackRevisions>false</trackRevisions>
    </reviewItem>
    <reviewItem>
      <errorID>f26bf2ee-e921-46b2-b02d-0fbdef408971</errorID>
      <errorWord>（</errorWord>
      <group>L1_Punc</group>
      <groupName>标点问题</groupName>
      <ability>L2_Punc_CN</ability>
      <abilityName>标点符号问题</abilityName>
      <candidateList/>
      <explain>同一形式括号套用。</explain>
      <paraID> CF647F2</paraID>
      <start>11</start>
      <end>12</end>
      <status>unmodified</status>
      <modifiedWord/>
      <trackRevisions>false</trackRevisions>
    </reviewItem>
    <reviewItem>
      <errorID>a0ab4be9-17b5-475f-a158-792001dc1988</errorID>
      <errorWord>）</errorWord>
      <group>L1_Punc</group>
      <groupName>标点问题</groupName>
      <ability>L2_Punc_CN</ability>
      <abilityName>标点符号问题</abilityName>
      <candidateList/>
      <explain>同一形式括号套用。</explain>
      <paraID> CF647F2</paraID>
      <start>14</start>
      <end>15</end>
      <status>unmodified</status>
      <modifiedWord/>
      <trackRevisions>false</trackRevisions>
    </reviewItem>
    <reviewItem>
      <errorID>fb028207-9624-44f0-b8a6-8a9539f30b34</errorID>
      <errorWord>（</errorWord>
      <group>L1_Punc</group>
      <groupName>标点问题</groupName>
      <ability>L2_Punc_CN</ability>
      <abilityName>标点符号问题</abilityName>
      <candidateList/>
      <explain>同一形式括号套用。</explain>
      <paraID>21EDF538</paraID>
      <start>5</start>
      <end>6</end>
      <status>unmodified</status>
      <modifiedWord/>
      <trackRevisions>false</trackRevisions>
    </reviewItem>
    <reviewItem>
      <errorID>9377d10a-5f27-463f-981e-be27793c1d3d</errorID>
      <errorWord>）</errorWord>
      <group>L1_Punc</group>
      <groupName>标点问题</groupName>
      <ability>L2_Punc_CN</ability>
      <abilityName>标点符号问题</abilityName>
      <candidateList/>
      <explain>同一形式括号套用。</explain>
      <paraID>21EDF538</paraID>
      <start>7</start>
      <end>8</end>
      <status>unmodified</status>
      <modifiedWord/>
      <trackRevisions>false</trackRevisions>
    </reviewItem>
    <reviewItem>
      <errorID>0c0d91c2-3559-49c9-ab4c-be181b4dadd8</errorID>
      <errorWord>（</errorWord>
      <group>L1_Punc</group>
      <groupName>标点问题</groupName>
      <ability>L2_Punc_CN</ability>
      <abilityName>标点符号问题</abilityName>
      <candidateList/>
      <explain>同一形式括号套用。</explain>
      <paraID>21EDF538</paraID>
      <start>19</start>
      <end>20</end>
      <status>unmodified</status>
      <modifiedWord/>
      <trackRevisions>false</trackRevisions>
    </reviewItem>
    <reviewItem>
      <errorID>ac490eee-3cc0-48b4-989e-72bc25b2b368</errorID>
      <errorWord>）</errorWord>
      <group>L1_Punc</group>
      <groupName>标点问题</groupName>
      <ability>L2_Punc_CN</ability>
      <abilityName>标点符号问题</abilityName>
      <candidateList/>
      <explain>同一形式括号套用。</explain>
      <paraID>21EDF538</paraID>
      <start>25</start>
      <end>26</end>
      <status>unmodified</status>
      <modifiedWord/>
      <trackRevisions>false</trackRevisions>
    </reviewItem>
    <reviewItem>
      <errorID>f701bd16-e546-4568-bce3-3e3b69d1104a</errorID>
      <errorWord>（</errorWord>
      <group>L1_Punc</group>
      <groupName>标点问题</groupName>
      <ability>L2_Punc_CN</ability>
      <abilityName>标点符号问题</abilityName>
      <candidateList/>
      <explain>同一形式括号套用。</explain>
      <paraID>6BA40A22</paraID>
      <start>22</start>
      <end>23</end>
      <status>unmodified</status>
      <modifiedWord/>
      <trackRevisions>false</trackRevisions>
    </reviewItem>
    <reviewItem>
      <errorID>a5bce008-15c1-44db-becf-9dd699158f25</errorID>
      <errorWord>）</errorWord>
      <group>L1_Punc</group>
      <groupName>标点问题</groupName>
      <ability>L2_Punc_CN</ability>
      <abilityName>标点符号问题</abilityName>
      <candidateList/>
      <explain>同一形式括号套用。</explain>
      <paraID>6BA40A22</paraID>
      <start>24</start>
      <end>25</end>
      <status>unmodified</status>
      <modifiedWord/>
      <trackRevisions>false</trackRevisions>
    </reviewItem>
    <reviewItem>
      <errorID>1e68b076-fd38-4473-a4a8-4e2a702c9e7c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2C6EB92</paraID>
      <start>48</start>
      <end>49</end>
      <status>unmodified</status>
      <modifiedWord/>
      <trackRevisions>false</trackRevisions>
    </reviewItem>
    <reviewItem>
      <errorID>bbbdec5e-e8ff-44c2-84a9-1ece6b30acf8</errorID>
      <errorWord>（</errorWord>
      <group>L1_Punc</group>
      <groupName>标点问题</groupName>
      <ability>L2_Punc_CN</ability>
      <abilityName>标点符号问题</abilityName>
      <candidateList/>
      <explain>同一形式括号套用。</explain>
      <paraID>364C77FE</paraID>
      <start>14</start>
      <end>15</end>
      <status>unmodified</status>
      <modifiedWord/>
      <trackRevisions>false</trackRevisions>
    </reviewItem>
    <reviewItem>
      <errorID>e0122c78-ce11-4fb8-959c-aec1b6b6d98d</errorID>
      <errorWord>）</errorWord>
      <group>L1_Punc</group>
      <groupName>标点问题</groupName>
      <ability>L2_Punc_CN</ability>
      <abilityName>标点符号问题</abilityName>
      <candidateList/>
      <explain>同一形式括号套用。</explain>
      <paraID>364C77FE</paraID>
      <start>23</start>
      <end>24</end>
      <status>unmodified</status>
      <modifiedWord/>
      <trackRevisions>false</trackRevisions>
    </reviewItem>
    <reviewItem>
      <errorID>f9822bcf-2c1a-4c65-96de-14270200b25d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2FB3582D</paraID>
      <start>93</start>
      <end>94</end>
      <status>unmodified</status>
      <modifiedWord/>
      <trackRevisions>false</trackRevisions>
    </reviewItem>
    <reviewItem>
      <errorID>2c85c8cd-0ea4-473b-862e-786c324e77ba</errorID>
      <errorWord>（</errorWord>
      <group>L1_Punc</group>
      <groupName>标点问题</groupName>
      <ability>L2_Punc_CN</ability>
      <abilityName>标点符号问题</abilityName>
      <candidateList/>
      <explain>同一形式括号套用。</explain>
      <paraID>6957DCDD</paraID>
      <start>14</start>
      <end>15</end>
      <status>unmodified</status>
      <modifiedWord/>
      <trackRevisions>false</trackRevisions>
    </reviewItem>
    <reviewItem>
      <errorID>0b52db86-6a03-4d81-b65f-7aa3071a3b07</errorID>
      <errorWord>）</errorWord>
      <group>L1_Punc</group>
      <groupName>标点问题</groupName>
      <ability>L2_Punc_CN</ability>
      <abilityName>标点符号问题</abilityName>
      <candidateList/>
      <explain>同一形式括号套用。</explain>
      <paraID>6957DCDD</paraID>
      <start>17</start>
      <end>18</end>
      <status>unmodified</status>
      <modifiedWord/>
      <trackRevisions>false</trackRevisions>
    </reviewItem>
    <reviewItem>
      <errorID>492712cc-4cd0-4c66-bd71-bc77046217d3</errorID>
      <errorWord>（</errorWord>
      <group>L1_Punc</group>
      <groupName>标点问题</groupName>
      <ability>L2_Punc_CN</ability>
      <abilityName>标点符号问题</abilityName>
      <candidateList/>
      <explain>同一形式括号套用。</explain>
      <paraID>47F86EC3</paraID>
      <start>14</start>
      <end>15</end>
      <status>unmodified</status>
      <modifiedWord/>
      <trackRevisions>false</trackRevisions>
    </reviewItem>
    <reviewItem>
      <errorID>2a4cd8c2-6056-4b6e-b141-251b54dce3b6</errorID>
      <errorWord>）</errorWord>
      <group>L1_Punc</group>
      <groupName>标点问题</groupName>
      <ability>L2_Punc_CN</ability>
      <abilityName>标点符号问题</abilityName>
      <candidateList/>
      <explain>同一形式括号套用。</explain>
      <paraID>47F86EC3</paraID>
      <start>17</start>
      <end>18</end>
      <status>unmodified</status>
      <modifiedWord/>
      <trackRevisions>false</trackRevisions>
    </reviewItem>
    <reviewItem>
      <errorID>ae3e7569-42ba-4d71-bec8-f37a51c2bfe5</errorID>
      <errorWord>（</errorWord>
      <group>L1_Punc</group>
      <groupName>标点问题</groupName>
      <ability>L2_Punc_CN</ability>
      <abilityName>标点符号问题</abilityName>
      <candidateList/>
      <explain>同一形式括号套用。</explain>
      <paraID>305FCCB3</paraID>
      <start>15</start>
      <end>16</end>
      <status>unmodified</status>
      <modifiedWord/>
      <trackRevisions>false</trackRevisions>
    </reviewItem>
    <reviewItem>
      <errorID>fcd64ac9-c31a-46af-94a6-0367f44e37cb</errorID>
      <errorWord>）</errorWord>
      <group>L1_Punc</group>
      <groupName>标点问题</groupName>
      <ability>L2_Punc_CN</ability>
      <abilityName>标点符号问题</abilityName>
      <candidateList/>
      <explain>同一形式括号套用。</explain>
      <paraID>305FCCB3</paraID>
      <start>18</start>
      <end>19</end>
      <status>unmodified</status>
      <modifiedWord/>
      <trackRevisions>false</trackRevisions>
    </reviewItem>
    <reviewItem>
      <errorID>c4e5e080-ac4a-41b7-bc3b-521b4ea58b97</errorID>
      <errorWord>（</errorWord>
      <group>L1_Punc</group>
      <groupName>标点问题</groupName>
      <ability>L2_Punc_CN</ability>
      <abilityName>标点符号问题</abilityName>
      <candidateList/>
      <explain>同一形式括号套用。</explain>
      <paraID>4472901A</paraID>
      <start>15</start>
      <end>16</end>
      <status>unmodified</status>
      <modifiedWord/>
      <trackRevisions>false</trackRevisions>
    </reviewItem>
    <reviewItem>
      <errorID>37b719f2-10b6-4163-bb53-a55f4c78a591</errorID>
      <errorWord>）</errorWord>
      <group>L1_Punc</group>
      <groupName>标点问题</groupName>
      <ability>L2_Punc_CN</ability>
      <abilityName>标点符号问题</abilityName>
      <candidateList/>
      <explain>同一形式括号套用。</explain>
      <paraID>4472901A</paraID>
      <start>38</start>
      <end>39</end>
      <status>unmodified</status>
      <modifiedWord/>
      <trackRevisions>false</trackRevisions>
    </reviewItem>
    <reviewItem>
      <errorID>ae1c5541-9a20-452d-986c-89ba20bb6ac2</errorID>
      <errorWord>（</errorWord>
      <group>L1_Punc</group>
      <groupName>标点问题</groupName>
      <ability>L2_Punc_CN</ability>
      <abilityName>标点符号问题</abilityName>
      <candidateList/>
      <explain>同一形式括号套用。</explain>
      <paraID>2EC4FEE3</paraID>
      <start>9</start>
      <end>10</end>
      <status>unmodified</status>
      <modifiedWord/>
      <trackRevisions>false</trackRevisions>
    </reviewItem>
    <reviewItem>
      <errorID>31ccbbfa-4dbb-49e2-ae55-80569a4800f3</errorID>
      <errorWord>）</errorWord>
      <group>L1_Punc</group>
      <groupName>标点问题</groupName>
      <ability>L2_Punc_CN</ability>
      <abilityName>标点符号问题</abilityName>
      <candidateList/>
      <explain>同一形式括号套用。</explain>
      <paraID>2EC4FEE3</paraID>
      <start>12</start>
      <end>13</end>
      <status>unmodified</status>
      <modifiedWord/>
      <trackRevisions>false</trackRevisions>
    </reviewItem>
    <reviewItem>
      <errorID>1eba6d55-2d9d-4323-b02c-79c53af999d5</errorID>
      <errorWord>（</errorWord>
      <group>L1_Punc</group>
      <groupName>标点问题</groupName>
      <ability>L2_Punc_CN</ability>
      <abilityName>标点符号问题</abilityName>
      <candidateList/>
      <explain>同一形式括号套用。</explain>
      <paraID>190E4C98</paraID>
      <start>11</start>
      <end>12</end>
      <status>unmodified</status>
      <modifiedWord/>
      <trackRevisions>false</trackRevisions>
    </reviewItem>
    <reviewItem>
      <errorID>bea4df5e-7271-4362-8c25-9d62ebcec055</errorID>
      <errorWord>）</errorWord>
      <group>L1_Punc</group>
      <groupName>标点问题</groupName>
      <ability>L2_Punc_CN</ability>
      <abilityName>标点符号问题</abilityName>
      <candidateList/>
      <explain>同一形式括号套用。</explain>
      <paraID>190E4C98</paraID>
      <start>15</start>
      <end>16</end>
      <status>unmodified</status>
      <modifiedWord/>
      <trackRevisions>false</trackRevisions>
    </reviewItem>
    <reviewItem>
      <errorID>3738afd3-de68-48bc-86a5-c3934b88aef3</errorID>
      <errorWord>（</errorWord>
      <group>L1_Punc</group>
      <groupName>标点问题</groupName>
      <ability>L2_Punc_CN</ability>
      <abilityName>标点符号问题</abilityName>
      <candidateList/>
      <explain>同一形式括号套用。</explain>
      <paraID>31202DB3</paraID>
      <start>14</start>
      <end>15</end>
      <status>unmodified</status>
      <modifiedWord/>
      <trackRevisions>false</trackRevisions>
    </reviewItem>
    <reviewItem>
      <errorID>f77b90c4-342d-4d50-841a-118e01154276</errorID>
      <errorWord>）</errorWord>
      <group>L1_Punc</group>
      <groupName>标点问题</groupName>
      <ability>L2_Punc_CN</ability>
      <abilityName>标点符号问题</abilityName>
      <candidateList/>
      <explain>同一形式括号套用。</explain>
      <paraID>31202DB3</paraID>
      <start>17</start>
      <end>18</end>
      <status>unmodified</status>
      <modifiedWord/>
      <trackRevisions>false</trackRevisions>
    </reviewItem>
    <reviewItem>
      <errorID>d15e9e51-e2d1-4fa4-926d-9630b1a97fdd</errorID>
      <errorWord>（</errorWord>
      <group>L1_Punc</group>
      <groupName>标点问题</groupName>
      <ability>L2_Punc_CN</ability>
      <abilityName>标点符号问题</abilityName>
      <candidateList/>
      <explain>同一形式括号套用。</explain>
      <paraID>56CFA422</paraID>
      <start>19</start>
      <end>20</end>
      <status>unmodified</status>
      <modifiedWord/>
      <trackRevisions>false</trackRevisions>
    </reviewItem>
    <reviewItem>
      <errorID>8a2d4178-ac30-4e21-96ea-7d08b5551e24</errorID>
      <errorWord>）</errorWord>
      <group>L1_Punc</group>
      <groupName>标点问题</groupName>
      <ability>L2_Punc_CN</ability>
      <abilityName>标点符号问题</abilityName>
      <candidateList/>
      <explain>同一形式括号套用。</explain>
      <paraID>56CFA422</paraID>
      <start>22</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8bee61-a17f-4da6-8a52-70f26cf3c174}">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382</Pages>
  <Words>517</Words>
  <Characters>570</Characters>
  <Lines>61</Lines>
  <Paragraphs>17</Paragraphs>
  <TotalTime>31</TotalTime>
  <ScaleCrop>false</ScaleCrop>
  <LinksUpToDate>false</LinksUpToDate>
  <CharactersWithSpaces>610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ying ying Z </cp:lastModifiedBy>
  <cp:lastPrinted>2026-08-03T09:27:00Z</cp:lastPrinted>
  <dcterms:modified xsi:type="dcterms:W3CDTF">2026-09-10T07:14:11Z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400D301575C74348A5277D00A7902E06</vt:lpwstr>
  </property>
  <property fmtid="{D5CDD505-2E9C-101B-9397-08002B2CF9AE}" pid="4" name="KSOTemplateDocerSaveRecord">
    <vt:lpwstr>eyJoZGlkIjoiNTg3YjI3Zjc2MzNiOTAzMWQ3ZTE0ODk2ZjQ0ZjFkZmMiLCJ1c2VySWQiOiIzMzE4NzY0OTMifQ==</vt:lpwstr>
  </property>
</Properties>
</file>