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C8768">
      <w:pPr>
        <w:pStyle w:val="8"/>
        <w:spacing w:before="93"/>
        <w:rPr>
          <w:rFonts w:ascii="Times New Roman" w:eastAsia="方正小标宋简体"/>
          <w:kern w:val="2"/>
          <w:sz w:val="72"/>
          <w:szCs w:val="72"/>
        </w:rPr>
      </w:pPr>
      <w:bookmarkStart w:id="0" w:name="_Toc15378441"/>
      <w:bookmarkStart w:id="1" w:name="_Toc15396475"/>
      <w:bookmarkStart w:id="2" w:name="_Toc15377425"/>
      <w:bookmarkStart w:id="3" w:name="_Toc15396597"/>
      <w:bookmarkStart w:id="4" w:name="_Toc15377193"/>
      <w:bookmarkStart w:id="5" w:name="_Toc15306267"/>
    </w:p>
    <w:p w14:paraId="60458D28">
      <w:pPr>
        <w:pStyle w:val="8"/>
        <w:spacing w:before="93"/>
        <w:rPr>
          <w:rFonts w:ascii="Times New Roman" w:eastAsia="方正小标宋简体"/>
          <w:kern w:val="2"/>
          <w:sz w:val="72"/>
          <w:szCs w:val="72"/>
        </w:rPr>
      </w:pPr>
    </w:p>
    <w:p w14:paraId="770F1D08">
      <w:pPr>
        <w:pStyle w:val="8"/>
        <w:spacing w:before="93"/>
        <w:rPr>
          <w:rFonts w:ascii="Times New Roman" w:eastAsia="方正小标宋简体"/>
          <w:kern w:val="2"/>
          <w:sz w:val="72"/>
          <w:szCs w:val="72"/>
        </w:rPr>
      </w:pPr>
    </w:p>
    <w:p w14:paraId="548AA40D">
      <w:pPr>
        <w:pStyle w:val="8"/>
        <w:spacing w:before="93"/>
        <w:rPr>
          <w:rFonts w:ascii="Times New Roman" w:eastAsia="方正小标宋简体"/>
          <w:kern w:val="2"/>
          <w:sz w:val="72"/>
          <w:szCs w:val="72"/>
        </w:rPr>
      </w:pPr>
    </w:p>
    <w:p w14:paraId="7B745C97">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2025年度四川省攀枝花市自然资源和规划局市级单位决算</w:t>
      </w:r>
    </w:p>
    <w:p w14:paraId="6396E420">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公开文字说明</w:t>
      </w:r>
    </w:p>
    <w:p w14:paraId="72AB94D1">
      <w:pPr>
        <w:spacing w:line="600" w:lineRule="exact"/>
        <w:jc w:val="center"/>
        <w:outlineLvl w:val="0"/>
        <w:rPr>
          <w:rFonts w:eastAsia="方正小标宋简体"/>
          <w:sz w:val="72"/>
          <w:szCs w:val="72"/>
        </w:rPr>
      </w:pPr>
    </w:p>
    <w:p w14:paraId="7F529218">
      <w:pPr>
        <w:pStyle w:val="19"/>
        <w:rPr>
          <w:rFonts w:ascii="Times New Roman" w:hAnsi="Times New Roman"/>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p>
    <w:p w14:paraId="4F05E5DC"/>
    <w:p w14:paraId="48B41DFC">
      <w:pPr>
        <w:pStyle w:val="8"/>
        <w:spacing w:before="93"/>
        <w:jc w:val="center"/>
        <w:rPr>
          <w:rFonts w:ascii="Times New Roman" w:eastAsia="方正小标宋简体"/>
          <w:kern w:val="2"/>
          <w:sz w:val="44"/>
          <w:szCs w:val="44"/>
        </w:rPr>
      </w:pPr>
    </w:p>
    <w:p w14:paraId="7CB1FD53">
      <w:pPr>
        <w:pStyle w:val="8"/>
        <w:spacing w:before="93"/>
        <w:jc w:val="center"/>
        <w:rPr>
          <w:rFonts w:ascii="Times New Roman" w:eastAsia="方正小标宋简体"/>
          <w:kern w:val="2"/>
          <w:sz w:val="44"/>
          <w:szCs w:val="44"/>
        </w:rPr>
      </w:pPr>
    </w:p>
    <w:p w14:paraId="4DB8318D">
      <w:pPr>
        <w:pStyle w:val="8"/>
        <w:spacing w:before="93"/>
        <w:jc w:val="center"/>
        <w:rPr>
          <w:rFonts w:ascii="Times New Roman" w:eastAsia="方正小标宋简体"/>
          <w:kern w:val="2"/>
          <w:sz w:val="44"/>
          <w:szCs w:val="44"/>
        </w:rPr>
      </w:pPr>
    </w:p>
    <w:p w14:paraId="68B04BF1">
      <w:pPr>
        <w:pStyle w:val="8"/>
        <w:spacing w:before="93"/>
        <w:jc w:val="center"/>
        <w:rPr>
          <w:rFonts w:ascii="Times New Roman" w:eastAsia="方正小标宋简体"/>
          <w:kern w:val="2"/>
          <w:sz w:val="44"/>
          <w:szCs w:val="44"/>
        </w:rPr>
      </w:pPr>
    </w:p>
    <w:bookmarkEnd w:id="0"/>
    <w:bookmarkEnd w:id="1"/>
    <w:bookmarkEnd w:id="2"/>
    <w:bookmarkEnd w:id="3"/>
    <w:bookmarkEnd w:id="4"/>
    <w:p w14:paraId="50A22F3D">
      <w:pPr>
        <w:pStyle w:val="8"/>
        <w:spacing w:before="93"/>
        <w:jc w:val="center"/>
        <w:rPr>
          <w:rFonts w:ascii="Times New Roman" w:eastAsia="方正小标宋简体"/>
          <w:kern w:val="2"/>
          <w:sz w:val="44"/>
          <w:szCs w:val="44"/>
        </w:rPr>
      </w:pPr>
      <w:bookmarkStart w:id="6" w:name="_Toc15396598"/>
      <w:bookmarkStart w:id="7" w:name="_Toc15396476"/>
      <w:bookmarkStart w:id="8" w:name="_Toc15378442"/>
      <w:bookmarkStart w:id="9" w:name="_Toc15377426"/>
      <w:bookmarkStart w:id="10" w:name="_Toc15377194"/>
      <w:r>
        <w:rPr>
          <w:rFonts w:hint="eastAsia" w:ascii="Times New Roman" w:eastAsia="方正小标宋简体"/>
          <w:kern w:val="2"/>
          <w:sz w:val="44"/>
          <w:szCs w:val="44"/>
        </w:rPr>
        <w:t>2025年度四川省</w:t>
      </w:r>
      <w:bookmarkEnd w:id="5"/>
      <w:bookmarkStart w:id="11" w:name="_Toc15306268"/>
      <w:r>
        <w:rPr>
          <w:rFonts w:hint="eastAsia" w:ascii="Times New Roman" w:eastAsia="方正小标宋简体"/>
          <w:kern w:val="2"/>
          <w:sz w:val="44"/>
          <w:szCs w:val="44"/>
        </w:rPr>
        <w:t>攀枝花市自然资源和规划局单位决算</w:t>
      </w:r>
      <w:bookmarkEnd w:id="6"/>
      <w:bookmarkEnd w:id="7"/>
      <w:bookmarkEnd w:id="8"/>
      <w:bookmarkEnd w:id="9"/>
      <w:bookmarkEnd w:id="10"/>
      <w:bookmarkEnd w:id="11"/>
    </w:p>
    <w:p w14:paraId="6FAE08D6">
      <w:pPr>
        <w:widowControl/>
        <w:jc w:val="center"/>
        <w:rPr>
          <w:rFonts w:eastAsia="黑体"/>
          <w:sz w:val="48"/>
          <w:szCs w:val="48"/>
        </w:rPr>
        <w:sectPr>
          <w:footerReference r:id="rId6" w:type="first"/>
          <w:footerReference r:id="rId5" w:type="default"/>
          <w:pgSz w:w="11906" w:h="16838"/>
          <w:pgMar w:top="1440" w:right="1800" w:bottom="1440" w:left="1800" w:header="851" w:footer="992" w:gutter="0"/>
          <w:pgNumType w:start="1"/>
          <w:cols w:space="425" w:num="1"/>
          <w:titlePg/>
          <w:docGrid w:type="lines" w:linePitch="312" w:charSpace="0"/>
        </w:sectPr>
      </w:pPr>
      <w:bookmarkStart w:id="142" w:name="_GoBack"/>
      <w:bookmarkEnd w:id="142"/>
    </w:p>
    <w:p w14:paraId="5AE64C0E">
      <w:pPr>
        <w:widowControl/>
        <w:jc w:val="center"/>
        <w:rPr>
          <w:rFonts w:eastAsia="黑体"/>
          <w:sz w:val="48"/>
          <w:szCs w:val="48"/>
        </w:rPr>
      </w:pPr>
      <w:r>
        <w:rPr>
          <w:rFonts w:hint="eastAsia" w:eastAsia="黑体"/>
          <w:sz w:val="48"/>
          <w:szCs w:val="48"/>
        </w:rPr>
        <w:t>目录</w:t>
      </w:r>
    </w:p>
    <w:p w14:paraId="6187755F">
      <w:pPr>
        <w:widowControl/>
        <w:jc w:val="center"/>
        <w:rPr>
          <w:rFonts w:eastAsia="黑体" w:cstheme="minorBidi"/>
          <w:sz w:val="28"/>
          <w:szCs w:val="28"/>
        </w:rPr>
      </w:pPr>
    </w:p>
    <w:p w14:paraId="586F1B97">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公开时间：2026年9月</w:t>
      </w:r>
      <w:r>
        <w:rPr>
          <w:rFonts w:hint="eastAsia" w:ascii="Times New Roman" w:hAnsi="Times New Roman" w:eastAsia="仿宋_GB2312" w:cs="仿宋_GB2312"/>
          <w:sz w:val="32"/>
          <w:szCs w:val="32"/>
          <w:lang w:val="en-US" w:eastAsia="zh-CN"/>
        </w:rPr>
        <w:t>10</w:t>
      </w:r>
      <w:r>
        <w:rPr>
          <w:rFonts w:hint="eastAsia" w:ascii="Times New Roman" w:hAnsi="Times New Roman" w:eastAsia="仿宋_GB2312" w:cs="仿宋_GB2312"/>
          <w:sz w:val="32"/>
          <w:szCs w:val="32"/>
        </w:rPr>
        <w:t>日</w:t>
      </w:r>
    </w:p>
    <w:p w14:paraId="0D5274E5"/>
    <w:p w14:paraId="3A23B78B">
      <w:pPr>
        <w:pStyle w:val="13"/>
        <w:tabs>
          <w:tab w:val="right" w:leader="dot" w:pos="8306"/>
          <w:tab w:val="clear" w:pos="8296"/>
        </w:tabs>
        <w:spacing w:before="0" w:line="560" w:lineRule="exact"/>
        <w:jc w:val="left"/>
        <w:rPr>
          <w:rFonts w:ascii="Times New Roman"/>
        </w:rPr>
      </w:pPr>
      <w:bookmarkStart w:id="12" w:name="_Toc15396599"/>
      <w:bookmarkStart w:id="13" w:name="_Toc15377196"/>
      <w:r>
        <w:rPr>
          <w:rFonts w:ascii="Times New Roman" w:eastAsia="仿宋_GB2312"/>
          <w:b/>
          <w:sz w:val="32"/>
          <w:szCs w:val="32"/>
        </w:rPr>
        <w:fldChar w:fldCharType="begin"/>
      </w:r>
      <w:r>
        <w:rPr>
          <w:rFonts w:ascii="Times New Roman" w:eastAsia="仿宋_GB2312"/>
          <w:b/>
          <w:sz w:val="32"/>
          <w:szCs w:val="32"/>
        </w:rPr>
        <w:instrText xml:space="preserve"> TOC \o "1-3" \h \u </w:instrText>
      </w:r>
      <w:r>
        <w:rPr>
          <w:rFonts w:ascii="Times New Roman" w:eastAsia="仿宋_GB2312"/>
          <w:b/>
          <w:sz w:val="32"/>
          <w:szCs w:val="32"/>
        </w:rPr>
        <w:fldChar w:fldCharType="separate"/>
      </w:r>
      <w:r>
        <w:fldChar w:fldCharType="begin"/>
      </w:r>
      <w:r>
        <w:instrText xml:space="preserve"> HYPERLINK \l "_Toc63269304" </w:instrText>
      </w:r>
      <w:r>
        <w:fldChar w:fldCharType="separate"/>
      </w:r>
      <w:r>
        <w:rPr>
          <w:rFonts w:ascii="Times New Roman" w:eastAsia="黑体"/>
          <w:sz w:val="32"/>
          <w:szCs w:val="32"/>
        </w:rPr>
        <w:t xml:space="preserve">第一部分  </w:t>
      </w:r>
      <w:r>
        <w:rPr>
          <w:rFonts w:ascii="Times New Roman" w:eastAsia="黑体"/>
          <w:bCs/>
          <w:kern w:val="44"/>
          <w:sz w:val="32"/>
          <w:szCs w:val="32"/>
        </w:rPr>
        <w:t>部门概况</w:t>
      </w:r>
      <w:r>
        <w:rPr>
          <w:rFonts w:ascii="Times New Roman" w:eastAsia="黑体"/>
          <w:sz w:val="32"/>
          <w:szCs w:val="32"/>
        </w:rPr>
        <w:tab/>
      </w:r>
      <w:r>
        <w:rPr>
          <w:rFonts w:ascii="Times New Roman" w:eastAsia="黑体"/>
          <w:sz w:val="32"/>
          <w:szCs w:val="32"/>
        </w:rPr>
        <w:fldChar w:fldCharType="begin"/>
      </w:r>
      <w:r>
        <w:rPr>
          <w:rFonts w:ascii="Times New Roman" w:eastAsia="黑体"/>
          <w:sz w:val="32"/>
          <w:szCs w:val="32"/>
        </w:rPr>
        <w:instrText xml:space="preserve">PageRef _Toc63269304 \h</w:instrText>
      </w:r>
      <w:r>
        <w:rPr>
          <w:rFonts w:ascii="Times New Roman" w:eastAsia="黑体"/>
          <w:sz w:val="32"/>
          <w:szCs w:val="32"/>
        </w:rPr>
        <w:fldChar w:fldCharType="separate"/>
      </w:r>
      <w:r>
        <w:rPr>
          <w:rFonts w:hint="eastAsia" w:ascii="Times New Roman" w:eastAsia="黑体"/>
          <w:sz w:val="32"/>
          <w:szCs w:val="32"/>
        </w:rPr>
        <w:t>3</w:t>
      </w:r>
      <w:r>
        <w:rPr>
          <w:rFonts w:ascii="Times New Roman" w:eastAsia="黑体"/>
          <w:sz w:val="32"/>
          <w:szCs w:val="32"/>
        </w:rPr>
        <w:fldChar w:fldCharType="end"/>
      </w:r>
      <w:r>
        <w:rPr>
          <w:rFonts w:ascii="Times New Roman" w:eastAsia="黑体"/>
          <w:sz w:val="32"/>
          <w:szCs w:val="32"/>
        </w:rPr>
        <w:fldChar w:fldCharType="end"/>
      </w:r>
    </w:p>
    <w:p w14:paraId="044EE37C">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"_Toc63269305" </w:instrText>
      </w:r>
      <w:r>
        <w:fldChar w:fldCharType="separate"/>
      </w:r>
      <w:r>
        <w:rPr>
          <w:rFonts w:eastAsia="方正仿宋_GBK"/>
          <w:bCs/>
          <w:sz w:val="32"/>
          <w:szCs w:val="32"/>
        </w:rPr>
        <w:t>一、部门职责</w:t>
      </w:r>
      <w:r>
        <w:rPr>
          <w:rFonts w:eastAsia="方正仿宋_GBK"/>
          <w:sz w:val="32"/>
          <w:szCs w:val="32"/>
        </w:rPr>
        <w:tab/>
      </w:r>
      <w:r>
        <w:rPr>
          <w:rFonts w:eastAsia="方正仿宋_GBK"/>
          <w:sz w:val="32"/>
          <w:szCs w:val="32"/>
        </w:rPr>
        <w:fldChar w:fldCharType="begin"/>
      </w:r>
      <w:r>
        <w:rPr>
          <w:rFonts w:eastAsia="方正仿宋_GBK"/>
          <w:sz w:val="32"/>
          <w:szCs w:val="32"/>
        </w:rPr>
        <w:instrText xml:space="preserve">PageRef _Toc63269305 \h</w:instrText>
      </w:r>
      <w:r>
        <w:rPr>
          <w:rFonts w:eastAsia="方正仿宋_GBK"/>
          <w:sz w:val="32"/>
          <w:szCs w:val="32"/>
        </w:rPr>
        <w:fldChar w:fldCharType="separate"/>
      </w:r>
      <w:r>
        <w:rPr>
          <w:rFonts w:hint="eastAsia" w:eastAsia="方正仿宋_GBK"/>
          <w:sz w:val="32"/>
          <w:szCs w:val="32"/>
        </w:rPr>
        <w:t>3</w:t>
      </w:r>
      <w:r>
        <w:rPr>
          <w:rFonts w:eastAsia="方正仿宋_GBK"/>
          <w:sz w:val="32"/>
          <w:szCs w:val="32"/>
        </w:rPr>
        <w:fldChar w:fldCharType="end"/>
      </w:r>
      <w:r>
        <w:rPr>
          <w:rFonts w:eastAsia="方正仿宋_GBK"/>
          <w:sz w:val="32"/>
          <w:szCs w:val="32"/>
        </w:rPr>
        <w:fldChar w:fldCharType="end"/>
      </w:r>
    </w:p>
    <w:p w14:paraId="303709BB">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"_Toc63269306" </w:instrText>
      </w:r>
      <w:r>
        <w:fldChar w:fldCharType="separate"/>
      </w:r>
      <w:r>
        <w:rPr>
          <w:rFonts w:eastAsia="方正仿宋_GBK"/>
          <w:sz w:val="32"/>
          <w:szCs w:val="32"/>
        </w:rPr>
        <w:t>二、机</w:t>
      </w:r>
      <w:r>
        <w:rPr>
          <w:rFonts w:eastAsia="方正仿宋_GBK"/>
          <w:bCs/>
          <w:sz w:val="32"/>
          <w:szCs w:val="32"/>
        </w:rPr>
        <w:t>构设置</w:t>
      </w:r>
      <w:r>
        <w:rPr>
          <w:rFonts w:eastAsia="方正仿宋_GBK"/>
          <w:sz w:val="32"/>
          <w:szCs w:val="32"/>
        </w:rPr>
        <w:tab/>
      </w:r>
      <w:r>
        <w:rPr>
          <w:rFonts w:eastAsia="方正仿宋_GBK"/>
          <w:sz w:val="32"/>
          <w:szCs w:val="32"/>
        </w:rPr>
        <w:fldChar w:fldCharType="begin"/>
      </w:r>
      <w:r>
        <w:rPr>
          <w:rFonts w:eastAsia="方正仿宋_GBK"/>
          <w:sz w:val="32"/>
          <w:szCs w:val="32"/>
        </w:rPr>
        <w:instrText xml:space="preserve">PageRef _Toc63269306 \h</w:instrText>
      </w:r>
      <w:r>
        <w:rPr>
          <w:rFonts w:eastAsia="方正仿宋_GBK"/>
          <w:sz w:val="32"/>
          <w:szCs w:val="32"/>
        </w:rPr>
        <w:fldChar w:fldCharType="separate"/>
      </w:r>
      <w:r>
        <w:rPr>
          <w:rFonts w:hint="eastAsia" w:eastAsia="方正仿宋_GBK"/>
          <w:sz w:val="32"/>
          <w:szCs w:val="32"/>
        </w:rPr>
        <w:t>7</w:t>
      </w:r>
      <w:r>
        <w:rPr>
          <w:rFonts w:eastAsia="方正仿宋_GBK"/>
          <w:sz w:val="32"/>
          <w:szCs w:val="32"/>
        </w:rPr>
        <w:fldChar w:fldCharType="end"/>
      </w:r>
      <w:r>
        <w:rPr>
          <w:rFonts w:eastAsia="方正仿宋_GBK"/>
          <w:sz w:val="32"/>
          <w:szCs w:val="32"/>
        </w:rPr>
        <w:fldChar w:fldCharType="end"/>
      </w:r>
    </w:p>
    <w:p w14:paraId="416C0B1A">
      <w:pPr>
        <w:pStyle w:val="13"/>
        <w:tabs>
          <w:tab w:val="right" w:leader="dot" w:pos="8306"/>
          <w:tab w:val="clear" w:pos="8296"/>
        </w:tabs>
        <w:spacing w:before="0" w:line="560" w:lineRule="exact"/>
        <w:jc w:val="left"/>
        <w:rPr>
          <w:rFonts w:ascii="Times New Roman"/>
        </w:rPr>
      </w:pPr>
      <w:r>
        <w:fldChar w:fldCharType="begin"/>
      </w:r>
      <w:r>
        <w:instrText xml:space="preserve"> HYPERLINK \l "_Toc63269309" </w:instrText>
      </w:r>
      <w:r>
        <w:fldChar w:fldCharType="separate"/>
      </w:r>
      <w:r>
        <w:rPr>
          <w:rFonts w:ascii="Times New Roman" w:eastAsia="黑体"/>
          <w:sz w:val="32"/>
          <w:szCs w:val="32"/>
        </w:rPr>
        <w:t>第二部分  202</w:t>
      </w:r>
      <w:r>
        <w:rPr>
          <w:rFonts w:hint="eastAsia" w:ascii="Times New Roman" w:eastAsia="黑体"/>
          <w:sz w:val="32"/>
          <w:szCs w:val="32"/>
        </w:rPr>
        <w:t>5</w:t>
      </w:r>
      <w:r>
        <w:rPr>
          <w:rFonts w:ascii="Times New Roman" w:eastAsia="黑体"/>
          <w:sz w:val="32"/>
          <w:szCs w:val="32"/>
        </w:rPr>
        <w:t>年度部门决算情况说明</w:t>
      </w:r>
      <w:r>
        <w:rPr>
          <w:rFonts w:ascii="Times New Roman" w:eastAsia="黑体"/>
          <w:sz w:val="32"/>
          <w:szCs w:val="32"/>
        </w:rPr>
        <w:tab/>
      </w:r>
      <w:r>
        <w:rPr>
          <w:rFonts w:hint="eastAsia" w:ascii="Times New Roman" w:eastAsia="黑体"/>
          <w:sz w:val="32"/>
          <w:szCs w:val="32"/>
        </w:rPr>
        <w:t>9</w:t>
      </w:r>
      <w:r>
        <w:rPr>
          <w:rFonts w:hint="eastAsia" w:ascii="Times New Roman" w:eastAsia="黑体"/>
          <w:sz w:val="32"/>
          <w:szCs w:val="32"/>
        </w:rPr>
        <w:fldChar w:fldCharType="end"/>
      </w:r>
    </w:p>
    <w:p w14:paraId="12576B94">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"_Toc63269310" </w:instrText>
      </w:r>
      <w:r>
        <w:fldChar w:fldCharType="separate"/>
      </w:r>
      <w:r>
        <w:rPr>
          <w:rFonts w:eastAsia="方正仿宋_GBK"/>
          <w:sz w:val="32"/>
          <w:szCs w:val="32"/>
        </w:rPr>
        <w:t>一、收</w:t>
      </w:r>
      <w:r>
        <w:rPr>
          <w:rFonts w:eastAsia="方正仿宋_GBK"/>
          <w:bCs/>
          <w:sz w:val="32"/>
          <w:szCs w:val="32"/>
        </w:rPr>
        <w:t>入支出决算总体情况说明</w:t>
      </w:r>
      <w:r>
        <w:rPr>
          <w:rFonts w:eastAsia="方正仿宋_GBK"/>
          <w:sz w:val="32"/>
          <w:szCs w:val="32"/>
        </w:rPr>
        <w:tab/>
      </w:r>
      <w:r>
        <w:rPr>
          <w:rFonts w:hint="eastAsia" w:eastAsia="方正仿宋_GBK"/>
          <w:sz w:val="32"/>
          <w:szCs w:val="32"/>
        </w:rPr>
        <w:t>9</w:t>
      </w:r>
      <w:r>
        <w:rPr>
          <w:rFonts w:hint="eastAsia" w:eastAsia="方正仿宋_GBK"/>
          <w:sz w:val="32"/>
          <w:szCs w:val="32"/>
        </w:rPr>
        <w:fldChar w:fldCharType="end"/>
      </w:r>
    </w:p>
    <w:p w14:paraId="02A1DEA8">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"_Toc63269313" </w:instrText>
      </w:r>
      <w:r>
        <w:fldChar w:fldCharType="separate"/>
      </w:r>
      <w:r>
        <w:rPr>
          <w:rFonts w:eastAsia="方正仿宋_GBK"/>
          <w:sz w:val="32"/>
          <w:szCs w:val="32"/>
        </w:rPr>
        <w:t>二、收入决算情况说明</w:t>
      </w:r>
      <w:r>
        <w:rPr>
          <w:rFonts w:eastAsia="方正仿宋_GBK"/>
          <w:sz w:val="32"/>
          <w:szCs w:val="32"/>
        </w:rPr>
        <w:tab/>
      </w:r>
      <w:r>
        <w:rPr>
          <w:rFonts w:hint="eastAsia" w:eastAsia="方正仿宋_GBK"/>
          <w:sz w:val="32"/>
          <w:szCs w:val="32"/>
        </w:rPr>
        <w:t>9</w:t>
      </w:r>
      <w:r>
        <w:rPr>
          <w:rFonts w:hint="eastAsia" w:eastAsia="方正仿宋_GBK"/>
          <w:sz w:val="32"/>
          <w:szCs w:val="32"/>
        </w:rPr>
        <w:fldChar w:fldCharType="end"/>
      </w:r>
    </w:p>
    <w:p w14:paraId="7580A2AA">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"_Toc63269315" </w:instrText>
      </w:r>
      <w:r>
        <w:fldChar w:fldCharType="separate"/>
      </w:r>
      <w:r>
        <w:rPr>
          <w:rFonts w:eastAsia="方正仿宋_GBK"/>
          <w:sz w:val="32"/>
          <w:szCs w:val="32"/>
        </w:rPr>
        <w:t>三、支</w:t>
      </w:r>
      <w:r>
        <w:rPr>
          <w:rFonts w:eastAsia="方正仿宋_GBK"/>
          <w:bCs/>
          <w:sz w:val="32"/>
          <w:szCs w:val="32"/>
        </w:rPr>
        <w:t>出决算情况说明</w:t>
      </w:r>
      <w:r>
        <w:rPr>
          <w:rFonts w:eastAsia="方正仿宋_GBK"/>
          <w:sz w:val="32"/>
          <w:szCs w:val="32"/>
        </w:rPr>
        <w:tab/>
      </w:r>
      <w:r>
        <w:rPr>
          <w:rFonts w:hint="eastAsia" w:eastAsia="方正仿宋_GBK"/>
          <w:sz w:val="32"/>
          <w:szCs w:val="32"/>
        </w:rPr>
        <w:t>10</w:t>
      </w:r>
      <w:r>
        <w:rPr>
          <w:rFonts w:hint="eastAsia" w:eastAsia="方正仿宋_GBK"/>
          <w:sz w:val="32"/>
          <w:szCs w:val="32"/>
        </w:rPr>
        <w:fldChar w:fldCharType="end"/>
      </w:r>
    </w:p>
    <w:p w14:paraId="5D8D4D4D">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"_Toc63269317" </w:instrText>
      </w:r>
      <w:r>
        <w:fldChar w:fldCharType="separate"/>
      </w:r>
      <w:r>
        <w:rPr>
          <w:rFonts w:eastAsia="方正仿宋_GBK"/>
          <w:sz w:val="32"/>
          <w:szCs w:val="32"/>
        </w:rPr>
        <w:t>四、财</w:t>
      </w:r>
      <w:r>
        <w:rPr>
          <w:rFonts w:eastAsia="方正仿宋_GBK"/>
          <w:bCs/>
          <w:sz w:val="32"/>
          <w:szCs w:val="32"/>
        </w:rPr>
        <w:t>政拨款收入支出决算总体情况说明</w:t>
      </w:r>
      <w:r>
        <w:rPr>
          <w:rFonts w:eastAsia="方正仿宋_GBK"/>
          <w:sz w:val="32"/>
          <w:szCs w:val="32"/>
        </w:rPr>
        <w:tab/>
      </w:r>
      <w:r>
        <w:rPr>
          <w:rFonts w:hint="eastAsia" w:eastAsia="方正仿宋_GBK"/>
          <w:sz w:val="32"/>
          <w:szCs w:val="32"/>
        </w:rPr>
        <w:t>10</w:t>
      </w:r>
      <w:r>
        <w:rPr>
          <w:rFonts w:hint="eastAsia" w:eastAsia="方正仿宋_GBK"/>
          <w:sz w:val="32"/>
          <w:szCs w:val="32"/>
        </w:rPr>
        <w:fldChar w:fldCharType="end"/>
      </w:r>
    </w:p>
    <w:p w14:paraId="6562A093">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"_Toc63269318" </w:instrText>
      </w:r>
      <w:r>
        <w:fldChar w:fldCharType="separate"/>
      </w:r>
      <w:r>
        <w:rPr>
          <w:rFonts w:eastAsia="方正仿宋_GBK"/>
          <w:sz w:val="32"/>
          <w:szCs w:val="32"/>
        </w:rPr>
        <w:t>五、一</w:t>
      </w:r>
      <w:r>
        <w:rPr>
          <w:rFonts w:eastAsia="方正仿宋_GBK"/>
          <w:bCs/>
          <w:sz w:val="32"/>
          <w:szCs w:val="32"/>
        </w:rPr>
        <w:t>般公共预算财政拨款支出决算情况说明</w:t>
      </w:r>
      <w:bookmarkStart w:id="14" w:name="OLE_LINK1"/>
      <w:bookmarkStart w:id="15" w:name="OLE_LINK2"/>
      <w:r>
        <w:rPr>
          <w:rFonts w:eastAsia="方正仿宋_GBK"/>
          <w:sz w:val="32"/>
          <w:szCs w:val="32"/>
        </w:rPr>
        <w:tab/>
      </w:r>
      <w:bookmarkEnd w:id="14"/>
      <w:bookmarkEnd w:id="15"/>
      <w:r>
        <w:rPr>
          <w:rFonts w:eastAsia="方正仿宋_GBK"/>
          <w:sz w:val="32"/>
          <w:szCs w:val="32"/>
        </w:rPr>
        <w:fldChar w:fldCharType="begin"/>
      </w:r>
      <w:r>
        <w:rPr>
          <w:rFonts w:eastAsia="方正仿宋_GBK"/>
          <w:sz w:val="32"/>
          <w:szCs w:val="32"/>
        </w:rPr>
        <w:instrText xml:space="preserve">PageRef _Toc63269318 \h</w:instrText>
      </w:r>
      <w:r>
        <w:rPr>
          <w:rFonts w:eastAsia="方正仿宋_GBK"/>
          <w:sz w:val="32"/>
          <w:szCs w:val="32"/>
        </w:rPr>
        <w:fldChar w:fldCharType="separate"/>
      </w:r>
      <w:r>
        <w:rPr>
          <w:rFonts w:hint="eastAsia" w:eastAsia="方正仿宋_GBK"/>
          <w:sz w:val="32"/>
          <w:szCs w:val="32"/>
        </w:rPr>
        <w:t>11</w:t>
      </w:r>
    </w:p>
    <w:p w14:paraId="3225E361">
      <w:pPr>
        <w:pStyle w:val="14"/>
        <w:tabs>
          <w:tab w:val="right" w:leader="dot" w:pos="8306"/>
          <w:tab w:val="clear" w:pos="8296"/>
        </w:tabs>
        <w:spacing w:line="560" w:lineRule="exact"/>
        <w:ind w:leftChars="0"/>
        <w:jc w:val="left"/>
        <w:rPr>
          <w:rFonts w:eastAsia="方正仿宋_GBK"/>
          <w:sz w:val="32"/>
          <w:szCs w:val="32"/>
        </w:rPr>
      </w:pPr>
      <w:r>
        <w:rPr>
          <w:rFonts w:hint="eastAsia" w:eastAsia="方正仿宋_GBK"/>
          <w:sz w:val="32"/>
          <w:szCs w:val="32"/>
        </w:rPr>
        <w:t>六、</w:t>
      </w:r>
      <w:r>
        <w:rPr>
          <w:rFonts w:eastAsia="方正仿宋_GBK"/>
          <w:bCs/>
          <w:sz w:val="32"/>
          <w:szCs w:val="32"/>
        </w:rPr>
        <w:t>一般公共预算财政拨款基本支出决算情况说明</w:t>
      </w:r>
      <w:r>
        <w:rPr>
          <w:rFonts w:eastAsia="方正仿宋_GBK"/>
          <w:bCs/>
          <w:sz w:val="32"/>
          <w:szCs w:val="32"/>
        </w:rPr>
        <w:tab/>
      </w:r>
      <w:r>
        <w:rPr>
          <w:rFonts w:hint="eastAsia" w:eastAsia="方正仿宋_GBK"/>
          <w:bCs/>
          <w:sz w:val="32"/>
          <w:szCs w:val="32"/>
        </w:rPr>
        <w:t>15</w:t>
      </w:r>
      <w:r>
        <w:rPr>
          <w:rFonts w:eastAsia="方正仿宋_GBK"/>
          <w:sz w:val="32"/>
          <w:szCs w:val="32"/>
        </w:rPr>
        <w:fldChar w:fldCharType="end"/>
      </w:r>
      <w:r>
        <w:rPr>
          <w:rFonts w:eastAsia="方正仿宋_GBK"/>
          <w:sz w:val="32"/>
          <w:szCs w:val="32"/>
        </w:rPr>
        <w:fldChar w:fldCharType="end"/>
      </w:r>
    </w:p>
    <w:p w14:paraId="04BCAD72">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"_Toc63269323" </w:instrText>
      </w:r>
      <w:r>
        <w:fldChar w:fldCharType="separate"/>
      </w:r>
      <w:r>
        <w:rPr>
          <w:rFonts w:eastAsia="方正仿宋_GBK"/>
          <w:sz w:val="32"/>
          <w:szCs w:val="32"/>
        </w:rPr>
        <w:t>七、</w:t>
      </w:r>
      <w:r>
        <w:rPr>
          <w:rFonts w:eastAsia="方正仿宋_GBK"/>
          <w:bCs/>
          <w:sz w:val="32"/>
          <w:szCs w:val="32"/>
        </w:rPr>
        <w:t>财政拨款</w:t>
      </w:r>
      <w:r>
        <w:rPr>
          <w:rFonts w:hint="eastAsia" w:eastAsia="方正仿宋_GBK"/>
          <w:bCs/>
          <w:sz w:val="32"/>
          <w:szCs w:val="32"/>
        </w:rPr>
        <w:t>“</w:t>
      </w:r>
      <w:r>
        <w:rPr>
          <w:rFonts w:eastAsia="方正仿宋_GBK"/>
          <w:bCs/>
          <w:sz w:val="32"/>
          <w:szCs w:val="32"/>
        </w:rPr>
        <w:t>三公</w:t>
      </w:r>
      <w:r>
        <w:rPr>
          <w:rFonts w:hint="eastAsia" w:eastAsia="方正仿宋_GBK"/>
          <w:bCs/>
          <w:sz w:val="32"/>
          <w:szCs w:val="32"/>
        </w:rPr>
        <w:t>”</w:t>
      </w:r>
      <w:r>
        <w:rPr>
          <w:rFonts w:eastAsia="方正仿宋_GBK"/>
          <w:bCs/>
          <w:sz w:val="32"/>
          <w:szCs w:val="32"/>
        </w:rPr>
        <w:t>经费支出决算情况说明</w:t>
      </w:r>
      <w:bookmarkStart w:id="16" w:name="OLE_LINK5"/>
      <w:bookmarkStart w:id="17" w:name="OLE_LINK6"/>
      <w:r>
        <w:rPr>
          <w:rFonts w:eastAsia="方正仿宋_GBK"/>
          <w:sz w:val="32"/>
          <w:szCs w:val="32"/>
        </w:rPr>
        <w:tab/>
      </w:r>
      <w:bookmarkEnd w:id="16"/>
      <w:bookmarkEnd w:id="17"/>
      <w:r>
        <w:rPr>
          <w:rFonts w:hint="eastAsia" w:eastAsia="方正仿宋_GBK"/>
          <w:sz w:val="32"/>
          <w:szCs w:val="32"/>
        </w:rPr>
        <w:t>16</w:t>
      </w:r>
      <w:r>
        <w:rPr>
          <w:rFonts w:hint="eastAsia" w:eastAsia="方正仿宋_GBK"/>
          <w:sz w:val="32"/>
          <w:szCs w:val="32"/>
        </w:rPr>
        <w:fldChar w:fldCharType="end"/>
      </w:r>
    </w:p>
    <w:p w14:paraId="57CAEFC7">
      <w:pPr>
        <w:pStyle w:val="14"/>
        <w:tabs>
          <w:tab w:val="right" w:leader="dot" w:pos="8306"/>
          <w:tab w:val="clear" w:pos="8296"/>
        </w:tabs>
        <w:spacing w:line="560" w:lineRule="exact"/>
        <w:ind w:leftChars="0"/>
        <w:jc w:val="left"/>
        <w:rPr>
          <w:rFonts w:eastAsia="方正仿宋_GBK"/>
          <w:bCs/>
          <w:sz w:val="32"/>
          <w:szCs w:val="32"/>
        </w:rPr>
      </w:pPr>
      <w:r>
        <w:rPr>
          <w:rFonts w:hint="eastAsia" w:eastAsia="方正仿宋_GBK"/>
          <w:bCs/>
          <w:sz w:val="32"/>
          <w:szCs w:val="32"/>
        </w:rPr>
        <w:t>八、</w:t>
      </w:r>
      <w:r>
        <w:rPr>
          <w:rFonts w:eastAsia="方正仿宋_GBK"/>
          <w:bCs/>
          <w:sz w:val="32"/>
          <w:szCs w:val="32"/>
        </w:rPr>
        <w:t>政府性基金预算支出决算情况说明</w:t>
      </w:r>
      <w:r>
        <w:rPr>
          <w:rFonts w:eastAsia="方正仿宋_GBK"/>
          <w:bCs/>
          <w:sz w:val="32"/>
          <w:szCs w:val="32"/>
        </w:rPr>
        <w:tab/>
      </w:r>
      <w:r>
        <w:rPr>
          <w:rFonts w:hint="eastAsia" w:eastAsia="方正仿宋_GBK"/>
          <w:sz w:val="32"/>
          <w:szCs w:val="32"/>
        </w:rPr>
        <w:t>20</w:t>
      </w:r>
    </w:p>
    <w:p w14:paraId="0F856C16">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"_Toc63269327" </w:instrText>
      </w:r>
      <w:r>
        <w:fldChar w:fldCharType="separate"/>
      </w:r>
      <w:r>
        <w:rPr>
          <w:rFonts w:eastAsia="方正仿宋_GBK"/>
          <w:bCs/>
          <w:sz w:val="32"/>
          <w:szCs w:val="32"/>
        </w:rPr>
        <w:t>九、国有资本经营预算支出决算情况说明</w:t>
      </w:r>
      <w:r>
        <w:rPr>
          <w:rFonts w:eastAsia="方正仿宋_GBK"/>
          <w:sz w:val="32"/>
          <w:szCs w:val="32"/>
        </w:rPr>
        <w:tab/>
      </w:r>
      <w:r>
        <w:rPr>
          <w:rFonts w:hint="eastAsia" w:eastAsia="方正仿宋_GBK"/>
          <w:sz w:val="32"/>
          <w:szCs w:val="32"/>
        </w:rPr>
        <w:t>20</w:t>
      </w:r>
      <w:r>
        <w:rPr>
          <w:rFonts w:hint="eastAsia" w:eastAsia="方正仿宋_GBK"/>
          <w:sz w:val="32"/>
          <w:szCs w:val="32"/>
        </w:rPr>
        <w:fldChar w:fldCharType="end"/>
      </w:r>
    </w:p>
    <w:p w14:paraId="6E042976">
      <w:pPr>
        <w:pStyle w:val="14"/>
        <w:tabs>
          <w:tab w:val="right" w:leader="dot" w:pos="8306"/>
          <w:tab w:val="clear" w:pos="8296"/>
        </w:tabs>
        <w:spacing w:line="560" w:lineRule="exact"/>
        <w:ind w:left="0" w:leftChars="0" w:firstLine="420" w:firstLineChars="200"/>
        <w:jc w:val="left"/>
        <w:rPr>
          <w:rFonts w:eastAsia="方正仿宋_GBK"/>
          <w:sz w:val="32"/>
          <w:szCs w:val="32"/>
        </w:rPr>
      </w:pPr>
      <w:r>
        <w:fldChar w:fldCharType="begin"/>
      </w:r>
      <w:r>
        <w:instrText xml:space="preserve"> HYPERLINK \l "_Toc63269328" </w:instrText>
      </w:r>
      <w:r>
        <w:fldChar w:fldCharType="separate"/>
      </w:r>
      <w:r>
        <w:rPr>
          <w:rFonts w:eastAsia="方正仿宋_GBK"/>
          <w:bCs/>
          <w:sz w:val="32"/>
          <w:szCs w:val="32"/>
        </w:rPr>
        <w:t>十、其他重要事项的情况说明</w:t>
      </w:r>
      <w:r>
        <w:rPr>
          <w:rFonts w:eastAsia="方正仿宋_GBK"/>
          <w:sz w:val="32"/>
          <w:szCs w:val="32"/>
        </w:rPr>
        <w:tab/>
      </w:r>
      <w:r>
        <w:rPr>
          <w:rFonts w:hint="eastAsia" w:eastAsia="方正仿宋_GBK"/>
          <w:sz w:val="32"/>
          <w:szCs w:val="32"/>
        </w:rPr>
        <w:t>20</w:t>
      </w:r>
      <w:r>
        <w:rPr>
          <w:rFonts w:hint="eastAsia" w:eastAsia="方正仿宋_GBK"/>
          <w:sz w:val="32"/>
          <w:szCs w:val="32"/>
        </w:rPr>
        <w:fldChar w:fldCharType="end"/>
      </w:r>
    </w:p>
    <w:p w14:paraId="48FF59FB">
      <w:pPr>
        <w:pStyle w:val="13"/>
        <w:tabs>
          <w:tab w:val="right" w:leader="dot" w:pos="8306"/>
          <w:tab w:val="clear" w:pos="8296"/>
        </w:tabs>
        <w:spacing w:before="0" w:line="560" w:lineRule="exact"/>
        <w:jc w:val="left"/>
        <w:rPr>
          <w:rFonts w:ascii="Times New Roman"/>
        </w:rPr>
      </w:pPr>
      <w:r>
        <w:fldChar w:fldCharType="begin"/>
      </w:r>
      <w:r>
        <w:instrText xml:space="preserve"> HYPERLINK \l "_Toc63269333" </w:instrText>
      </w:r>
      <w:r>
        <w:fldChar w:fldCharType="separate"/>
      </w:r>
      <w:r>
        <w:rPr>
          <w:rFonts w:ascii="Times New Roman" w:eastAsia="黑体"/>
          <w:sz w:val="32"/>
          <w:szCs w:val="32"/>
        </w:rPr>
        <w:t>第三部分  名词解释</w:t>
      </w:r>
      <w:r>
        <w:rPr>
          <w:rFonts w:ascii="Times New Roman"/>
          <w:sz w:val="32"/>
          <w:szCs w:val="32"/>
        </w:rPr>
        <w:tab/>
      </w:r>
      <w:r>
        <w:rPr>
          <w:rFonts w:hint="eastAsia" w:ascii="Times New Roman"/>
          <w:sz w:val="32"/>
          <w:szCs w:val="32"/>
        </w:rPr>
        <w:t>22</w:t>
      </w:r>
      <w:r>
        <w:rPr>
          <w:rFonts w:hint="eastAsia" w:ascii="Times New Roman"/>
          <w:sz w:val="32"/>
          <w:szCs w:val="32"/>
        </w:rPr>
        <w:fldChar w:fldCharType="end"/>
      </w:r>
    </w:p>
    <w:p w14:paraId="0A1162F0">
      <w:pPr>
        <w:pStyle w:val="13"/>
        <w:tabs>
          <w:tab w:val="right" w:leader="dot" w:pos="8306"/>
          <w:tab w:val="clear" w:pos="8296"/>
        </w:tabs>
        <w:spacing w:before="0" w:line="560" w:lineRule="exact"/>
        <w:jc w:val="left"/>
        <w:rPr>
          <w:rFonts w:ascii="Times New Roman"/>
        </w:rPr>
      </w:pPr>
      <w:r>
        <w:fldChar w:fldCharType="begin"/>
      </w:r>
      <w:r>
        <w:instrText xml:space="preserve"> HYPERLINK \l "_Toc63269334" </w:instrText>
      </w:r>
      <w:r>
        <w:fldChar w:fldCharType="separate"/>
      </w:r>
      <w:r>
        <w:rPr>
          <w:rFonts w:ascii="Times New Roman" w:eastAsia="黑体"/>
          <w:sz w:val="32"/>
          <w:szCs w:val="32"/>
        </w:rPr>
        <w:t>第四部分  附件</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_Toc63269334 \h</w:instrText>
      </w:r>
      <w:r>
        <w:rPr>
          <w:rFonts w:ascii="Times New Roman"/>
          <w:sz w:val="32"/>
          <w:szCs w:val="32"/>
        </w:rPr>
        <w:fldChar w:fldCharType="separate"/>
      </w:r>
      <w:r>
        <w:rPr>
          <w:rFonts w:hint="eastAsia" w:ascii="Times New Roman"/>
          <w:sz w:val="32"/>
          <w:szCs w:val="32"/>
        </w:rPr>
        <w:t>27</w:t>
      </w:r>
      <w:r>
        <w:rPr>
          <w:rFonts w:ascii="Times New Roman"/>
          <w:sz w:val="32"/>
          <w:szCs w:val="32"/>
        </w:rPr>
        <w:fldChar w:fldCharType="end"/>
      </w:r>
      <w:r>
        <w:rPr>
          <w:rFonts w:ascii="Times New Roman"/>
          <w:sz w:val="32"/>
          <w:szCs w:val="32"/>
        </w:rPr>
        <w:fldChar w:fldCharType="end"/>
      </w:r>
    </w:p>
    <w:p w14:paraId="61CC4761">
      <w:pPr>
        <w:pStyle w:val="13"/>
        <w:tabs>
          <w:tab w:val="right" w:leader="dot" w:pos="8306"/>
          <w:tab w:val="clear" w:pos="8296"/>
        </w:tabs>
        <w:spacing w:before="0" w:line="560" w:lineRule="exact"/>
        <w:jc w:val="left"/>
        <w:rPr>
          <w:rFonts w:ascii="Times New Roman"/>
        </w:rPr>
      </w:pPr>
      <w:r>
        <w:fldChar w:fldCharType="begin"/>
      </w:r>
      <w:r>
        <w:instrText xml:space="preserve"> HYPERLINK \l "_Toc63269336" </w:instrText>
      </w:r>
      <w:r>
        <w:fldChar w:fldCharType="separate"/>
      </w:r>
      <w:r>
        <w:rPr>
          <w:rFonts w:ascii="Times New Roman" w:eastAsia="黑体"/>
          <w:sz w:val="32"/>
          <w:szCs w:val="32"/>
        </w:rPr>
        <w:t>第</w:t>
      </w:r>
      <w:r>
        <w:rPr>
          <w:rFonts w:ascii="Times New Roman" w:eastAsia="黑体"/>
          <w:bCs/>
          <w:sz w:val="32"/>
          <w:szCs w:val="32"/>
        </w:rPr>
        <w:t>五部分 附表</w:t>
      </w:r>
      <w:r>
        <w:rPr>
          <w:rFonts w:ascii="Times New Roman"/>
          <w:sz w:val="32"/>
          <w:szCs w:val="32"/>
        </w:rPr>
        <w:tab/>
      </w:r>
      <w:bookmarkStart w:id="18" w:name="OLE_LINK9"/>
      <w:r>
        <w:rPr>
          <w:rFonts w:ascii="Times New Roman"/>
          <w:sz w:val="32"/>
          <w:szCs w:val="32"/>
        </w:rPr>
        <w:fldChar w:fldCharType="begin"/>
      </w:r>
      <w:r>
        <w:rPr>
          <w:rFonts w:ascii="Times New Roman"/>
          <w:sz w:val="32"/>
          <w:szCs w:val="32"/>
        </w:rPr>
        <w:instrText xml:space="preserve">PageRef _Toc63269336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bookmarkEnd w:id="18"/>
      <w:r>
        <w:rPr>
          <w:rFonts w:ascii="Times New Roman"/>
          <w:sz w:val="32"/>
          <w:szCs w:val="32"/>
        </w:rPr>
        <w:fldChar w:fldCharType="end"/>
      </w:r>
    </w:p>
    <w:p w14:paraId="59AC6CF3">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"_Toc63269337" </w:instrText>
      </w:r>
      <w:r>
        <w:fldChar w:fldCharType="separate"/>
      </w:r>
      <w:r>
        <w:rPr>
          <w:rFonts w:ascii="Times New Roman" w:eastAsia="方正仿宋_GBK"/>
          <w:sz w:val="32"/>
          <w:szCs w:val="32"/>
        </w:rPr>
        <w:t>一、收入支出决算总表</w:t>
      </w:r>
      <w:r>
        <w:rPr>
          <w:rFonts w:ascii="Times New Roman"/>
          <w:sz w:val="32"/>
          <w:szCs w:val="32"/>
        </w:rPr>
        <w:tab/>
      </w:r>
      <w:r>
        <w:rPr>
          <w:rFonts w:hint="eastAsia" w:ascii="Times New Roman"/>
          <w:sz w:val="32"/>
          <w:szCs w:val="32"/>
        </w:rPr>
        <w:t>28</w:t>
      </w:r>
      <w:r>
        <w:rPr>
          <w:rFonts w:hint="eastAsia" w:ascii="Times New Roman"/>
          <w:sz w:val="32"/>
          <w:szCs w:val="32"/>
        </w:rPr>
        <w:fldChar w:fldCharType="end"/>
      </w:r>
    </w:p>
    <w:p w14:paraId="3F075028">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"_Toc63269338" </w:instrText>
      </w:r>
      <w:r>
        <w:fldChar w:fldCharType="separate"/>
      </w:r>
      <w:r>
        <w:rPr>
          <w:rFonts w:ascii="Times New Roman" w:eastAsia="方正仿宋_GBK"/>
          <w:sz w:val="32"/>
          <w:szCs w:val="32"/>
        </w:rPr>
        <w:t>二、收入决算表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_Toc63269338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54537A5A">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"_Toc63269339" </w:instrText>
      </w:r>
      <w:r>
        <w:fldChar w:fldCharType="separate"/>
      </w:r>
      <w:r>
        <w:rPr>
          <w:rFonts w:ascii="Times New Roman" w:eastAsia="方正仿宋_GBK"/>
          <w:sz w:val="32"/>
          <w:szCs w:val="32"/>
        </w:rPr>
        <w:t>三、支出决算表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_Toc63269339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0E200A7C">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"_Toc63269340" </w:instrText>
      </w:r>
      <w:r>
        <w:fldChar w:fldCharType="separate"/>
      </w:r>
      <w:r>
        <w:rPr>
          <w:rFonts w:ascii="Times New Roman" w:eastAsia="方正仿宋_GBK"/>
          <w:sz w:val="32"/>
          <w:szCs w:val="32"/>
        </w:rPr>
        <w:t>四、财政拨款收入支出决算总表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_Toc63269340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58070A65">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"_Toc63269341" </w:instrText>
      </w:r>
      <w:r>
        <w:fldChar w:fldCharType="separate"/>
      </w:r>
      <w:r>
        <w:rPr>
          <w:rFonts w:ascii="Times New Roman" w:eastAsia="方正仿宋_GBK"/>
          <w:sz w:val="32"/>
          <w:szCs w:val="32"/>
        </w:rPr>
        <w:t>五、财政拨款支出决算明细表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_Toc63269341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00D6778D">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"_Toc63269342" </w:instrText>
      </w:r>
      <w:r>
        <w:fldChar w:fldCharType="separate"/>
      </w:r>
      <w:r>
        <w:rPr>
          <w:rFonts w:ascii="Times New Roman" w:eastAsia="方正仿宋_GBK"/>
          <w:sz w:val="32"/>
          <w:szCs w:val="32"/>
        </w:rPr>
        <w:t>六、一般公共预算财政拨款支出决算表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_Toc63269342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156F92C9">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"_Toc63269343" </w:instrText>
      </w:r>
      <w:r>
        <w:fldChar w:fldCharType="separate"/>
      </w:r>
      <w:r>
        <w:rPr>
          <w:rFonts w:ascii="Times New Roman" w:eastAsia="方正仿宋_GBK"/>
          <w:sz w:val="32"/>
          <w:szCs w:val="32"/>
        </w:rPr>
        <w:t>七、一般公共预算财政拨款支出决算明细表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_Toc63269343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0572C919">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"_Toc63269344" </w:instrText>
      </w:r>
      <w:r>
        <w:fldChar w:fldCharType="separate"/>
      </w:r>
      <w:r>
        <w:rPr>
          <w:rFonts w:ascii="Times New Roman" w:eastAsia="方正仿宋_GBK"/>
          <w:sz w:val="32"/>
          <w:szCs w:val="32"/>
        </w:rPr>
        <w:t>八、一般公共预算财政拨款基本支出决算表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_Toc63269344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1D053486">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"_Toc63269345" </w:instrText>
      </w:r>
      <w:r>
        <w:fldChar w:fldCharType="separate"/>
      </w:r>
      <w:r>
        <w:rPr>
          <w:rFonts w:ascii="Times New Roman" w:eastAsia="方正仿宋_GBK"/>
          <w:sz w:val="32"/>
          <w:szCs w:val="32"/>
        </w:rPr>
        <w:t>九、一般公共预算财政拨款项目支出决算表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_Toc63269345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27C901FD">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"_Toc63269346" </w:instrText>
      </w:r>
      <w:r>
        <w:fldChar w:fldCharType="separate"/>
      </w:r>
      <w:r>
        <w:rPr>
          <w:rFonts w:ascii="Times New Roman" w:eastAsia="方正仿宋_GBK"/>
          <w:sz w:val="32"/>
          <w:szCs w:val="32"/>
        </w:rPr>
        <w:t>十、政府性基金预算财政拨款收入支出决算表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_Toc63269346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2F15A122">
      <w:pPr>
        <w:pStyle w:val="13"/>
        <w:tabs>
          <w:tab w:val="right" w:leader="dot" w:pos="8306"/>
          <w:tab w:val="clear" w:pos="8296"/>
        </w:tabs>
        <w:spacing w:before="0" w:line="560" w:lineRule="exact"/>
        <w:ind w:firstLine="560" w:firstLineChars="200"/>
        <w:jc w:val="left"/>
        <w:rPr>
          <w:rFonts w:ascii="Times New Roman"/>
          <w:sz w:val="32"/>
          <w:szCs w:val="32"/>
        </w:rPr>
      </w:pPr>
      <w:r>
        <w:fldChar w:fldCharType="begin"/>
      </w:r>
      <w:r>
        <w:instrText xml:space="preserve"> HYPERLINK \l "_Toc63269347" </w:instrText>
      </w:r>
      <w:r>
        <w:fldChar w:fldCharType="separate"/>
      </w:r>
      <w:r>
        <w:rPr>
          <w:rFonts w:ascii="Times New Roman" w:eastAsia="方正仿宋_GBK"/>
          <w:sz w:val="32"/>
          <w:szCs w:val="32"/>
        </w:rPr>
        <w:t>十一、国有资本经营预算财政拨款收入支出决算表</w:t>
      </w:r>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_Toc63269347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r>
        <w:rPr>
          <w:rFonts w:ascii="Times New Roman"/>
          <w:sz w:val="32"/>
          <w:szCs w:val="32"/>
        </w:rPr>
        <w:fldChar w:fldCharType="end"/>
      </w:r>
    </w:p>
    <w:p w14:paraId="203E03AA">
      <w:pPr>
        <w:pStyle w:val="13"/>
        <w:tabs>
          <w:tab w:val="right" w:leader="dot" w:pos="8306"/>
          <w:tab w:val="clear" w:pos="8296"/>
        </w:tabs>
        <w:spacing w:before="0" w:line="560" w:lineRule="exact"/>
        <w:ind w:firstLine="560" w:firstLineChars="200"/>
        <w:jc w:val="left"/>
        <w:rPr>
          <w:rFonts w:ascii="Times New Roman"/>
          <w:sz w:val="32"/>
          <w:szCs w:val="32"/>
        </w:rPr>
      </w:pPr>
      <w:bookmarkStart w:id="19" w:name="OLE_LINK15"/>
      <w:bookmarkStart w:id="20" w:name="OLE_LINK16"/>
      <w:r>
        <w:fldChar w:fldCharType="begin"/>
      </w:r>
      <w:r>
        <w:instrText xml:space="preserve"> HYPERLINK \l "_Toc63269348" </w:instrText>
      </w:r>
      <w:r>
        <w:fldChar w:fldCharType="separate"/>
      </w:r>
      <w:r>
        <w:rPr>
          <w:rFonts w:ascii="Times New Roman" w:eastAsia="方正仿宋_GBK"/>
          <w:sz w:val="32"/>
          <w:szCs w:val="32"/>
        </w:rPr>
        <w:t>十二、国有资本经营预算财政拨款支出决算表</w:t>
      </w:r>
      <w:bookmarkStart w:id="21" w:name="OLE_LINK13"/>
      <w:bookmarkStart w:id="22" w:name="OLE_LINK14"/>
      <w:r>
        <w:rPr>
          <w:rFonts w:ascii="Times New Roman"/>
          <w:sz w:val="32"/>
          <w:szCs w:val="32"/>
        </w:rPr>
        <w:tab/>
      </w:r>
      <w:r>
        <w:rPr>
          <w:rFonts w:ascii="Times New Roman"/>
          <w:sz w:val="32"/>
          <w:szCs w:val="32"/>
        </w:rPr>
        <w:fldChar w:fldCharType="begin"/>
      </w:r>
      <w:r>
        <w:rPr>
          <w:rFonts w:ascii="Times New Roman"/>
          <w:sz w:val="32"/>
          <w:szCs w:val="32"/>
        </w:rPr>
        <w:instrText xml:space="preserve">PageRef _Toc63269348 \h</w:instrText>
      </w:r>
      <w:r>
        <w:rPr>
          <w:rFonts w:ascii="Times New Roman"/>
          <w:sz w:val="32"/>
          <w:szCs w:val="32"/>
        </w:rPr>
        <w:fldChar w:fldCharType="separate"/>
      </w:r>
      <w:r>
        <w:rPr>
          <w:rFonts w:hint="eastAsia" w:ascii="Times New Roman"/>
          <w:sz w:val="32"/>
          <w:szCs w:val="32"/>
        </w:rPr>
        <w:t>28</w:t>
      </w:r>
      <w:r>
        <w:rPr>
          <w:rFonts w:ascii="Times New Roman"/>
          <w:sz w:val="32"/>
          <w:szCs w:val="32"/>
        </w:rPr>
        <w:fldChar w:fldCharType="end"/>
      </w:r>
      <w:bookmarkEnd w:id="21"/>
      <w:bookmarkEnd w:id="22"/>
      <w:r>
        <w:rPr>
          <w:rFonts w:ascii="Times New Roman"/>
          <w:sz w:val="32"/>
          <w:szCs w:val="32"/>
        </w:rPr>
        <w:fldChar w:fldCharType="end"/>
      </w:r>
    </w:p>
    <w:bookmarkEnd w:id="19"/>
    <w:bookmarkEnd w:id="20"/>
    <w:p w14:paraId="064FAF46">
      <w:pPr>
        <w:pStyle w:val="13"/>
        <w:spacing w:before="0" w:line="560" w:lineRule="exact"/>
        <w:ind w:firstLine="560" w:firstLineChars="200"/>
        <w:jc w:val="left"/>
        <w:rPr>
          <w:rFonts w:ascii="Times New Roman"/>
          <w:sz w:val="32"/>
          <w:szCs w:val="32"/>
        </w:rPr>
      </w:pPr>
      <w:r>
        <w:fldChar w:fldCharType="begin"/>
      </w:r>
      <w:r>
        <w:instrText xml:space="preserve"> HYPERLINK \l "_Toc63269349" </w:instrText>
      </w:r>
      <w:r>
        <w:fldChar w:fldCharType="separate"/>
      </w:r>
      <w:r>
        <w:fldChar w:fldCharType="begin"/>
      </w:r>
      <w:r>
        <w:instrText xml:space="preserve"> HYPERLINK "file:///G:\\决算资料\\2025年部门决算\\2025年决算公开\\市自规局\\攀枝花市自然资源和规划局2025年度市级单位决算公开编制说明.docx" \l "_Toc63269348" </w:instrText>
      </w:r>
      <w:r>
        <w:fldChar w:fldCharType="separate"/>
      </w:r>
      <w:r>
        <w:rPr>
          <w:rStyle w:val="18"/>
          <w:rFonts w:hint="eastAsia" w:ascii="Times New Roman" w:eastAsia="方正仿宋_GBK"/>
          <w:color w:val="auto"/>
          <w:sz w:val="32"/>
          <w:szCs w:val="32"/>
          <w:u w:val="none"/>
        </w:rPr>
        <w:t>十三、财政拨款“三公”经费支出决算表</w:t>
      </w:r>
      <w:r>
        <w:rPr>
          <w:rStyle w:val="18"/>
          <w:rFonts w:ascii="Times New Roman"/>
          <w:color w:val="auto"/>
          <w:sz w:val="32"/>
          <w:szCs w:val="32"/>
          <w:u w:val="none"/>
        </w:rPr>
        <w:tab/>
      </w:r>
      <w:r>
        <w:rPr>
          <w:rStyle w:val="18"/>
          <w:rFonts w:hint="eastAsia"/>
          <w:color w:val="auto"/>
          <w:u w:val="none"/>
        </w:rPr>
        <w:fldChar w:fldCharType="begin"/>
      </w:r>
      <w:r>
        <w:rPr>
          <w:rStyle w:val="18"/>
          <w:rFonts w:ascii="Times New Roman"/>
          <w:color w:val="auto"/>
          <w:sz w:val="32"/>
          <w:szCs w:val="32"/>
          <w:u w:val="none"/>
        </w:rPr>
        <w:instrText xml:space="preserve">PageRef _Toc63269348 \h</w:instrText>
      </w:r>
      <w:r>
        <w:rPr>
          <w:rStyle w:val="18"/>
          <w:color w:val="auto"/>
          <w:u w:val="none"/>
        </w:rPr>
        <w:fldChar w:fldCharType="separate"/>
      </w:r>
      <w:r>
        <w:rPr>
          <w:rStyle w:val="18"/>
          <w:rFonts w:ascii="Times New Roman"/>
          <w:color w:val="auto"/>
          <w:sz w:val="32"/>
          <w:szCs w:val="32"/>
          <w:u w:val="none"/>
        </w:rPr>
        <w:t>2</w:t>
      </w:r>
      <w:r>
        <w:rPr>
          <w:rStyle w:val="18"/>
          <w:rFonts w:hint="eastAsia" w:ascii="Times New Roman"/>
          <w:color w:val="auto"/>
          <w:sz w:val="32"/>
          <w:szCs w:val="32"/>
          <w:u w:val="none"/>
        </w:rPr>
        <w:t>8</w:t>
      </w:r>
      <w:r>
        <w:rPr>
          <w:rStyle w:val="18"/>
          <w:rFonts w:hint="eastAsia"/>
          <w:color w:val="auto"/>
          <w:u w:val="none"/>
        </w:rPr>
        <w:fldChar w:fldCharType="end"/>
      </w:r>
      <w:r>
        <w:rPr>
          <w:rStyle w:val="18"/>
          <w:rFonts w:hint="eastAsia"/>
          <w:color w:val="auto"/>
          <w:u w:val="none"/>
        </w:rPr>
        <w:fldChar w:fldCharType="end"/>
      </w:r>
    </w:p>
    <w:p w14:paraId="055D7606">
      <w:pPr>
        <w:pStyle w:val="13"/>
        <w:spacing w:before="0" w:line="560" w:lineRule="exact"/>
        <w:jc w:val="left"/>
        <w:rPr>
          <w:rFonts w:eastAsia="仿宋_GB2312" w:cs="仿宋_GB2312"/>
          <w:bCs/>
          <w:kern w:val="44"/>
          <w:sz w:val="32"/>
          <w:szCs w:val="32"/>
        </w:rPr>
      </w:pPr>
      <w:r>
        <w:rPr>
          <w:rFonts w:ascii="Times New Roman"/>
          <w:sz w:val="32"/>
          <w:szCs w:val="32"/>
        </w:rPr>
        <w:fldChar w:fldCharType="end"/>
      </w:r>
      <w:r>
        <w:rPr>
          <w:rFonts w:ascii="Times New Roman" w:eastAsia="仿宋_GB2312"/>
          <w:b/>
          <w:sz w:val="32"/>
          <w:szCs w:val="32"/>
        </w:rPr>
        <w:fldChar w:fldCharType="end"/>
      </w:r>
      <w:r>
        <w:rPr>
          <w:rFonts w:hint="eastAsia" w:eastAsia="仿宋_GB2312" w:cs="仿宋_GB2312"/>
          <w:b/>
          <w:sz w:val="32"/>
          <w:szCs w:val="32"/>
        </w:rPr>
        <w:br w:type="page"/>
      </w:r>
    </w:p>
    <w:p w14:paraId="15FB65C2">
      <w:pPr>
        <w:pStyle w:val="5"/>
        <w:jc w:val="center"/>
        <w:rPr>
          <w:rStyle w:val="28"/>
          <w:rFonts w:eastAsia="方正小标宋简体" w:cs="方正小标宋简体"/>
          <w:b/>
          <w:bCs w:val="0"/>
        </w:rPr>
      </w:pPr>
      <w:r>
        <w:rPr>
          <w:rFonts w:hint="eastAsia" w:eastAsia="方正小标宋简体" w:cs="方正小标宋简体"/>
          <w:b w:val="0"/>
        </w:rPr>
        <w:t xml:space="preserve">第一部分  </w:t>
      </w:r>
      <w:r>
        <w:rPr>
          <w:rStyle w:val="28"/>
          <w:rFonts w:hint="eastAsia" w:eastAsia="方正小标宋简体" w:cs="方正小标宋简体"/>
          <w:b w:val="0"/>
          <w:bCs w:val="0"/>
        </w:rPr>
        <w:t>部门概况</w:t>
      </w:r>
      <w:bookmarkEnd w:id="12"/>
      <w:bookmarkEnd w:id="13"/>
    </w:p>
    <w:p w14:paraId="5649CD03">
      <w:pPr>
        <w:widowControl/>
        <w:jc w:val="left"/>
        <w:rPr>
          <w:rFonts w:eastAsia="黑体"/>
          <w:sz w:val="32"/>
          <w:szCs w:val="32"/>
        </w:rPr>
      </w:pPr>
    </w:p>
    <w:p w14:paraId="3A9347FB">
      <w:pPr>
        <w:pStyle w:val="6"/>
        <w:rPr>
          <w:rFonts w:ascii="Times New Roman" w:hAnsi="Times New Roman" w:eastAsia="黑体"/>
          <w:b w:val="0"/>
        </w:rPr>
      </w:pPr>
      <w:bookmarkStart w:id="23" w:name="_Toc15396600"/>
      <w:bookmarkStart w:id="24" w:name="_Toc15377197"/>
      <w:r>
        <w:rPr>
          <w:rFonts w:hint="eastAsia" w:ascii="Times New Roman" w:hAnsi="Times New Roman" w:eastAsia="黑体"/>
          <w:b w:val="0"/>
        </w:rPr>
        <w:t>一、</w:t>
      </w:r>
      <w:bookmarkEnd w:id="23"/>
      <w:bookmarkEnd w:id="24"/>
      <w:r>
        <w:rPr>
          <w:rFonts w:hint="eastAsia" w:ascii="Times New Roman" w:hAnsi="Times New Roman" w:eastAsia="黑体"/>
          <w:b w:val="0"/>
        </w:rPr>
        <w:t>部门职责</w:t>
      </w:r>
    </w:p>
    <w:p w14:paraId="079BAFE2">
      <w:pPr>
        <w:ind w:firstLine="640" w:firstLineChars="200"/>
        <w:rPr>
          <w:rFonts w:eastAsia="仿宋_GB2312"/>
          <w:sz w:val="32"/>
          <w:szCs w:val="32"/>
        </w:rPr>
      </w:pPr>
      <w:r>
        <w:rPr>
          <w:rFonts w:eastAsia="仿宋_GB2312"/>
          <w:sz w:val="32"/>
          <w:szCs w:val="32"/>
        </w:rPr>
        <w:t>1.</w:t>
      </w:r>
      <w:r>
        <w:rPr>
          <w:rFonts w:hint="eastAsia" w:eastAsia="仿宋_GB2312"/>
          <w:sz w:val="32"/>
          <w:szCs w:val="32"/>
        </w:rPr>
        <w:t>按照规定权限，履行全民所有土地、矿产、森林、草原、湿地、水等自然资源资产所有者职责和所有国土空间用途管制职责。贯彻执行国家、省有关自然资源和国土空间规划及测绘等方面的法律、法规、规章，制定有关政策措施并组织实施。</w:t>
      </w:r>
    </w:p>
    <w:p w14:paraId="21DB4757">
      <w:pPr>
        <w:ind w:firstLine="640" w:firstLineChars="200"/>
        <w:rPr>
          <w:rFonts w:eastAsia="仿宋_GB2312"/>
          <w:sz w:val="32"/>
          <w:szCs w:val="32"/>
        </w:rPr>
      </w:pPr>
      <w:r>
        <w:rPr>
          <w:rFonts w:eastAsia="仿宋_GB2312"/>
          <w:sz w:val="32"/>
          <w:szCs w:val="32"/>
        </w:rPr>
        <w:t>2.</w:t>
      </w:r>
      <w:r>
        <w:rPr>
          <w:rFonts w:hint="eastAsia" w:eastAsia="仿宋_GB2312"/>
          <w:sz w:val="32"/>
          <w:szCs w:val="32"/>
        </w:rPr>
        <w:t>负责全市自然资源调查监测评价。依照自然资源调查监测评价的指标体系和统计标准，建立统一规范的自然资源调查监测评价制度。实施自然资源基础调查、专项调查和监测。负责自然资源调查监测评价成果的监督管理和信息发布。指导县级自然资源调查监测评价工作。</w:t>
      </w:r>
    </w:p>
    <w:p w14:paraId="0C7E038D">
      <w:pPr>
        <w:ind w:firstLine="640" w:firstLineChars="200"/>
        <w:rPr>
          <w:rFonts w:eastAsia="仿宋_GB2312"/>
          <w:sz w:val="32"/>
          <w:szCs w:val="32"/>
        </w:rPr>
      </w:pPr>
      <w:r>
        <w:rPr>
          <w:rFonts w:eastAsia="仿宋_GB2312"/>
          <w:sz w:val="32"/>
          <w:szCs w:val="32"/>
        </w:rPr>
        <w:t>3.</w:t>
      </w:r>
      <w:r>
        <w:rPr>
          <w:rFonts w:hint="eastAsia" w:eastAsia="仿宋_GB2312"/>
          <w:sz w:val="32"/>
          <w:szCs w:val="32"/>
        </w:rPr>
        <w:t>负责全市自然资源统一确权登记工作。组织实施各类自然资源和不动产统一确权登记、权籍调查、不动产测绘、争议调处、成果应用的制度、标准、规范。负责全市自然资源和不动产登记信息管理基础平台建设。负责自然资源和不动产登记资料收集、整理、共享、汇交管理等。指导监督自然资源和不动产确权登记工作。</w:t>
      </w:r>
    </w:p>
    <w:p w14:paraId="53445AB2">
      <w:pPr>
        <w:ind w:firstLine="640" w:firstLineChars="200"/>
        <w:rPr>
          <w:rFonts w:eastAsia="仿宋_GB2312"/>
          <w:sz w:val="32"/>
          <w:szCs w:val="32"/>
        </w:rPr>
      </w:pPr>
      <w:r>
        <w:rPr>
          <w:rFonts w:eastAsia="仿宋_GB2312"/>
          <w:sz w:val="32"/>
          <w:szCs w:val="32"/>
        </w:rPr>
        <w:t>4.</w:t>
      </w:r>
      <w:r>
        <w:rPr>
          <w:rFonts w:hint="eastAsia" w:eastAsia="仿宋_GB2312"/>
          <w:sz w:val="32"/>
          <w:szCs w:val="32"/>
        </w:rPr>
        <w:t>负责全市自然资源资产有偿使用工作。贯彻执行国家全民所有自然资源资产统计制度，负责全市全民所有自然资源资产核算。编制全民所有自然资源资产负债表，依照有关标准组织考核。按照规定权限，制定全民所有自然资源资产划拨、出让、租赁、作价出资和土地储备政策并贯彻执行，合理配置全民所有自然资源资产。负责自然资源资产价值评估管理，依法收缴相关资产收益。</w:t>
      </w:r>
    </w:p>
    <w:p w14:paraId="45BE3655">
      <w:pPr>
        <w:ind w:firstLine="640" w:firstLineChars="200"/>
        <w:rPr>
          <w:rFonts w:eastAsia="仿宋_GB2312"/>
          <w:sz w:val="32"/>
          <w:szCs w:val="32"/>
        </w:rPr>
      </w:pPr>
      <w:r>
        <w:rPr>
          <w:rFonts w:eastAsia="仿宋_GB2312"/>
          <w:sz w:val="32"/>
          <w:szCs w:val="32"/>
        </w:rPr>
        <w:t>5.</w:t>
      </w:r>
      <w:r>
        <w:rPr>
          <w:rFonts w:hint="eastAsia" w:eastAsia="仿宋_GB2312"/>
          <w:sz w:val="32"/>
          <w:szCs w:val="32"/>
        </w:rPr>
        <w:t>负责全市自然资源的合理开发利用。组织拟订自然资源发展规划和战略，制定自然资源开发利用地方标准并组织实施，建立政府公示自然资源价格体系，组织开展自然资源分等定级价格评估，开展自然资源利用评价考核，指导节约集约利用。负责自然资源市场监管。组织研究自然资源管理涉及宏观调控、区域协调和城乡统筹的政策措施。</w:t>
      </w:r>
    </w:p>
    <w:p w14:paraId="44655843">
      <w:pPr>
        <w:ind w:firstLine="640" w:firstLineChars="200"/>
        <w:rPr>
          <w:rFonts w:eastAsia="仿宋_GB2312"/>
          <w:sz w:val="32"/>
          <w:szCs w:val="32"/>
        </w:rPr>
      </w:pPr>
      <w:r>
        <w:rPr>
          <w:rFonts w:eastAsia="仿宋_GB2312"/>
          <w:sz w:val="32"/>
          <w:szCs w:val="32"/>
        </w:rPr>
        <w:t>6.</w:t>
      </w:r>
      <w:r>
        <w:rPr>
          <w:rFonts w:hint="eastAsia" w:eastAsia="仿宋_GB2312"/>
          <w:sz w:val="32"/>
          <w:szCs w:val="32"/>
        </w:rPr>
        <w:t>负责建立全市空间规划体系并监督实施。推进落实主体功能区战略和制度，组织编制并监督实施国土空间规划、城市控制性详细规划和相关专项规划。开展国土空间开发适宜性评价，建立国土空间规划实施监测、评估和预警体系。组织划定生态保护红线、永久基本农田、城市开发边界等控制线，构建节约资源和保护环境的生产、生活、生态空间布局。建立健全国土空间用途管制制度和城乡规划政策并监督实施。组织拟订并实施土地等自然资源年度利用计划。负责土地等国土空间用途转用工作。负责土地征收征用管理。指导、监督县（区）乡村规划的编制和实施。</w:t>
      </w:r>
    </w:p>
    <w:p w14:paraId="1A37B0AF">
      <w:pPr>
        <w:ind w:firstLine="640" w:firstLineChars="200"/>
        <w:rPr>
          <w:rFonts w:eastAsia="仿宋_GB2312"/>
          <w:sz w:val="32"/>
          <w:szCs w:val="32"/>
        </w:rPr>
      </w:pPr>
      <w:r>
        <w:rPr>
          <w:rFonts w:eastAsia="仿宋_GB2312"/>
          <w:sz w:val="32"/>
          <w:szCs w:val="32"/>
        </w:rPr>
        <w:t>7.</w:t>
      </w:r>
      <w:r>
        <w:rPr>
          <w:rFonts w:hint="eastAsia" w:eastAsia="仿宋_GB2312"/>
          <w:sz w:val="32"/>
          <w:szCs w:val="32"/>
        </w:rPr>
        <w:t>负责城乡规划区范围内规划实施管理和监督检查。负责核发城乡规划区范围内建设工程项目“一书三证”、临时建设工程规划批准文件，出具建设用地规划条件。负责建设工程设计方案审查、建设工程验线管理、建设工程规划核实。</w:t>
      </w:r>
    </w:p>
    <w:p w14:paraId="57E8B8C1">
      <w:pPr>
        <w:ind w:firstLine="640" w:firstLineChars="200"/>
        <w:rPr>
          <w:rFonts w:eastAsia="仿宋_GB2312"/>
          <w:sz w:val="32"/>
          <w:szCs w:val="32"/>
        </w:rPr>
      </w:pPr>
      <w:r>
        <w:rPr>
          <w:rFonts w:eastAsia="仿宋_GB2312"/>
          <w:sz w:val="32"/>
          <w:szCs w:val="32"/>
        </w:rPr>
        <w:t>8.</w:t>
      </w:r>
      <w:r>
        <w:rPr>
          <w:rFonts w:hint="eastAsia" w:eastAsia="仿宋_GB2312"/>
          <w:sz w:val="32"/>
          <w:szCs w:val="32"/>
        </w:rPr>
        <w:t>负责统筹全市国土空间生态修复。牵头组织编制全市国土空间生态修复规划并实施有关生态修复重大工程。负责开展国土空间综合整治、土地整理复垦、矿山地质环境恢复治理等工作。牵头建立和实施生态保护补偿制度，制定合理利用社会资金进行生态修复的政策措施，提出重大备选项目。</w:t>
      </w:r>
    </w:p>
    <w:p w14:paraId="2F071B13">
      <w:pPr>
        <w:ind w:firstLine="640" w:firstLineChars="200"/>
        <w:rPr>
          <w:rFonts w:eastAsia="仿宋_GB2312"/>
          <w:sz w:val="32"/>
          <w:szCs w:val="32"/>
        </w:rPr>
      </w:pPr>
      <w:r>
        <w:rPr>
          <w:rFonts w:eastAsia="仿宋_GB2312"/>
          <w:sz w:val="32"/>
          <w:szCs w:val="32"/>
        </w:rPr>
        <w:t>9.</w:t>
      </w:r>
      <w:r>
        <w:rPr>
          <w:rFonts w:hint="eastAsia" w:eastAsia="仿宋_GB2312"/>
          <w:sz w:val="32"/>
          <w:szCs w:val="32"/>
        </w:rPr>
        <w:t>负责组织实施最严格的耕地保护制度。牵头拟订并实施全市耕地保护政策，负责耕地数量、质量、生态保护。组织实施耕地保护责任目标考核和永久基本农田特殊保护。落实耕地占补平衡制度，监督占用耕地补偿制度执行情况。</w:t>
      </w:r>
    </w:p>
    <w:p w14:paraId="5C92B894">
      <w:pPr>
        <w:ind w:firstLine="640" w:firstLineChars="200"/>
        <w:rPr>
          <w:rFonts w:eastAsia="仿宋_GB2312"/>
          <w:sz w:val="32"/>
          <w:szCs w:val="32"/>
        </w:rPr>
      </w:pPr>
      <w:r>
        <w:rPr>
          <w:rFonts w:eastAsia="仿宋_GB2312"/>
          <w:sz w:val="32"/>
          <w:szCs w:val="32"/>
        </w:rPr>
        <w:t>10.</w:t>
      </w:r>
      <w:r>
        <w:rPr>
          <w:rFonts w:hint="eastAsia" w:eastAsia="仿宋_GB2312"/>
          <w:sz w:val="32"/>
          <w:szCs w:val="32"/>
        </w:rPr>
        <w:t>负责管理全市地质勘查行业和地质工作。贯彻执行地质勘查规划并监督检查执行情况。组织实施、管理全市地质调查和矿产资源勘查项目。负责地质灾害预防和治理，监督管理地下水过量开采及引发的地面沉降等地质问题。负责古生物化石的监督管理。</w:t>
      </w:r>
    </w:p>
    <w:p w14:paraId="7C9C1C0F">
      <w:pPr>
        <w:ind w:firstLine="640" w:firstLineChars="200"/>
        <w:rPr>
          <w:rFonts w:eastAsia="仿宋_GB2312"/>
          <w:sz w:val="32"/>
          <w:szCs w:val="32"/>
        </w:rPr>
      </w:pPr>
      <w:r>
        <w:rPr>
          <w:rFonts w:eastAsia="仿宋_GB2312"/>
          <w:sz w:val="32"/>
          <w:szCs w:val="32"/>
        </w:rPr>
        <w:t>11.</w:t>
      </w:r>
      <w:r>
        <w:rPr>
          <w:rFonts w:hint="eastAsia" w:eastAsia="仿宋_GB2312"/>
          <w:sz w:val="32"/>
          <w:szCs w:val="32"/>
        </w:rPr>
        <w:t>负责落实综合防灾减灾规划相关要求，组织编制并实施地质灾害防治规划和防护标准。组织、指导、协调和监督地质灾害调查评价及隐患的普查、详查、排查。组织、指导开展群测群防、专业监测和预报预警等工作，组织、指导开展地质灾害工程治理工作。承担地质灾害应急救援的技术保障工作。</w:t>
      </w:r>
    </w:p>
    <w:p w14:paraId="33595692">
      <w:pPr>
        <w:ind w:firstLine="640" w:firstLineChars="200"/>
        <w:rPr>
          <w:rFonts w:eastAsia="仿宋_GB2312"/>
          <w:sz w:val="32"/>
          <w:szCs w:val="32"/>
        </w:rPr>
      </w:pPr>
      <w:r>
        <w:rPr>
          <w:rFonts w:eastAsia="仿宋_GB2312"/>
          <w:sz w:val="32"/>
          <w:szCs w:val="32"/>
        </w:rPr>
        <w:t>12.</w:t>
      </w:r>
      <w:r>
        <w:rPr>
          <w:rFonts w:hint="eastAsia" w:eastAsia="仿宋_GB2312"/>
          <w:sz w:val="32"/>
          <w:szCs w:val="32"/>
        </w:rPr>
        <w:t>负责全市矿产资源管理工作。负责矿产资源储量管理及压覆矿产资源管理。负责矿业权管理。会同有关部门承担保护性开采的特定矿种、优势矿产的调控及相关管理工作。监督指导矿产资源合理利用和保护。</w:t>
      </w:r>
    </w:p>
    <w:p w14:paraId="342545E8">
      <w:pPr>
        <w:ind w:firstLine="640" w:firstLineChars="200"/>
        <w:rPr>
          <w:rFonts w:eastAsia="仿宋_GB2312"/>
          <w:sz w:val="32"/>
          <w:szCs w:val="32"/>
        </w:rPr>
      </w:pPr>
      <w:r>
        <w:rPr>
          <w:rFonts w:eastAsia="仿宋_GB2312"/>
          <w:sz w:val="32"/>
          <w:szCs w:val="32"/>
        </w:rPr>
        <w:t>13.</w:t>
      </w:r>
      <w:r>
        <w:rPr>
          <w:rFonts w:hint="eastAsia" w:eastAsia="仿宋_GB2312"/>
          <w:sz w:val="32"/>
          <w:szCs w:val="32"/>
        </w:rPr>
        <w:t>负责测绘地理信息管理工作。负责基础测绘和测绘行业管理。负责测绘资质资格与信用管理，监督管理测绘成果质量、地理信息安全和市场秩序。负责地理信息公共服务管理和地图管理。负责测量标志保护。</w:t>
      </w:r>
    </w:p>
    <w:p w14:paraId="13B5FCB5">
      <w:pPr>
        <w:ind w:firstLine="640" w:firstLineChars="200"/>
        <w:rPr>
          <w:rFonts w:eastAsia="仿宋_GB2312"/>
          <w:sz w:val="32"/>
          <w:szCs w:val="32"/>
        </w:rPr>
      </w:pPr>
      <w:r>
        <w:rPr>
          <w:rFonts w:eastAsia="仿宋_GB2312"/>
          <w:sz w:val="32"/>
          <w:szCs w:val="32"/>
        </w:rPr>
        <w:t>14.</w:t>
      </w:r>
      <w:r>
        <w:rPr>
          <w:rFonts w:hint="eastAsia" w:eastAsia="仿宋_GB2312"/>
          <w:sz w:val="32"/>
          <w:szCs w:val="32"/>
        </w:rPr>
        <w:t>推动全市自然资源领域科技发展和对外合作。制定并实施全市自然资源领域科技创新发展和人才培养规划、计划。组织制定地方技术标准、规程规范并监督实施。组织实施重大科技工程及创新能力建设，推进自然资源信息化和信息资料的公共服务。组织参与对外交流合作。</w:t>
      </w:r>
    </w:p>
    <w:p w14:paraId="683024E2">
      <w:pPr>
        <w:ind w:firstLine="640" w:firstLineChars="200"/>
        <w:rPr>
          <w:rFonts w:eastAsia="仿宋_GB2312"/>
          <w:sz w:val="32"/>
          <w:szCs w:val="32"/>
        </w:rPr>
      </w:pPr>
      <w:r>
        <w:rPr>
          <w:rFonts w:eastAsia="仿宋_GB2312"/>
          <w:sz w:val="32"/>
          <w:szCs w:val="32"/>
        </w:rPr>
        <w:t>15.</w:t>
      </w:r>
      <w:r>
        <w:rPr>
          <w:rFonts w:hint="eastAsia" w:eastAsia="仿宋_GB2312"/>
          <w:sz w:val="32"/>
          <w:szCs w:val="32"/>
        </w:rPr>
        <w:t>配合国家、省对县级政府落实党中央、国务院关于自然资源和国土空间规划的重大方针政策、决策部署及法律法规执行情况进行督察。按照市委、市政府安排，组织实施自然资源督察相关工作。查处全市自然资源开发利用、国土空间规划等领域重大违法案件。指导县级有关行政执法工作。</w:t>
      </w:r>
    </w:p>
    <w:p w14:paraId="64693A06">
      <w:pPr>
        <w:ind w:firstLine="640" w:firstLineChars="200"/>
        <w:rPr>
          <w:rFonts w:eastAsia="仿宋_GB2312"/>
          <w:sz w:val="32"/>
          <w:szCs w:val="32"/>
        </w:rPr>
      </w:pPr>
      <w:r>
        <w:rPr>
          <w:rFonts w:eastAsia="仿宋_GB2312"/>
          <w:sz w:val="32"/>
          <w:szCs w:val="32"/>
        </w:rPr>
        <w:t>16.</w:t>
      </w:r>
      <w:r>
        <w:rPr>
          <w:rFonts w:hint="eastAsia" w:eastAsia="仿宋_GB2312"/>
          <w:sz w:val="32"/>
          <w:szCs w:val="32"/>
        </w:rPr>
        <w:t>负责职责范围内的安全生产和职业健康、生态环境保护、审批服务便民化等工作。</w:t>
      </w:r>
    </w:p>
    <w:p w14:paraId="67FBFF88">
      <w:pPr>
        <w:ind w:firstLine="640" w:firstLineChars="200"/>
        <w:rPr>
          <w:rFonts w:eastAsia="仿宋_GB2312"/>
          <w:sz w:val="32"/>
          <w:szCs w:val="32"/>
        </w:rPr>
      </w:pPr>
      <w:r>
        <w:rPr>
          <w:rFonts w:eastAsia="仿宋_GB2312"/>
          <w:sz w:val="32"/>
          <w:szCs w:val="32"/>
        </w:rPr>
        <w:t>17.</w:t>
      </w:r>
      <w:r>
        <w:rPr>
          <w:rFonts w:hint="eastAsia" w:eastAsia="仿宋_GB2312"/>
          <w:sz w:val="32"/>
          <w:szCs w:val="32"/>
        </w:rPr>
        <w:t>统一领导和管理市林业局。</w:t>
      </w:r>
    </w:p>
    <w:p w14:paraId="10391CF1">
      <w:pPr>
        <w:ind w:firstLine="640" w:firstLineChars="200"/>
        <w:rPr>
          <w:rFonts w:eastAsia="仿宋_GB2312"/>
          <w:sz w:val="32"/>
          <w:szCs w:val="32"/>
        </w:rPr>
      </w:pPr>
      <w:r>
        <w:rPr>
          <w:rFonts w:eastAsia="仿宋_GB2312"/>
          <w:sz w:val="32"/>
          <w:szCs w:val="32"/>
        </w:rPr>
        <w:t>18.</w:t>
      </w:r>
      <w:r>
        <w:rPr>
          <w:rFonts w:hint="eastAsia" w:eastAsia="仿宋_GB2312"/>
          <w:sz w:val="32"/>
          <w:szCs w:val="32"/>
        </w:rPr>
        <w:t>完成市委、市政府交办的其他任务。</w:t>
      </w:r>
    </w:p>
    <w:p w14:paraId="0CD348A8">
      <w:pPr>
        <w:ind w:firstLine="640" w:firstLineChars="200"/>
        <w:rPr>
          <w:rFonts w:eastAsia="仿宋_GB2312"/>
          <w:sz w:val="32"/>
          <w:szCs w:val="32"/>
        </w:rPr>
      </w:pPr>
      <w:r>
        <w:rPr>
          <w:rFonts w:eastAsia="仿宋_GB2312"/>
          <w:sz w:val="32"/>
          <w:szCs w:val="32"/>
        </w:rPr>
        <w:t>19.</w:t>
      </w:r>
      <w:r>
        <w:rPr>
          <w:rFonts w:hint="eastAsia" w:eastAsia="仿宋_GB2312"/>
          <w:sz w:val="32"/>
          <w:szCs w:val="32"/>
        </w:rPr>
        <w:t>职能转变。落实关于统一行使全民所有自然资源资产所有者职责，统一行使所有国土空间用途管制和生态保护修复职责的要求，发挥国土空间规划的管控作用，为保护和合理开发利用自然资源提供科学指引。进一步加强自然资源的保护和合理开发利用，建立健全源头保护和全过程修复治理相结合的工作机制，实现整体保护、系统修复、综合治理。创新激励约束并举的制度措施，推进自然资源节约集约利用。进一步精简下放有关行政审批事项、强化监管力度，充分发挥市场对资源配置的决定性作用，更好发挥政府作用，强化自然资源管理规则、标准、制度的约束性作用，推进自然资源确权登记和评估的便民高效。</w:t>
      </w:r>
    </w:p>
    <w:p w14:paraId="29CEDCFA">
      <w:pPr>
        <w:pStyle w:val="6"/>
        <w:rPr>
          <w:rStyle w:val="29"/>
          <w:rFonts w:ascii="Times New Roman" w:hAnsi="Times New Roman"/>
          <w:b w:val="0"/>
          <w:bCs w:val="0"/>
        </w:rPr>
      </w:pPr>
      <w:bookmarkStart w:id="25" w:name="_Toc15396601"/>
      <w:bookmarkStart w:id="26" w:name="_Toc15377200"/>
      <w:r>
        <w:rPr>
          <w:rFonts w:hint="eastAsia" w:ascii="Times New Roman" w:hAnsi="Times New Roman" w:eastAsia="黑体"/>
          <w:b w:val="0"/>
        </w:rPr>
        <w:t>二、机</w:t>
      </w:r>
      <w:r>
        <w:rPr>
          <w:rStyle w:val="29"/>
          <w:rFonts w:hint="eastAsia" w:ascii="Times New Roman" w:hAnsi="Times New Roman" w:eastAsia="黑体"/>
          <w:b w:val="0"/>
          <w:bCs w:val="0"/>
        </w:rPr>
        <w:t>构设置</w:t>
      </w:r>
      <w:bookmarkEnd w:id="25"/>
      <w:bookmarkEnd w:id="26"/>
    </w:p>
    <w:p w14:paraId="312116E0">
      <w:pPr>
        <w:ind w:firstLine="800" w:firstLineChars="250"/>
        <w:rPr>
          <w:rFonts w:eastAsia="仿宋_GB2312" w:cs="仿宋_GB2312"/>
          <w:sz w:val="32"/>
          <w:szCs w:val="32"/>
        </w:rPr>
      </w:pPr>
      <w:r>
        <w:rPr>
          <w:rFonts w:hint="eastAsia" w:ascii="仿宋_GB2312" w:hAnsi="仿宋_GB2312" w:eastAsia="仿宋_GB2312" w:cs="仿宋_GB2312"/>
          <w:sz w:val="32"/>
          <w:szCs w:val="32"/>
        </w:rPr>
        <w:t>攀枝花市自然资源和规划局（本级）</w:t>
      </w:r>
      <w:r>
        <w:rPr>
          <w:rFonts w:hint="eastAsia" w:eastAsia="仿宋_GB2312" w:cs="仿宋_GB2312"/>
          <w:sz w:val="32"/>
          <w:szCs w:val="32"/>
        </w:rPr>
        <w:t>下属二级预算单位3个，其中行政单位0个，参照公务员法管理的事业单位</w:t>
      </w:r>
      <w:r>
        <w:rPr>
          <w:rFonts w:hint="eastAsia" w:eastAsia="仿宋_GB2312" w:cs="仿宋_GB2312"/>
          <w:bCs/>
          <w:sz w:val="32"/>
          <w:szCs w:val="32"/>
        </w:rPr>
        <w:t>0</w:t>
      </w:r>
      <w:r>
        <w:rPr>
          <w:rFonts w:hint="eastAsia" w:eastAsia="仿宋_GB2312" w:cs="仿宋_GB2312"/>
          <w:sz w:val="32"/>
          <w:szCs w:val="32"/>
        </w:rPr>
        <w:t>个，其他事业单位3个。</w:t>
      </w:r>
    </w:p>
    <w:p w14:paraId="5857A0A9">
      <w:pPr>
        <w:pStyle w:val="8"/>
        <w:adjustRightInd w:val="0"/>
        <w:snapToGrid w:val="0"/>
        <w:spacing w:before="93" w:line="600" w:lineRule="exact"/>
        <w:ind w:firstLine="672" w:firstLineChars="210"/>
        <w:rPr>
          <w:rFonts w:ascii="Times New Roman" w:cs="仿宋_GB2312"/>
          <w:sz w:val="32"/>
          <w:szCs w:val="32"/>
        </w:rPr>
      </w:pPr>
      <w:r>
        <w:rPr>
          <w:rFonts w:hint="eastAsia" w:ascii="Times New Roman" w:cs="仿宋_GB2312"/>
          <w:sz w:val="32"/>
          <w:szCs w:val="32"/>
        </w:rPr>
        <w:t>纳入</w:t>
      </w:r>
      <w:r>
        <w:rPr>
          <w:rFonts w:hint="eastAsia" w:hAnsi="仿宋_GB2312" w:cs="仿宋_GB2312"/>
          <w:sz w:val="32"/>
          <w:szCs w:val="32"/>
        </w:rPr>
        <w:t>攀枝花市自然资源和规划局（本级）</w:t>
      </w:r>
      <w:r>
        <w:rPr>
          <w:rFonts w:hint="eastAsia" w:ascii="Times New Roman" w:cs="仿宋_GB2312"/>
          <w:sz w:val="32"/>
          <w:szCs w:val="32"/>
        </w:rPr>
        <w:t>2025年度部门决算编制范围的二级预算单位包括：</w:t>
      </w:r>
    </w:p>
    <w:p w14:paraId="217AF8C6">
      <w:pPr>
        <w:pStyle w:val="8"/>
        <w:numPr>
          <w:ilvl w:val="0"/>
          <w:numId w:val="1"/>
        </w:numPr>
        <w:tabs>
          <w:tab w:val="left" w:pos="0"/>
        </w:tabs>
        <w:adjustRightInd w:val="0"/>
        <w:snapToGrid w:val="0"/>
        <w:spacing w:before="93" w:line="600" w:lineRule="exact"/>
        <w:outlineLvl w:val="2"/>
        <w:rPr>
          <w:rFonts w:ascii="Times New Roman"/>
          <w:sz w:val="32"/>
          <w:szCs w:val="32"/>
        </w:rPr>
      </w:pPr>
      <w:bookmarkStart w:id="27" w:name="_Toc63269307"/>
      <w:bookmarkStart w:id="28" w:name="_Toc63269261"/>
      <w:bookmarkStart w:id="29" w:name="_Toc15377433"/>
      <w:bookmarkStart w:id="30" w:name="_Toc15378449"/>
      <w:bookmarkStart w:id="31" w:name="_Toc15306276"/>
      <w:bookmarkStart w:id="32" w:name="_Toc15377202"/>
      <w:r>
        <w:rPr>
          <w:rFonts w:hint="eastAsia" w:ascii="Times New Roman"/>
          <w:sz w:val="32"/>
          <w:szCs w:val="32"/>
        </w:rPr>
        <w:t>攀枝花市国土空间生态修复与地质灾害防治中心</w:t>
      </w:r>
      <w:bookmarkEnd w:id="27"/>
      <w:bookmarkEnd w:id="28"/>
    </w:p>
    <w:bookmarkEnd w:id="29"/>
    <w:bookmarkEnd w:id="30"/>
    <w:bookmarkEnd w:id="31"/>
    <w:bookmarkEnd w:id="32"/>
    <w:p w14:paraId="323BC6CF">
      <w:pPr>
        <w:pStyle w:val="8"/>
        <w:numPr>
          <w:ilvl w:val="0"/>
          <w:numId w:val="1"/>
        </w:numPr>
        <w:adjustRightInd w:val="0"/>
        <w:snapToGrid w:val="0"/>
        <w:spacing w:before="93" w:line="600" w:lineRule="exact"/>
        <w:outlineLvl w:val="2"/>
        <w:rPr>
          <w:rFonts w:ascii="Times New Roman" w:cs="仿宋_GB2312"/>
          <w:sz w:val="32"/>
          <w:szCs w:val="32"/>
        </w:rPr>
      </w:pPr>
      <w:bookmarkStart w:id="33" w:name="_Toc15377203"/>
      <w:bookmarkStart w:id="34" w:name="_Toc15377434"/>
      <w:bookmarkStart w:id="35" w:name="_Toc15306277"/>
      <w:bookmarkStart w:id="36" w:name="_Toc15378450"/>
      <w:r>
        <w:rPr>
          <w:rFonts w:hint="eastAsia"/>
          <w:sz w:val="32"/>
          <w:szCs w:val="32"/>
        </w:rPr>
        <w:t>攀枝花市自然资源调查统计中心</w:t>
      </w:r>
    </w:p>
    <w:bookmarkEnd w:id="33"/>
    <w:bookmarkEnd w:id="34"/>
    <w:bookmarkEnd w:id="35"/>
    <w:bookmarkEnd w:id="36"/>
    <w:p w14:paraId="7570C6DB">
      <w:pPr>
        <w:pStyle w:val="8"/>
        <w:numPr>
          <w:ilvl w:val="0"/>
          <w:numId w:val="1"/>
        </w:numPr>
        <w:tabs>
          <w:tab w:val="left" w:pos="0"/>
        </w:tabs>
        <w:adjustRightInd w:val="0"/>
        <w:snapToGrid w:val="0"/>
        <w:spacing w:before="93" w:line="600" w:lineRule="exact"/>
        <w:outlineLvl w:val="2"/>
        <w:rPr>
          <w:rFonts w:ascii="Times New Roman"/>
          <w:sz w:val="32"/>
          <w:szCs w:val="32"/>
        </w:rPr>
      </w:pPr>
      <w:r>
        <w:rPr>
          <w:rFonts w:hint="eastAsia" w:ascii="Times New Roman"/>
          <w:sz w:val="32"/>
          <w:szCs w:val="32"/>
        </w:rPr>
        <w:t>攀枝花市自然资源执法保障中心</w:t>
      </w:r>
      <w:r>
        <w:rPr>
          <w:rFonts w:ascii="Times New Roman"/>
          <w:sz w:val="32"/>
          <w:szCs w:val="32"/>
        </w:rPr>
        <w:br w:type="page"/>
      </w:r>
    </w:p>
    <w:p w14:paraId="11F293EB">
      <w:pPr>
        <w:pStyle w:val="5"/>
        <w:jc w:val="center"/>
        <w:rPr>
          <w:rFonts w:eastAsia="方正小标宋简体" w:cs="方正小标宋简体"/>
          <w:b w:val="0"/>
        </w:rPr>
      </w:pPr>
      <w:bookmarkStart w:id="37" w:name="_Toc15377204"/>
      <w:bookmarkStart w:id="38" w:name="_Toc15396602"/>
      <w:r>
        <w:rPr>
          <w:rFonts w:hint="eastAsia" w:eastAsia="方正小标宋简体" w:cs="方正小标宋简体"/>
          <w:b w:val="0"/>
        </w:rPr>
        <w:t>第二部分  2025年度部门决算情况说明</w:t>
      </w:r>
      <w:bookmarkEnd w:id="37"/>
      <w:bookmarkEnd w:id="38"/>
    </w:p>
    <w:p w14:paraId="34594851"/>
    <w:p w14:paraId="143C654B">
      <w:pPr>
        <w:pStyle w:val="27"/>
        <w:spacing w:line="600" w:lineRule="exact"/>
        <w:ind w:firstLine="640"/>
        <w:outlineLvl w:val="1"/>
        <w:rPr>
          <w:rStyle w:val="29"/>
          <w:rFonts w:ascii="Times New Roman" w:hAnsi="Times New Roman" w:eastAsia="黑体"/>
          <w:b w:val="0"/>
        </w:rPr>
      </w:pPr>
      <w:bookmarkStart w:id="39" w:name="_Toc15396603"/>
      <w:bookmarkStart w:id="40" w:name="_Toc15377205"/>
      <w:r>
        <w:rPr>
          <w:rFonts w:hint="eastAsia" w:eastAsia="黑体"/>
          <w:sz w:val="32"/>
          <w:szCs w:val="32"/>
        </w:rPr>
        <w:t>一、收</w:t>
      </w:r>
      <w:r>
        <w:rPr>
          <w:rStyle w:val="29"/>
          <w:rFonts w:hint="eastAsia" w:ascii="Times New Roman" w:hAnsi="Times New Roman" w:eastAsia="黑体"/>
          <w:b w:val="0"/>
        </w:rPr>
        <w:t>入支出决算总体情况说明</w:t>
      </w:r>
      <w:bookmarkEnd w:id="39"/>
      <w:bookmarkEnd w:id="40"/>
    </w:p>
    <w:p w14:paraId="32C397B8">
      <w:pPr>
        <w:pStyle w:val="27"/>
        <w:spacing w:line="600" w:lineRule="exact"/>
        <w:ind w:firstLine="640"/>
        <w:outlineLvl w:val="1"/>
        <w:rPr>
          <w:rFonts w:eastAsia="仿宋_GB2312"/>
          <w:sz w:val="32"/>
          <w:szCs w:val="32"/>
        </w:rPr>
      </w:pPr>
      <w:r>
        <w:rPr>
          <w:rFonts w:eastAsia="仿宋_GB2312"/>
          <w:sz w:val="32"/>
          <w:szCs w:val="32"/>
        </w:rPr>
        <w:t>2025年度收入、支出总计均为3862.12万元。与上年度相比，收入、支出总计</w:t>
      </w:r>
      <w:bookmarkStart w:id="41" w:name="OLE_LINK31"/>
      <w:r>
        <w:rPr>
          <w:rFonts w:eastAsia="仿宋_GB2312"/>
          <w:sz w:val="32"/>
          <w:szCs w:val="32"/>
        </w:rPr>
        <w:t>各减少1226.36万元，下降24.1%。主要变动原因是本年度项目支出减少。</w:t>
      </w:r>
      <w:bookmarkEnd w:id="41"/>
    </w:p>
    <w:p w14:paraId="69B6A978">
      <w:pPr>
        <w:pStyle w:val="27"/>
        <w:spacing w:line="600" w:lineRule="exact"/>
        <w:outlineLvl w:val="1"/>
        <w:rPr>
          <w:rFonts w:eastAsia="仿宋_GB2312" w:cs="仿宋_GB2312"/>
          <w:sz w:val="32"/>
          <w:szCs w:val="32"/>
        </w:rPr>
      </w:pPr>
      <w:r>
        <w:drawing>
          <wp:anchor distT="0" distB="0" distL="114300" distR="114300" simplePos="0" relativeHeight="251659264" behindDoc="0" locked="0" layoutInCell="1" allowOverlap="1">
            <wp:simplePos x="0" y="0"/>
            <wp:positionH relativeFrom="column">
              <wp:posOffset>264160</wp:posOffset>
            </wp:positionH>
            <wp:positionV relativeFrom="paragraph">
              <wp:posOffset>264795</wp:posOffset>
            </wp:positionV>
            <wp:extent cx="4189730" cy="2313305"/>
            <wp:effectExtent l="0" t="0" r="20320" b="1079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31EE4571">
      <w:pPr>
        <w:pStyle w:val="27"/>
        <w:spacing w:line="600" w:lineRule="exact"/>
        <w:ind w:firstLine="640"/>
        <w:outlineLvl w:val="1"/>
        <w:rPr>
          <w:rFonts w:eastAsia="仿宋_GB2312" w:cs="仿宋_GB2312"/>
          <w:sz w:val="32"/>
          <w:szCs w:val="32"/>
        </w:rPr>
      </w:pPr>
    </w:p>
    <w:p w14:paraId="6C100430">
      <w:pPr>
        <w:pStyle w:val="27"/>
        <w:spacing w:line="600" w:lineRule="exact"/>
        <w:ind w:firstLine="640"/>
        <w:outlineLvl w:val="1"/>
        <w:rPr>
          <w:rFonts w:eastAsia="仿宋_GB2312" w:cs="仿宋_GB2312"/>
          <w:sz w:val="32"/>
          <w:szCs w:val="32"/>
        </w:rPr>
      </w:pPr>
    </w:p>
    <w:p w14:paraId="45460EDF">
      <w:pPr>
        <w:pStyle w:val="27"/>
        <w:spacing w:line="600" w:lineRule="exact"/>
        <w:ind w:firstLine="640"/>
        <w:outlineLvl w:val="1"/>
        <w:rPr>
          <w:rFonts w:eastAsia="仿宋_GB2312" w:cs="仿宋_GB2312"/>
          <w:sz w:val="32"/>
          <w:szCs w:val="32"/>
        </w:rPr>
      </w:pPr>
    </w:p>
    <w:p w14:paraId="5A58EB5A">
      <w:pPr>
        <w:pStyle w:val="27"/>
        <w:spacing w:line="600" w:lineRule="exact"/>
        <w:ind w:firstLine="640"/>
        <w:outlineLvl w:val="1"/>
        <w:rPr>
          <w:rFonts w:eastAsia="仿宋_GB2312" w:cs="仿宋_GB2312"/>
          <w:sz w:val="32"/>
          <w:szCs w:val="32"/>
        </w:rPr>
      </w:pPr>
    </w:p>
    <w:p w14:paraId="370C9994">
      <w:pPr>
        <w:pStyle w:val="27"/>
        <w:spacing w:line="600" w:lineRule="exact"/>
        <w:ind w:firstLine="640"/>
        <w:outlineLvl w:val="1"/>
        <w:rPr>
          <w:rFonts w:eastAsia="仿宋_GB2312" w:cs="仿宋_GB2312"/>
          <w:sz w:val="32"/>
          <w:szCs w:val="32"/>
        </w:rPr>
      </w:pPr>
    </w:p>
    <w:p w14:paraId="7A50F783">
      <w:pPr>
        <w:pStyle w:val="27"/>
        <w:spacing w:line="600" w:lineRule="exact"/>
        <w:ind w:firstLine="640"/>
        <w:outlineLvl w:val="1"/>
        <w:rPr>
          <w:rFonts w:eastAsia="仿宋_GB2312" w:cs="仿宋_GB2312"/>
          <w:sz w:val="32"/>
          <w:szCs w:val="32"/>
        </w:rPr>
      </w:pPr>
    </w:p>
    <w:p w14:paraId="123823C6">
      <w:pPr>
        <w:pStyle w:val="27"/>
        <w:spacing w:line="600" w:lineRule="exact"/>
        <w:ind w:firstLine="640"/>
        <w:outlineLvl w:val="1"/>
        <w:rPr>
          <w:rFonts w:eastAsia="仿宋_GB2312" w:cs="仿宋_GB2312"/>
          <w:sz w:val="32"/>
          <w:szCs w:val="32"/>
        </w:rPr>
      </w:pPr>
      <w:r>
        <w:rPr>
          <w:rFonts w:hint="eastAsia" w:eastAsia="仿宋_GB2312" w:cs="仿宋_GB2312"/>
          <w:sz w:val="32"/>
          <w:szCs w:val="32"/>
        </w:rPr>
        <w:t>（图1：收入、支出决算总计变动情况图）</w:t>
      </w:r>
    </w:p>
    <w:p w14:paraId="4728DC72">
      <w:pPr>
        <w:pStyle w:val="27"/>
        <w:spacing w:line="600" w:lineRule="exact"/>
        <w:ind w:firstLine="640"/>
        <w:outlineLvl w:val="1"/>
        <w:rPr>
          <w:rFonts w:eastAsia="黑体"/>
          <w:sz w:val="32"/>
          <w:szCs w:val="32"/>
        </w:rPr>
      </w:pPr>
      <w:bookmarkStart w:id="42" w:name="_Toc15377206"/>
      <w:bookmarkStart w:id="43" w:name="_Toc15396604"/>
      <w:r>
        <w:rPr>
          <w:rFonts w:hint="eastAsia" w:eastAsia="黑体"/>
          <w:sz w:val="32"/>
          <w:szCs w:val="32"/>
        </w:rPr>
        <w:t>二、收入决算情况说明</w:t>
      </w:r>
      <w:bookmarkEnd w:id="42"/>
      <w:bookmarkEnd w:id="43"/>
    </w:p>
    <w:p w14:paraId="1A0B0220">
      <w:pPr>
        <w:pStyle w:val="27"/>
        <w:spacing w:line="600" w:lineRule="exact"/>
        <w:ind w:firstLine="640"/>
        <w:outlineLvl w:val="1"/>
        <w:rPr>
          <w:rFonts w:eastAsia="仿宋_GB2312"/>
          <w:sz w:val="32"/>
          <w:szCs w:val="32"/>
        </w:rPr>
      </w:pPr>
      <w:r>
        <w:rPr>
          <w:rFonts w:eastAsia="仿宋_GB2312"/>
          <w:sz w:val="32"/>
          <w:szCs w:val="32"/>
        </w:rPr>
        <w:t>2025年度本年收入合计3862.12万元，其中：</w:t>
      </w:r>
      <w:bookmarkStart w:id="44" w:name="OLE_LINK30"/>
      <w:r>
        <w:rPr>
          <w:rFonts w:eastAsia="仿宋_GB2312"/>
          <w:sz w:val="32"/>
          <w:szCs w:val="32"/>
        </w:rPr>
        <w:t>一般公共预算财政拨款收入</w:t>
      </w:r>
      <w:bookmarkEnd w:id="44"/>
      <w:bookmarkStart w:id="45" w:name="OLE_LINK28"/>
      <w:bookmarkStart w:id="46" w:name="OLE_LINK29"/>
      <w:r>
        <w:rPr>
          <w:rFonts w:eastAsia="仿宋_GB2312"/>
          <w:sz w:val="32"/>
          <w:szCs w:val="32"/>
        </w:rPr>
        <w:t>3758.97</w:t>
      </w:r>
      <w:bookmarkEnd w:id="45"/>
      <w:bookmarkEnd w:id="46"/>
      <w:r>
        <w:rPr>
          <w:rFonts w:eastAsia="仿宋_GB2312"/>
          <w:sz w:val="32"/>
          <w:szCs w:val="32"/>
        </w:rPr>
        <w:t>万元，占97.3%；政府性基金预算财政拨款收入103.16万元，占2.7%。</w:t>
      </w:r>
    </w:p>
    <w:p w14:paraId="364181CC">
      <w:pPr>
        <w:pStyle w:val="27"/>
        <w:spacing w:line="600" w:lineRule="exact"/>
        <w:ind w:firstLine="640"/>
        <w:outlineLvl w:val="1"/>
        <w:rPr>
          <w:rFonts w:eastAsia="仿宋_GB2312"/>
          <w:sz w:val="32"/>
          <w:szCs w:val="32"/>
        </w:rPr>
      </w:pPr>
    </w:p>
    <w:p w14:paraId="3227937E">
      <w:pPr>
        <w:pStyle w:val="27"/>
        <w:spacing w:line="600" w:lineRule="exact"/>
        <w:ind w:firstLine="640"/>
        <w:outlineLvl w:val="1"/>
        <w:rPr>
          <w:rFonts w:eastAsia="仿宋_GB2312" w:cs="仿宋_GB2312"/>
          <w:sz w:val="32"/>
          <w:szCs w:val="32"/>
        </w:rPr>
      </w:pPr>
    </w:p>
    <w:p w14:paraId="52FD4F81">
      <w:pPr>
        <w:pStyle w:val="27"/>
        <w:spacing w:line="600" w:lineRule="exact"/>
        <w:ind w:firstLine="640"/>
        <w:outlineLvl w:val="1"/>
        <w:rPr>
          <w:rFonts w:eastAsia="仿宋_GB2312" w:cs="仿宋_GB2312"/>
          <w:sz w:val="32"/>
          <w:szCs w:val="32"/>
        </w:rPr>
      </w:pPr>
    </w:p>
    <w:p w14:paraId="61AB8292">
      <w:pPr>
        <w:pStyle w:val="27"/>
        <w:spacing w:line="600" w:lineRule="exact"/>
        <w:ind w:firstLine="640"/>
        <w:outlineLvl w:val="1"/>
        <w:rPr>
          <w:rFonts w:eastAsia="仿宋_GB2312" w:cs="仿宋_GB2312"/>
          <w:sz w:val="32"/>
          <w:szCs w:val="32"/>
        </w:rPr>
      </w:pPr>
    </w:p>
    <w:p w14:paraId="4E898678">
      <w:pPr>
        <w:pStyle w:val="27"/>
        <w:spacing w:line="600" w:lineRule="exact"/>
        <w:outlineLvl w:val="1"/>
        <w:rPr>
          <w:rFonts w:eastAsia="仿宋_GB2312" w:cs="仿宋_GB2312"/>
          <w:sz w:val="32"/>
          <w:szCs w:val="32"/>
        </w:rPr>
      </w:pPr>
      <w:r>
        <w:drawing>
          <wp:anchor distT="0" distB="0" distL="114300" distR="114300" simplePos="0" relativeHeight="251660288" behindDoc="0" locked="0" layoutInCell="1" allowOverlap="1">
            <wp:simplePos x="0" y="0"/>
            <wp:positionH relativeFrom="column">
              <wp:posOffset>264160</wp:posOffset>
            </wp:positionH>
            <wp:positionV relativeFrom="paragraph">
              <wp:posOffset>261620</wp:posOffset>
            </wp:positionV>
            <wp:extent cx="4023360" cy="2297430"/>
            <wp:effectExtent l="0" t="0" r="15240" b="26670"/>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48A1727A">
      <w:pPr>
        <w:pStyle w:val="27"/>
        <w:spacing w:line="600" w:lineRule="exact"/>
        <w:ind w:firstLine="640"/>
        <w:outlineLvl w:val="1"/>
        <w:rPr>
          <w:rFonts w:eastAsia="仿宋_GB2312" w:cs="仿宋_GB2312"/>
          <w:sz w:val="32"/>
          <w:szCs w:val="32"/>
        </w:rPr>
      </w:pPr>
    </w:p>
    <w:p w14:paraId="28670EE7">
      <w:pPr>
        <w:pStyle w:val="27"/>
        <w:spacing w:line="600" w:lineRule="exact"/>
        <w:ind w:firstLine="643"/>
        <w:outlineLvl w:val="1"/>
        <w:rPr>
          <w:rFonts w:eastAsia="仿宋_GB2312" w:cs="仿宋_GB2312"/>
          <w:b/>
          <w:bCs/>
          <w:sz w:val="32"/>
          <w:szCs w:val="32"/>
        </w:rPr>
      </w:pPr>
    </w:p>
    <w:p w14:paraId="0463F9DF">
      <w:pPr>
        <w:pStyle w:val="27"/>
        <w:spacing w:line="600" w:lineRule="exact"/>
        <w:ind w:firstLine="640"/>
        <w:outlineLvl w:val="1"/>
        <w:rPr>
          <w:rFonts w:eastAsia="仿宋_GB2312" w:cs="仿宋_GB2312"/>
          <w:sz w:val="32"/>
          <w:szCs w:val="32"/>
        </w:rPr>
      </w:pPr>
    </w:p>
    <w:p w14:paraId="6EBA7D6B">
      <w:pPr>
        <w:pStyle w:val="27"/>
        <w:spacing w:line="600" w:lineRule="exact"/>
        <w:ind w:firstLine="640"/>
        <w:outlineLvl w:val="1"/>
        <w:rPr>
          <w:rFonts w:eastAsia="仿宋_GB2312" w:cs="仿宋_GB2312"/>
          <w:sz w:val="32"/>
          <w:szCs w:val="32"/>
        </w:rPr>
      </w:pPr>
    </w:p>
    <w:p w14:paraId="6EFFD17E">
      <w:pPr>
        <w:pStyle w:val="27"/>
        <w:spacing w:line="600" w:lineRule="exact"/>
        <w:ind w:firstLine="640"/>
        <w:outlineLvl w:val="1"/>
        <w:rPr>
          <w:rFonts w:eastAsia="仿宋_GB2312" w:cs="仿宋_GB2312"/>
          <w:sz w:val="32"/>
          <w:szCs w:val="32"/>
        </w:rPr>
      </w:pPr>
    </w:p>
    <w:p w14:paraId="0E9C3304">
      <w:pPr>
        <w:pStyle w:val="27"/>
        <w:spacing w:line="600" w:lineRule="exact"/>
        <w:ind w:firstLine="640"/>
        <w:outlineLvl w:val="1"/>
        <w:rPr>
          <w:rFonts w:eastAsia="仿宋_GB2312" w:cs="仿宋_GB2312"/>
          <w:sz w:val="32"/>
          <w:szCs w:val="32"/>
        </w:rPr>
      </w:pPr>
    </w:p>
    <w:p w14:paraId="07C06EAC">
      <w:pPr>
        <w:pStyle w:val="27"/>
        <w:spacing w:line="600" w:lineRule="exact"/>
        <w:ind w:firstLine="640"/>
        <w:outlineLvl w:val="1"/>
        <w:rPr>
          <w:rFonts w:eastAsia="仿宋_GB2312" w:cs="仿宋_GB2312"/>
          <w:sz w:val="32"/>
          <w:szCs w:val="32"/>
        </w:rPr>
      </w:pPr>
      <w:r>
        <w:rPr>
          <w:rFonts w:hint="eastAsia" w:eastAsia="仿宋_GB2312" w:cs="仿宋_GB2312"/>
          <w:sz w:val="32"/>
          <w:szCs w:val="32"/>
        </w:rPr>
        <w:t>（图2：收入决算结构图）</w:t>
      </w:r>
    </w:p>
    <w:p w14:paraId="6063CD98">
      <w:pPr>
        <w:pStyle w:val="27"/>
        <w:spacing w:line="600" w:lineRule="exact"/>
        <w:ind w:firstLine="640"/>
        <w:outlineLvl w:val="1"/>
        <w:rPr>
          <w:rStyle w:val="29"/>
          <w:rFonts w:ascii="Times New Roman" w:hAnsi="Times New Roman" w:eastAsia="黑体"/>
          <w:b w:val="0"/>
        </w:rPr>
      </w:pPr>
      <w:bookmarkStart w:id="47" w:name="_Toc15377207"/>
      <w:bookmarkStart w:id="48" w:name="_Toc15396605"/>
      <w:r>
        <w:rPr>
          <w:rFonts w:hint="eastAsia" w:eastAsia="黑体"/>
          <w:sz w:val="32"/>
          <w:szCs w:val="32"/>
        </w:rPr>
        <w:t>三、支</w:t>
      </w:r>
      <w:r>
        <w:rPr>
          <w:rStyle w:val="29"/>
          <w:rFonts w:hint="eastAsia" w:ascii="Times New Roman" w:hAnsi="Times New Roman" w:eastAsia="黑体"/>
          <w:b w:val="0"/>
        </w:rPr>
        <w:t>出决算情况说明</w:t>
      </w:r>
      <w:bookmarkEnd w:id="47"/>
      <w:bookmarkEnd w:id="48"/>
    </w:p>
    <w:p w14:paraId="4F6B521E">
      <w:pPr>
        <w:pStyle w:val="27"/>
        <w:spacing w:line="600" w:lineRule="exact"/>
        <w:ind w:firstLine="640"/>
        <w:outlineLvl w:val="1"/>
        <w:rPr>
          <w:rFonts w:eastAsia="仿宋_GB2312"/>
          <w:b/>
          <w:bCs/>
          <w:sz w:val="32"/>
          <w:szCs w:val="32"/>
        </w:rPr>
      </w:pPr>
      <w:r>
        <w:rPr>
          <w:rFonts w:eastAsia="仿宋_GB2312"/>
          <w:sz w:val="32"/>
          <w:szCs w:val="32"/>
        </w:rPr>
        <w:t>2025年度本年支出合计3862.12万元，其中：基本支出2352.88万元，占60.9%；项目支出1509.24万元，占39.1%。</w:t>
      </w:r>
      <w:r>
        <w:rPr>
          <w:rFonts w:eastAsia="仿宋_GB2312"/>
          <w:b/>
          <w:bCs/>
          <w:sz w:val="32"/>
          <w:szCs w:val="32"/>
        </w:rPr>
        <w:t xml:space="preserve"> </w:t>
      </w:r>
    </w:p>
    <w:p w14:paraId="0FFB8DD6">
      <w:pPr>
        <w:pStyle w:val="27"/>
        <w:spacing w:line="600" w:lineRule="exact"/>
        <w:outlineLvl w:val="1"/>
        <w:rPr>
          <w:rFonts w:eastAsia="仿宋_GB2312" w:cs="仿宋_GB2312"/>
          <w:b/>
          <w:bCs/>
          <w:sz w:val="32"/>
          <w:szCs w:val="32"/>
        </w:rPr>
      </w:pPr>
      <w:r>
        <w:drawing>
          <wp:anchor distT="0" distB="0" distL="114300" distR="114300" simplePos="0" relativeHeight="251661312" behindDoc="0" locked="0" layoutInCell="1" allowOverlap="1">
            <wp:simplePos x="0" y="0"/>
            <wp:positionH relativeFrom="column">
              <wp:posOffset>311785</wp:posOffset>
            </wp:positionH>
            <wp:positionV relativeFrom="paragraph">
              <wp:posOffset>340995</wp:posOffset>
            </wp:positionV>
            <wp:extent cx="4110355" cy="2552065"/>
            <wp:effectExtent l="0" t="0" r="23495" b="19685"/>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4894B963">
      <w:pPr>
        <w:pStyle w:val="27"/>
        <w:spacing w:line="600" w:lineRule="exact"/>
        <w:ind w:firstLine="643"/>
        <w:outlineLvl w:val="1"/>
        <w:rPr>
          <w:rFonts w:eastAsia="仿宋_GB2312" w:cs="仿宋_GB2312"/>
          <w:b/>
          <w:bCs/>
          <w:sz w:val="32"/>
          <w:szCs w:val="32"/>
        </w:rPr>
      </w:pPr>
    </w:p>
    <w:p w14:paraId="494D7818">
      <w:pPr>
        <w:pStyle w:val="27"/>
        <w:spacing w:line="600" w:lineRule="exact"/>
        <w:ind w:firstLine="643"/>
        <w:outlineLvl w:val="1"/>
        <w:rPr>
          <w:rFonts w:eastAsia="仿宋_GB2312" w:cs="仿宋_GB2312"/>
          <w:b/>
          <w:bCs/>
          <w:sz w:val="32"/>
          <w:szCs w:val="32"/>
        </w:rPr>
      </w:pPr>
    </w:p>
    <w:p w14:paraId="5D7ED5BE">
      <w:pPr>
        <w:pStyle w:val="27"/>
        <w:spacing w:line="600" w:lineRule="exact"/>
        <w:ind w:firstLine="643"/>
        <w:outlineLvl w:val="1"/>
        <w:rPr>
          <w:rFonts w:eastAsia="仿宋_GB2312" w:cs="仿宋_GB2312"/>
          <w:b/>
          <w:bCs/>
          <w:sz w:val="32"/>
          <w:szCs w:val="32"/>
        </w:rPr>
      </w:pPr>
    </w:p>
    <w:p w14:paraId="4915BABD">
      <w:pPr>
        <w:pStyle w:val="27"/>
        <w:spacing w:line="600" w:lineRule="exact"/>
        <w:ind w:firstLine="643"/>
        <w:outlineLvl w:val="1"/>
        <w:rPr>
          <w:rFonts w:eastAsia="仿宋_GB2312" w:cs="仿宋_GB2312"/>
          <w:b/>
          <w:bCs/>
          <w:sz w:val="32"/>
          <w:szCs w:val="32"/>
        </w:rPr>
      </w:pPr>
    </w:p>
    <w:p w14:paraId="12B9F8CF">
      <w:pPr>
        <w:pStyle w:val="27"/>
        <w:spacing w:line="600" w:lineRule="exact"/>
        <w:ind w:firstLine="643"/>
        <w:outlineLvl w:val="1"/>
        <w:rPr>
          <w:rFonts w:eastAsia="仿宋_GB2312" w:cs="仿宋_GB2312"/>
          <w:b/>
          <w:bCs/>
          <w:sz w:val="32"/>
          <w:szCs w:val="32"/>
        </w:rPr>
      </w:pPr>
    </w:p>
    <w:p w14:paraId="1178E715">
      <w:pPr>
        <w:pStyle w:val="27"/>
        <w:spacing w:line="600" w:lineRule="exact"/>
        <w:ind w:firstLine="643"/>
        <w:outlineLvl w:val="1"/>
        <w:rPr>
          <w:rFonts w:eastAsia="仿宋_GB2312" w:cs="仿宋_GB2312"/>
          <w:b/>
          <w:bCs/>
          <w:sz w:val="32"/>
          <w:szCs w:val="32"/>
        </w:rPr>
      </w:pPr>
    </w:p>
    <w:p w14:paraId="57654704">
      <w:pPr>
        <w:pStyle w:val="27"/>
        <w:spacing w:line="600" w:lineRule="exact"/>
        <w:ind w:firstLine="643"/>
        <w:outlineLvl w:val="1"/>
        <w:rPr>
          <w:rFonts w:eastAsia="仿宋_GB2312" w:cs="仿宋_GB2312"/>
          <w:b/>
          <w:bCs/>
          <w:sz w:val="32"/>
          <w:szCs w:val="32"/>
        </w:rPr>
      </w:pPr>
    </w:p>
    <w:p w14:paraId="746DFB37">
      <w:pPr>
        <w:pStyle w:val="27"/>
        <w:spacing w:line="600" w:lineRule="exact"/>
        <w:ind w:firstLine="640"/>
        <w:outlineLvl w:val="1"/>
        <w:rPr>
          <w:rFonts w:eastAsia="仿宋_GB2312" w:cs="仿宋_GB2312"/>
          <w:sz w:val="32"/>
          <w:szCs w:val="32"/>
        </w:rPr>
      </w:pPr>
      <w:r>
        <w:rPr>
          <w:rFonts w:hint="eastAsia" w:eastAsia="仿宋_GB2312" w:cs="仿宋_GB2312"/>
          <w:sz w:val="32"/>
          <w:szCs w:val="32"/>
        </w:rPr>
        <w:t>（图3：支出决算结构图）</w:t>
      </w:r>
    </w:p>
    <w:p w14:paraId="47AEEFFA">
      <w:pPr>
        <w:spacing w:line="600" w:lineRule="exact"/>
        <w:ind w:firstLine="640" w:firstLineChars="200"/>
        <w:outlineLvl w:val="1"/>
        <w:rPr>
          <w:rStyle w:val="29"/>
          <w:rFonts w:ascii="Times New Roman" w:hAnsi="Times New Roman" w:eastAsia="黑体"/>
          <w:b w:val="0"/>
        </w:rPr>
      </w:pPr>
      <w:bookmarkStart w:id="49" w:name="_Toc15396606"/>
      <w:bookmarkStart w:id="50" w:name="_Toc15377208"/>
      <w:r>
        <w:rPr>
          <w:rFonts w:hint="eastAsia" w:eastAsia="黑体"/>
          <w:sz w:val="32"/>
          <w:szCs w:val="32"/>
        </w:rPr>
        <w:t>四、财</w:t>
      </w:r>
      <w:r>
        <w:rPr>
          <w:rStyle w:val="29"/>
          <w:rFonts w:hint="eastAsia" w:ascii="Times New Roman" w:hAnsi="Times New Roman" w:eastAsia="黑体"/>
          <w:b w:val="0"/>
        </w:rPr>
        <w:t>政拨款收入支出决算总体情况说明</w:t>
      </w:r>
      <w:bookmarkEnd w:id="49"/>
      <w:bookmarkEnd w:id="50"/>
    </w:p>
    <w:p w14:paraId="72172BE4">
      <w:pPr>
        <w:spacing w:line="600" w:lineRule="exact"/>
        <w:ind w:firstLine="640"/>
        <w:rPr>
          <w:rFonts w:eastAsia="仿宋_GB2312"/>
          <w:sz w:val="32"/>
          <w:szCs w:val="32"/>
        </w:rPr>
      </w:pPr>
      <w:r>
        <w:rPr>
          <w:rFonts w:eastAsia="仿宋_GB2312"/>
          <w:sz w:val="32"/>
          <w:szCs w:val="32"/>
        </w:rPr>
        <w:t>2025年度财政拨款收入、支出总计均为3862.12万元。与上年度相比，</w:t>
      </w:r>
      <w:bookmarkStart w:id="51" w:name="OLE_LINK32"/>
      <w:r>
        <w:rPr>
          <w:rFonts w:eastAsia="仿宋_GB2312"/>
          <w:sz w:val="32"/>
          <w:szCs w:val="32"/>
        </w:rPr>
        <w:t>财政拨款收入</w:t>
      </w:r>
      <w:bookmarkEnd w:id="51"/>
      <w:r>
        <w:rPr>
          <w:rFonts w:eastAsia="仿宋_GB2312"/>
          <w:sz w:val="32"/>
          <w:szCs w:val="32"/>
        </w:rPr>
        <w:t>、支出总计各减少1226.36万元，下降24.1%。主要变动原因是本年度项目支出减少。</w:t>
      </w:r>
    </w:p>
    <w:p w14:paraId="5DDF7BC0">
      <w:pPr>
        <w:pStyle w:val="2"/>
      </w:pPr>
    </w:p>
    <w:p w14:paraId="6E14EC8C">
      <w:pPr>
        <w:pStyle w:val="3"/>
        <w:ind w:left="420"/>
      </w:pPr>
      <w:r>
        <w:drawing>
          <wp:inline distT="0" distB="0" distL="0" distR="0">
            <wp:extent cx="4371975" cy="2314575"/>
            <wp:effectExtent l="0" t="0" r="9525" b="952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F85C01D">
      <w:pPr>
        <w:spacing w:line="600" w:lineRule="exact"/>
        <w:ind w:firstLine="640" w:firstLineChars="200"/>
        <w:rPr>
          <w:rFonts w:eastAsia="仿宋_GB2312" w:cs="仿宋_GB2312"/>
          <w:sz w:val="32"/>
          <w:szCs w:val="32"/>
        </w:rPr>
      </w:pPr>
      <w:r>
        <w:rPr>
          <w:rFonts w:hint="eastAsia" w:eastAsia="仿宋_GB2312" w:cs="仿宋_GB2312"/>
          <w:sz w:val="32"/>
          <w:szCs w:val="32"/>
        </w:rPr>
        <w:t>（图4：财政拨款收、支决算总计变动情况）</w:t>
      </w:r>
    </w:p>
    <w:p w14:paraId="5D348964">
      <w:pPr>
        <w:spacing w:line="600" w:lineRule="exact"/>
        <w:ind w:firstLine="640" w:firstLineChars="200"/>
        <w:outlineLvl w:val="1"/>
        <w:rPr>
          <w:rStyle w:val="29"/>
          <w:rFonts w:ascii="Times New Roman" w:hAnsi="Times New Roman" w:eastAsia="黑体"/>
          <w:b w:val="0"/>
        </w:rPr>
      </w:pPr>
      <w:bookmarkStart w:id="52" w:name="_Toc15377209"/>
      <w:bookmarkStart w:id="53" w:name="_Toc15396607"/>
      <w:r>
        <w:rPr>
          <w:rFonts w:hint="eastAsia" w:eastAsia="黑体"/>
          <w:sz w:val="32"/>
          <w:szCs w:val="32"/>
        </w:rPr>
        <w:t>五、</w:t>
      </w:r>
      <w:r>
        <w:rPr>
          <w:rFonts w:hint="eastAsia" w:eastAsia="黑体"/>
          <w:b/>
          <w:sz w:val="32"/>
          <w:szCs w:val="32"/>
        </w:rPr>
        <w:t>一</w:t>
      </w:r>
      <w:r>
        <w:rPr>
          <w:rStyle w:val="29"/>
          <w:rFonts w:hint="eastAsia" w:ascii="Times New Roman" w:hAnsi="Times New Roman" w:eastAsia="黑体"/>
          <w:b w:val="0"/>
        </w:rPr>
        <w:t>般公共预算财政拨款支出决算情况说明</w:t>
      </w:r>
      <w:bookmarkEnd w:id="52"/>
      <w:bookmarkEnd w:id="53"/>
    </w:p>
    <w:p w14:paraId="43767688">
      <w:pPr>
        <w:spacing w:line="600" w:lineRule="exact"/>
        <w:ind w:firstLine="643" w:firstLineChars="200"/>
        <w:outlineLvl w:val="2"/>
        <w:rPr>
          <w:rFonts w:eastAsia="楷体_GB2312" w:cs="楷体_GB2312"/>
          <w:b/>
          <w:sz w:val="32"/>
          <w:szCs w:val="32"/>
        </w:rPr>
      </w:pPr>
      <w:bookmarkStart w:id="54" w:name="_Toc15377210"/>
      <w:r>
        <w:rPr>
          <w:rFonts w:hint="eastAsia" w:eastAsia="楷体_GB2312" w:cs="楷体_GB2312"/>
          <w:b/>
          <w:sz w:val="32"/>
          <w:szCs w:val="32"/>
        </w:rPr>
        <w:t>（一）一般公共预算财政拨款支出决算总体情况</w:t>
      </w:r>
      <w:bookmarkEnd w:id="54"/>
    </w:p>
    <w:p w14:paraId="37C596C7">
      <w:pPr>
        <w:spacing w:line="600" w:lineRule="exact"/>
        <w:ind w:firstLine="640"/>
        <w:rPr>
          <w:rFonts w:eastAsia="仿宋_GB2312"/>
          <w:sz w:val="32"/>
          <w:szCs w:val="32"/>
        </w:rPr>
      </w:pPr>
      <w:r>
        <w:rPr>
          <w:rFonts w:eastAsia="仿宋_GB2312"/>
          <w:sz w:val="32"/>
          <w:szCs w:val="32"/>
        </w:rPr>
        <w:t>2025年度</w:t>
      </w:r>
      <w:bookmarkStart w:id="55" w:name="OLE_LINK33"/>
      <w:r>
        <w:rPr>
          <w:rFonts w:eastAsia="仿宋_GB2312"/>
          <w:sz w:val="32"/>
          <w:szCs w:val="32"/>
        </w:rPr>
        <w:t>一般公共预算财政拨款支出</w:t>
      </w:r>
      <w:bookmarkEnd w:id="55"/>
      <w:bookmarkStart w:id="56" w:name="OLE_LINK34"/>
      <w:r>
        <w:rPr>
          <w:rFonts w:eastAsia="仿宋_GB2312"/>
          <w:sz w:val="32"/>
          <w:szCs w:val="32"/>
        </w:rPr>
        <w:t>3758.97</w:t>
      </w:r>
      <w:bookmarkEnd w:id="56"/>
      <w:r>
        <w:rPr>
          <w:rFonts w:eastAsia="仿宋_GB2312"/>
          <w:sz w:val="32"/>
          <w:szCs w:val="32"/>
        </w:rPr>
        <w:t>万元，占本年支出合计的97.3%。与上年度相比，一般公共预算财政拨款支出减少1016.82万元，下降21.3%。主要变动原因是本年度财政安排一般公共预算财政拨款的项目收入减少。</w:t>
      </w:r>
    </w:p>
    <w:p w14:paraId="2AAFE7EF">
      <w:pPr>
        <w:pStyle w:val="2"/>
      </w:pPr>
    </w:p>
    <w:p w14:paraId="137FA1A7">
      <w:pPr>
        <w:pStyle w:val="3"/>
        <w:ind w:left="420"/>
        <w:rPr>
          <w:rFonts w:eastAsia="仿宋_GB2312" w:cs="仿宋_GB2312"/>
          <w:sz w:val="32"/>
        </w:rPr>
      </w:pPr>
      <w:r>
        <w:drawing>
          <wp:inline distT="0" distB="0" distL="0" distR="0">
            <wp:extent cx="4269740" cy="2560320"/>
            <wp:effectExtent l="0" t="0" r="16510" b="1143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A860DA3">
      <w:pPr>
        <w:pStyle w:val="3"/>
        <w:ind w:left="0" w:leftChars="0" w:firstLine="640"/>
      </w:pPr>
      <w:r>
        <w:rPr>
          <w:rFonts w:hint="eastAsia" w:eastAsia="仿宋_GB2312" w:cs="仿宋_GB2312"/>
          <w:sz w:val="32"/>
        </w:rPr>
        <w:t>（图5：一般公共预算财政拨款支出决算变动情况）</w:t>
      </w:r>
    </w:p>
    <w:p w14:paraId="5C650D33">
      <w:pPr>
        <w:spacing w:line="600" w:lineRule="exact"/>
        <w:ind w:firstLine="643" w:firstLineChars="200"/>
        <w:outlineLvl w:val="2"/>
        <w:rPr>
          <w:rFonts w:eastAsia="楷体_GB2312" w:cs="楷体_GB2312"/>
          <w:b/>
          <w:sz w:val="32"/>
          <w:szCs w:val="32"/>
        </w:rPr>
      </w:pPr>
      <w:bookmarkStart w:id="57" w:name="_Toc15377211"/>
      <w:r>
        <w:rPr>
          <w:rFonts w:hint="eastAsia" w:eastAsia="楷体_GB2312" w:cs="楷体_GB2312"/>
          <w:b/>
          <w:sz w:val="32"/>
          <w:szCs w:val="32"/>
        </w:rPr>
        <w:t>（二）一般公共预算财政拨款支出决算结构情况</w:t>
      </w:r>
      <w:bookmarkEnd w:id="57"/>
    </w:p>
    <w:p w14:paraId="0F1FFAC3">
      <w:pPr>
        <w:spacing w:line="600" w:lineRule="exact"/>
        <w:ind w:firstLine="640"/>
        <w:rPr>
          <w:rFonts w:eastAsia="仿宋_GB2312"/>
          <w:sz w:val="32"/>
          <w:szCs w:val="32"/>
        </w:rPr>
      </w:pPr>
      <w:r>
        <w:rPr>
          <w:rFonts w:eastAsia="仿宋_GB2312"/>
          <w:sz w:val="32"/>
          <w:szCs w:val="32"/>
        </w:rPr>
        <w:t>2025年度一般公共预算财政拨款支出3758.97万元，主要用于以下方面：</w:t>
      </w:r>
      <w:bookmarkStart w:id="58" w:name="OLE_LINK35"/>
      <w:bookmarkStart w:id="59" w:name="OLE_LINK36"/>
      <w:r>
        <w:rPr>
          <w:rFonts w:eastAsia="仿宋_GB2312"/>
          <w:sz w:val="32"/>
          <w:szCs w:val="32"/>
        </w:rPr>
        <w:t>一般公共服务支出</w:t>
      </w:r>
      <w:bookmarkEnd w:id="58"/>
      <w:bookmarkEnd w:id="59"/>
      <w:r>
        <w:rPr>
          <w:rFonts w:eastAsia="仿宋_GB2312"/>
          <w:sz w:val="32"/>
          <w:szCs w:val="32"/>
        </w:rPr>
        <w:t>13.59万元，占0.4%；</w:t>
      </w:r>
      <w:bookmarkStart w:id="60" w:name="OLE_LINK37"/>
      <w:bookmarkStart w:id="61" w:name="OLE_LINK38"/>
      <w:r>
        <w:rPr>
          <w:rFonts w:eastAsia="仿宋_GB2312"/>
          <w:sz w:val="32"/>
          <w:szCs w:val="32"/>
        </w:rPr>
        <w:t>社会保障和就业支出</w:t>
      </w:r>
      <w:bookmarkEnd w:id="60"/>
      <w:bookmarkEnd w:id="61"/>
      <w:r>
        <w:rPr>
          <w:rFonts w:eastAsia="仿宋_GB2312"/>
          <w:sz w:val="32"/>
          <w:szCs w:val="32"/>
        </w:rPr>
        <w:t>393.86万元，占10.5%；</w:t>
      </w:r>
      <w:bookmarkStart w:id="62" w:name="OLE_LINK40"/>
      <w:bookmarkStart w:id="63" w:name="OLE_LINK39"/>
      <w:r>
        <w:rPr>
          <w:rFonts w:eastAsia="仿宋_GB2312"/>
          <w:sz w:val="32"/>
          <w:szCs w:val="32"/>
        </w:rPr>
        <w:t>卫生健康支出</w:t>
      </w:r>
      <w:bookmarkEnd w:id="62"/>
      <w:bookmarkEnd w:id="63"/>
      <w:r>
        <w:rPr>
          <w:rFonts w:eastAsia="仿宋_GB2312"/>
          <w:sz w:val="32"/>
          <w:szCs w:val="32"/>
        </w:rPr>
        <w:t>110.83万元，占2.9%；</w:t>
      </w:r>
      <w:bookmarkStart w:id="64" w:name="OLE_LINK41"/>
      <w:r>
        <w:rPr>
          <w:rFonts w:eastAsia="仿宋_GB2312"/>
          <w:sz w:val="32"/>
          <w:szCs w:val="32"/>
        </w:rPr>
        <w:t>城乡社区支出</w:t>
      </w:r>
      <w:bookmarkEnd w:id="64"/>
      <w:r>
        <w:rPr>
          <w:rFonts w:eastAsia="仿宋_GB2312"/>
          <w:sz w:val="32"/>
          <w:szCs w:val="32"/>
        </w:rPr>
        <w:t>16.4万元，占0.4%；</w:t>
      </w:r>
      <w:bookmarkStart w:id="65" w:name="OLE_LINK42"/>
      <w:r>
        <w:rPr>
          <w:rFonts w:eastAsia="仿宋_GB2312"/>
          <w:sz w:val="32"/>
          <w:szCs w:val="32"/>
        </w:rPr>
        <w:t>交通运输支出</w:t>
      </w:r>
      <w:bookmarkEnd w:id="65"/>
      <w:r>
        <w:rPr>
          <w:rFonts w:eastAsia="仿宋_GB2312"/>
          <w:sz w:val="32"/>
          <w:szCs w:val="32"/>
        </w:rPr>
        <w:t>0.86万元，占0.1%；</w:t>
      </w:r>
      <w:bookmarkStart w:id="66" w:name="OLE_LINK43"/>
      <w:r>
        <w:rPr>
          <w:rFonts w:eastAsia="仿宋_GB2312"/>
          <w:sz w:val="32"/>
          <w:szCs w:val="32"/>
        </w:rPr>
        <w:t>自然资源海洋气象等支出</w:t>
      </w:r>
      <w:bookmarkEnd w:id="66"/>
      <w:r>
        <w:rPr>
          <w:rFonts w:eastAsia="仿宋_GB2312"/>
          <w:sz w:val="32"/>
          <w:szCs w:val="32"/>
        </w:rPr>
        <w:t>2716.21万元，占72.3%；</w:t>
      </w:r>
      <w:bookmarkStart w:id="67" w:name="OLE_LINK44"/>
      <w:r>
        <w:rPr>
          <w:rFonts w:eastAsia="仿宋_GB2312"/>
          <w:sz w:val="32"/>
          <w:szCs w:val="32"/>
        </w:rPr>
        <w:t>住房保障支出</w:t>
      </w:r>
      <w:bookmarkEnd w:id="67"/>
      <w:r>
        <w:rPr>
          <w:rFonts w:eastAsia="仿宋_GB2312"/>
          <w:sz w:val="32"/>
          <w:szCs w:val="32"/>
        </w:rPr>
        <w:t>152.13万元，占4%；灾害防治及应急管理支出355.08万元，占9.4%。</w:t>
      </w:r>
    </w:p>
    <w:p w14:paraId="2808A9CE">
      <w:pPr>
        <w:pStyle w:val="2"/>
      </w:pPr>
    </w:p>
    <w:p w14:paraId="3111366E">
      <w:pPr>
        <w:pStyle w:val="3"/>
        <w:ind w:left="420"/>
      </w:pPr>
      <w:r>
        <w:drawing>
          <wp:inline distT="0" distB="0" distL="0" distR="0">
            <wp:extent cx="4400550" cy="2695575"/>
            <wp:effectExtent l="0" t="0" r="19050" b="952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D38015">
      <w:pPr>
        <w:spacing w:line="600" w:lineRule="exact"/>
        <w:ind w:firstLine="640"/>
        <w:rPr>
          <w:rFonts w:eastAsia="仿宋_GB2312" w:cs="仿宋_GB2312"/>
          <w:sz w:val="32"/>
          <w:szCs w:val="32"/>
        </w:rPr>
      </w:pPr>
      <w:r>
        <w:rPr>
          <w:rFonts w:hint="eastAsia" w:eastAsia="仿宋_GB2312" w:cs="仿宋_GB2312"/>
          <w:sz w:val="32"/>
          <w:szCs w:val="32"/>
        </w:rPr>
        <w:t>（图6：一般公共预算财政拨款支出决算结构）</w:t>
      </w:r>
    </w:p>
    <w:p w14:paraId="2971E105">
      <w:pPr>
        <w:spacing w:line="600" w:lineRule="exact"/>
        <w:ind w:firstLine="643" w:firstLineChars="200"/>
        <w:outlineLvl w:val="2"/>
        <w:rPr>
          <w:rFonts w:eastAsia="楷体_GB2312" w:cs="楷体_GB2312"/>
          <w:b/>
          <w:sz w:val="32"/>
          <w:szCs w:val="32"/>
        </w:rPr>
      </w:pPr>
      <w:bookmarkStart w:id="68" w:name="_Toc15377212"/>
      <w:r>
        <w:rPr>
          <w:rFonts w:hint="eastAsia" w:eastAsia="楷体_GB2312" w:cs="楷体_GB2312"/>
          <w:b/>
          <w:sz w:val="32"/>
          <w:szCs w:val="32"/>
        </w:rPr>
        <w:t>（三）一般公共预算财政拨款支出决算具体情况</w:t>
      </w:r>
      <w:bookmarkEnd w:id="68"/>
    </w:p>
    <w:p w14:paraId="3D276D1D">
      <w:pPr>
        <w:spacing w:line="600" w:lineRule="exact"/>
        <w:ind w:firstLine="640"/>
        <w:rPr>
          <w:rFonts w:eastAsia="仿宋_GB2312"/>
          <w:sz w:val="32"/>
          <w:szCs w:val="32"/>
        </w:rPr>
      </w:pPr>
      <w:bookmarkStart w:id="69" w:name="_Toc15378460"/>
      <w:bookmarkStart w:id="70" w:name="_Toc15377213"/>
      <w:bookmarkStart w:id="71" w:name="_Toc15377444"/>
      <w:r>
        <w:rPr>
          <w:rFonts w:eastAsia="仿宋_GB2312"/>
          <w:sz w:val="32"/>
          <w:szCs w:val="32"/>
        </w:rPr>
        <w:t>2025年度一般公共预算支出决算数为3758.97万元，完成预算100%。其中：</w:t>
      </w:r>
      <w:bookmarkEnd w:id="69"/>
      <w:bookmarkEnd w:id="70"/>
      <w:bookmarkEnd w:id="71"/>
    </w:p>
    <w:p w14:paraId="0D0E99AF">
      <w:pPr>
        <w:spacing w:line="600" w:lineRule="exact"/>
        <w:ind w:firstLine="640"/>
        <w:rPr>
          <w:rFonts w:eastAsia="仿宋_GB2312"/>
          <w:sz w:val="32"/>
          <w:szCs w:val="32"/>
        </w:rPr>
      </w:pPr>
      <w:r>
        <w:rPr>
          <w:rFonts w:eastAsia="仿宋_GB2312"/>
          <w:sz w:val="32"/>
          <w:szCs w:val="32"/>
        </w:rPr>
        <w:t>1.</w:t>
      </w:r>
      <w:bookmarkStart w:id="72" w:name="OLE_LINK46"/>
      <w:bookmarkStart w:id="73" w:name="OLE_LINK45"/>
      <w:r>
        <w:rPr>
          <w:rFonts w:eastAsia="仿宋_GB2312"/>
          <w:sz w:val="32"/>
          <w:szCs w:val="32"/>
        </w:rPr>
        <w:t>一般公共服务（类）纪检监察事务（款）派驻派出机构（项）：</w:t>
      </w:r>
      <w:bookmarkEnd w:id="72"/>
      <w:bookmarkEnd w:id="73"/>
      <w:r>
        <w:rPr>
          <w:rFonts w:eastAsia="仿宋_GB2312"/>
          <w:sz w:val="32"/>
          <w:szCs w:val="32"/>
        </w:rPr>
        <w:t>支出决算为3万元，完成预算100%，决算数等于预算数。</w:t>
      </w:r>
    </w:p>
    <w:p w14:paraId="0EE8BA00">
      <w:pPr>
        <w:spacing w:line="600" w:lineRule="exact"/>
        <w:ind w:firstLine="640"/>
        <w:rPr>
          <w:rFonts w:eastAsia="仿宋_GB2312"/>
          <w:sz w:val="32"/>
          <w:szCs w:val="32"/>
        </w:rPr>
      </w:pPr>
      <w:r>
        <w:rPr>
          <w:rFonts w:eastAsia="仿宋_GB2312"/>
          <w:sz w:val="32"/>
          <w:szCs w:val="32"/>
        </w:rPr>
        <w:t>2.一般公共服务（类）组织事务（款）其他组织事务支出（项）：支出决算为10.59万元，完成预算100%，决算数等于预算数。</w:t>
      </w:r>
    </w:p>
    <w:p w14:paraId="7BA2E860">
      <w:pPr>
        <w:spacing w:line="600" w:lineRule="exact"/>
        <w:ind w:firstLine="640"/>
        <w:rPr>
          <w:rFonts w:eastAsia="仿宋_GB2312"/>
          <w:sz w:val="32"/>
          <w:szCs w:val="32"/>
        </w:rPr>
      </w:pPr>
      <w:r>
        <w:rPr>
          <w:rFonts w:eastAsia="仿宋_GB2312"/>
          <w:sz w:val="32"/>
          <w:szCs w:val="32"/>
        </w:rPr>
        <w:t>3.</w:t>
      </w:r>
      <w:bookmarkStart w:id="74" w:name="OLE_LINK47"/>
      <w:bookmarkStart w:id="75" w:name="OLE_LINK48"/>
      <w:r>
        <w:rPr>
          <w:rFonts w:eastAsia="仿宋_GB2312"/>
          <w:sz w:val="32"/>
          <w:szCs w:val="32"/>
        </w:rPr>
        <w:t>社会保障和就业支出</w:t>
      </w:r>
      <w:bookmarkEnd w:id="74"/>
      <w:bookmarkEnd w:id="75"/>
      <w:r>
        <w:rPr>
          <w:rFonts w:eastAsia="仿宋_GB2312"/>
          <w:sz w:val="32"/>
          <w:szCs w:val="32"/>
        </w:rPr>
        <w:t>（类）人力资源和社会保障管理事务（款）其他人力资源和社会保障管理事务支出（项）：支出决算为14万元，完成预算100%，决算数等于预算数。</w:t>
      </w:r>
    </w:p>
    <w:p w14:paraId="61D75D01">
      <w:pPr>
        <w:spacing w:line="600" w:lineRule="exact"/>
        <w:ind w:firstLine="640"/>
        <w:rPr>
          <w:rFonts w:eastAsia="仿宋_GB2312"/>
          <w:sz w:val="32"/>
          <w:szCs w:val="32"/>
        </w:rPr>
      </w:pPr>
      <w:r>
        <w:rPr>
          <w:rFonts w:eastAsia="仿宋_GB2312"/>
          <w:sz w:val="32"/>
          <w:szCs w:val="32"/>
        </w:rPr>
        <w:t>4.社会保障和就业支出（类）</w:t>
      </w:r>
      <w:bookmarkStart w:id="76" w:name="OLE_LINK49"/>
      <w:r>
        <w:rPr>
          <w:rFonts w:eastAsia="仿宋_GB2312"/>
          <w:sz w:val="32"/>
          <w:szCs w:val="32"/>
        </w:rPr>
        <w:t>行政事业单位养老支出</w:t>
      </w:r>
      <w:bookmarkEnd w:id="76"/>
      <w:r>
        <w:rPr>
          <w:rFonts w:eastAsia="仿宋_GB2312"/>
          <w:sz w:val="32"/>
          <w:szCs w:val="32"/>
        </w:rPr>
        <w:t>（款）行政单位离退休（项）：支出决算为140.51万元，完成预算100%，决算数等于预算数。</w:t>
      </w:r>
    </w:p>
    <w:p w14:paraId="0DE72F8E">
      <w:pPr>
        <w:spacing w:line="600" w:lineRule="exact"/>
        <w:ind w:firstLine="640"/>
        <w:rPr>
          <w:rFonts w:eastAsia="仿宋_GB2312"/>
          <w:sz w:val="32"/>
          <w:szCs w:val="32"/>
        </w:rPr>
      </w:pPr>
      <w:r>
        <w:rPr>
          <w:rFonts w:eastAsia="仿宋_GB2312"/>
          <w:sz w:val="32"/>
          <w:szCs w:val="32"/>
        </w:rPr>
        <w:t>5.</w:t>
      </w:r>
      <w:bookmarkStart w:id="77" w:name="OLE_LINK50"/>
      <w:bookmarkStart w:id="78" w:name="OLE_LINK51"/>
      <w:r>
        <w:rPr>
          <w:rFonts w:eastAsia="仿宋_GB2312"/>
          <w:sz w:val="32"/>
          <w:szCs w:val="32"/>
        </w:rPr>
        <w:t>社会保障和就业</w:t>
      </w:r>
      <w:bookmarkEnd w:id="77"/>
      <w:bookmarkEnd w:id="78"/>
      <w:r>
        <w:rPr>
          <w:rFonts w:eastAsia="仿宋_GB2312"/>
          <w:sz w:val="32"/>
          <w:szCs w:val="32"/>
        </w:rPr>
        <w:t>（类）</w:t>
      </w:r>
      <w:bookmarkStart w:id="79" w:name="OLE_LINK53"/>
      <w:r>
        <w:rPr>
          <w:rFonts w:eastAsia="仿宋_GB2312"/>
          <w:sz w:val="32"/>
          <w:szCs w:val="32"/>
        </w:rPr>
        <w:t>行政事业单位养老支出</w:t>
      </w:r>
      <w:bookmarkEnd w:id="79"/>
      <w:r>
        <w:rPr>
          <w:rFonts w:eastAsia="仿宋_GB2312"/>
          <w:sz w:val="32"/>
          <w:szCs w:val="32"/>
        </w:rPr>
        <w:t>（款）事业单位离退休（项）：支出决算为24.48万元，完成预算100%，决算数等于预算数。</w:t>
      </w:r>
    </w:p>
    <w:p w14:paraId="69BD62A3">
      <w:pPr>
        <w:spacing w:line="600" w:lineRule="exact"/>
        <w:ind w:firstLine="640"/>
        <w:rPr>
          <w:rFonts w:eastAsia="仿宋_GB2312"/>
          <w:sz w:val="32"/>
          <w:szCs w:val="32"/>
        </w:rPr>
      </w:pPr>
      <w:bookmarkStart w:id="80" w:name="OLE_LINK54"/>
      <w:bookmarkStart w:id="81" w:name="OLE_LINK55"/>
      <w:r>
        <w:rPr>
          <w:rFonts w:eastAsia="仿宋_GB2312"/>
          <w:sz w:val="32"/>
          <w:szCs w:val="32"/>
        </w:rPr>
        <w:t>6.社会保障和就业（类）行政事业单位养老支出（款）机关事业单位基本养老保险缴费支出（项）：支出决算为188.9万元，完成预算100%，决算数等于预算数。</w:t>
      </w:r>
    </w:p>
    <w:bookmarkEnd w:id="80"/>
    <w:bookmarkEnd w:id="81"/>
    <w:p w14:paraId="5E6E09CD">
      <w:pPr>
        <w:spacing w:line="600" w:lineRule="exact"/>
        <w:ind w:firstLine="640"/>
        <w:rPr>
          <w:rFonts w:eastAsia="仿宋_GB2312"/>
          <w:sz w:val="32"/>
          <w:szCs w:val="32"/>
        </w:rPr>
      </w:pPr>
      <w:bookmarkStart w:id="82" w:name="OLE_LINK56"/>
      <w:r>
        <w:rPr>
          <w:rFonts w:eastAsia="仿宋_GB2312"/>
          <w:sz w:val="32"/>
          <w:szCs w:val="32"/>
        </w:rPr>
        <w:t>7.社会保障和就业（类）行政事业单位养老支出（款）机关事业单位职业年金缴费支出（项）：支出决算为25.49万元，完成预算100%，决算数等于预算数。</w:t>
      </w:r>
    </w:p>
    <w:bookmarkEnd w:id="82"/>
    <w:p w14:paraId="25FDBA4C">
      <w:pPr>
        <w:spacing w:line="600" w:lineRule="exact"/>
        <w:ind w:firstLine="640"/>
        <w:rPr>
          <w:rFonts w:eastAsia="仿宋_GB2312"/>
          <w:sz w:val="32"/>
          <w:szCs w:val="32"/>
        </w:rPr>
      </w:pPr>
      <w:bookmarkStart w:id="83" w:name="OLE_LINK57"/>
      <w:r>
        <w:rPr>
          <w:rFonts w:eastAsia="仿宋_GB2312"/>
          <w:sz w:val="32"/>
          <w:szCs w:val="32"/>
        </w:rPr>
        <w:t>8.社会保障和就业（类）社会福利（款）儿童福利（项）：支出决算为0.48万元，完成预算100%，决算数等于预算数。</w:t>
      </w:r>
    </w:p>
    <w:bookmarkEnd w:id="83"/>
    <w:p w14:paraId="47ABADCC">
      <w:pPr>
        <w:spacing w:line="600" w:lineRule="exact"/>
        <w:ind w:firstLine="640"/>
        <w:rPr>
          <w:rFonts w:eastAsia="仿宋_GB2312"/>
          <w:sz w:val="32"/>
          <w:szCs w:val="32"/>
        </w:rPr>
      </w:pPr>
      <w:bookmarkStart w:id="84" w:name="OLE_LINK59"/>
      <w:bookmarkStart w:id="85" w:name="OLE_LINK58"/>
      <w:r>
        <w:rPr>
          <w:rFonts w:eastAsia="仿宋_GB2312"/>
          <w:sz w:val="32"/>
          <w:szCs w:val="32"/>
        </w:rPr>
        <w:t>9.卫生健康支出（类）行政事业单位医疗（款）行政单位医疗（项）：支出决算为81.55万元，完成预算100%，决算数等于预算数。</w:t>
      </w:r>
    </w:p>
    <w:bookmarkEnd w:id="84"/>
    <w:bookmarkEnd w:id="85"/>
    <w:p w14:paraId="0BE4FE1F">
      <w:pPr>
        <w:pStyle w:val="2"/>
      </w:pPr>
    </w:p>
    <w:p w14:paraId="7E4D4CF8">
      <w:pPr>
        <w:spacing w:line="600" w:lineRule="exact"/>
        <w:ind w:firstLine="640"/>
        <w:rPr>
          <w:rFonts w:eastAsia="仿宋_GB2312"/>
          <w:sz w:val="32"/>
          <w:szCs w:val="32"/>
        </w:rPr>
      </w:pPr>
      <w:r>
        <w:rPr>
          <w:rFonts w:eastAsia="仿宋_GB2312"/>
          <w:sz w:val="32"/>
          <w:szCs w:val="32"/>
        </w:rPr>
        <w:t>10.卫生健康支出（类）行政事业单位医疗（款）事业单位医疗（项）：支出决算为18.58万元，完成预算100%，决算数等于预算数。</w:t>
      </w:r>
    </w:p>
    <w:p w14:paraId="5F4C36D0">
      <w:pPr>
        <w:spacing w:line="600" w:lineRule="exact"/>
        <w:ind w:firstLine="640"/>
        <w:rPr>
          <w:rFonts w:eastAsia="仿宋_GB2312"/>
          <w:sz w:val="32"/>
          <w:szCs w:val="32"/>
        </w:rPr>
      </w:pPr>
      <w:r>
        <w:rPr>
          <w:rFonts w:eastAsia="仿宋_GB2312"/>
          <w:sz w:val="32"/>
          <w:szCs w:val="32"/>
        </w:rPr>
        <w:t>11.卫生健康支出（类）行政事业单位医疗（款）公务员医疗补助（项）：支出决算为10.69万元，完成预算100%，决算数等于预算数。</w:t>
      </w:r>
    </w:p>
    <w:p w14:paraId="3A9FB86F">
      <w:pPr>
        <w:spacing w:line="600" w:lineRule="exact"/>
        <w:ind w:firstLine="640"/>
        <w:rPr>
          <w:rFonts w:eastAsia="仿宋_GB2312"/>
          <w:sz w:val="32"/>
          <w:szCs w:val="32"/>
        </w:rPr>
      </w:pPr>
      <w:r>
        <w:rPr>
          <w:rFonts w:eastAsia="仿宋_GB2312"/>
          <w:sz w:val="32"/>
          <w:szCs w:val="32"/>
        </w:rPr>
        <w:t>12.卫生健康支出（类）行政事业单位医疗（款）其他行政事业单位医疗支出（项）：支出决算为0.01万元，完成预算100%，决算数等于预算数。</w:t>
      </w:r>
    </w:p>
    <w:p w14:paraId="3945E3C8">
      <w:pPr>
        <w:spacing w:line="600" w:lineRule="exact"/>
        <w:ind w:firstLine="640"/>
        <w:rPr>
          <w:rFonts w:eastAsia="仿宋_GB2312"/>
          <w:sz w:val="32"/>
          <w:szCs w:val="32"/>
        </w:rPr>
      </w:pPr>
      <w:r>
        <w:rPr>
          <w:rFonts w:eastAsia="仿宋_GB2312"/>
          <w:sz w:val="32"/>
          <w:szCs w:val="32"/>
        </w:rPr>
        <w:t>13.城乡社区支出（类）城乡社区公共设施（款）其他城乡社区公共设施支出（项）：支出决算为16.4万元，完成预算100%，决算数等于预算数。</w:t>
      </w:r>
    </w:p>
    <w:p w14:paraId="00EAE717">
      <w:pPr>
        <w:spacing w:line="600" w:lineRule="exact"/>
        <w:ind w:firstLine="640"/>
        <w:rPr>
          <w:rFonts w:eastAsia="仿宋_GB2312"/>
          <w:sz w:val="32"/>
          <w:szCs w:val="32"/>
        </w:rPr>
      </w:pPr>
      <w:r>
        <w:rPr>
          <w:rFonts w:eastAsia="仿宋_GB2312"/>
          <w:sz w:val="32"/>
          <w:szCs w:val="32"/>
        </w:rPr>
        <w:t>14.交通运输支出（类）公路水路运输（款）行政运行（项）：支出决算为0.86万元，完成预算100%，决算数等于预算数。</w:t>
      </w:r>
    </w:p>
    <w:p w14:paraId="3398671A">
      <w:pPr>
        <w:spacing w:line="600" w:lineRule="exact"/>
        <w:ind w:firstLine="640"/>
        <w:rPr>
          <w:rFonts w:eastAsia="仿宋_GB2312"/>
          <w:sz w:val="32"/>
          <w:szCs w:val="32"/>
        </w:rPr>
      </w:pPr>
      <w:r>
        <w:rPr>
          <w:rFonts w:eastAsia="仿宋_GB2312"/>
          <w:sz w:val="32"/>
          <w:szCs w:val="32"/>
        </w:rPr>
        <w:t>15.</w:t>
      </w:r>
      <w:bookmarkStart w:id="86" w:name="OLE_LINK60"/>
      <w:r>
        <w:rPr>
          <w:rFonts w:eastAsia="仿宋_GB2312"/>
          <w:sz w:val="32"/>
          <w:szCs w:val="32"/>
        </w:rPr>
        <w:t>自然资源海洋气象等支出（类）自然资源事务（款）</w:t>
      </w:r>
      <w:bookmarkEnd w:id="86"/>
      <w:r>
        <w:rPr>
          <w:rFonts w:eastAsia="仿宋_GB2312"/>
          <w:sz w:val="32"/>
          <w:szCs w:val="32"/>
        </w:rPr>
        <w:t>行政运行（项）：支出决算为1398.02万元，完成预算100%，决算数等于预算数。</w:t>
      </w:r>
    </w:p>
    <w:p w14:paraId="7E8CCAFB">
      <w:pPr>
        <w:spacing w:line="600" w:lineRule="exact"/>
        <w:ind w:firstLine="640"/>
        <w:rPr>
          <w:rFonts w:eastAsia="仿宋_GB2312"/>
          <w:sz w:val="32"/>
          <w:szCs w:val="32"/>
        </w:rPr>
      </w:pPr>
      <w:r>
        <w:rPr>
          <w:rFonts w:eastAsia="仿宋_GB2312"/>
          <w:sz w:val="32"/>
          <w:szCs w:val="32"/>
        </w:rPr>
        <w:t>16.</w:t>
      </w:r>
      <w:bookmarkStart w:id="87" w:name="OLE_LINK61"/>
      <w:bookmarkStart w:id="88" w:name="OLE_LINK62"/>
      <w:r>
        <w:rPr>
          <w:rFonts w:eastAsia="仿宋_GB2312"/>
          <w:sz w:val="32"/>
          <w:szCs w:val="32"/>
        </w:rPr>
        <w:t>自然资源海洋气象等支出（类）自然资源事务（款）</w:t>
      </w:r>
      <w:bookmarkEnd w:id="87"/>
      <w:bookmarkEnd w:id="88"/>
      <w:r>
        <w:rPr>
          <w:rFonts w:eastAsia="仿宋_GB2312"/>
          <w:sz w:val="32"/>
          <w:szCs w:val="32"/>
        </w:rPr>
        <w:t>自然资源规划及管理（项）：支出决算为323.83万元，完成预算100%，决算数等于预算数。</w:t>
      </w:r>
    </w:p>
    <w:p w14:paraId="78C0109D">
      <w:pPr>
        <w:spacing w:line="600" w:lineRule="exact"/>
        <w:ind w:firstLine="640"/>
        <w:rPr>
          <w:rFonts w:eastAsia="仿宋_GB2312"/>
          <w:sz w:val="32"/>
          <w:szCs w:val="32"/>
        </w:rPr>
      </w:pPr>
      <w:r>
        <w:rPr>
          <w:rFonts w:eastAsia="仿宋_GB2312"/>
          <w:sz w:val="32"/>
          <w:szCs w:val="32"/>
        </w:rPr>
        <w:t>17.</w:t>
      </w:r>
      <w:bookmarkStart w:id="89" w:name="OLE_LINK63"/>
      <w:r>
        <w:rPr>
          <w:rFonts w:eastAsia="仿宋_GB2312"/>
          <w:sz w:val="32"/>
          <w:szCs w:val="32"/>
        </w:rPr>
        <w:t>自然资源海洋气象等支出（类）自然资源事务（款）</w:t>
      </w:r>
      <w:bookmarkEnd w:id="89"/>
      <w:r>
        <w:rPr>
          <w:rFonts w:eastAsia="仿宋_GB2312"/>
          <w:sz w:val="32"/>
          <w:szCs w:val="32"/>
        </w:rPr>
        <w:t>自然资源利用与保护（项）：支出决算为30万元，完成预算100%，决算数等于预算数。</w:t>
      </w:r>
    </w:p>
    <w:p w14:paraId="436148D0">
      <w:pPr>
        <w:spacing w:line="600" w:lineRule="exact"/>
        <w:ind w:firstLine="640"/>
        <w:rPr>
          <w:rFonts w:eastAsia="仿宋_GB2312"/>
          <w:sz w:val="32"/>
          <w:szCs w:val="32"/>
        </w:rPr>
      </w:pPr>
      <w:r>
        <w:rPr>
          <w:rFonts w:eastAsia="仿宋_GB2312"/>
          <w:sz w:val="32"/>
          <w:szCs w:val="32"/>
        </w:rPr>
        <w:t>18.</w:t>
      </w:r>
      <w:bookmarkStart w:id="90" w:name="OLE_LINK64"/>
      <w:bookmarkStart w:id="91" w:name="OLE_LINK65"/>
      <w:r>
        <w:rPr>
          <w:rFonts w:eastAsia="仿宋_GB2312"/>
          <w:sz w:val="32"/>
          <w:szCs w:val="32"/>
        </w:rPr>
        <w:t>自然资源海洋气象等支出（类）自然资源事务（款）</w:t>
      </w:r>
      <w:bookmarkEnd w:id="90"/>
      <w:bookmarkEnd w:id="91"/>
      <w:r>
        <w:rPr>
          <w:rFonts w:eastAsia="仿宋_GB2312"/>
          <w:sz w:val="32"/>
          <w:szCs w:val="32"/>
        </w:rPr>
        <w:t>自然资源调查与确权登记（项）：支出决算为69.58万元，完成预算100%，决算数等于预算数。</w:t>
      </w:r>
    </w:p>
    <w:p w14:paraId="43B12E39">
      <w:pPr>
        <w:spacing w:line="600" w:lineRule="exact"/>
        <w:ind w:firstLine="640"/>
        <w:rPr>
          <w:rFonts w:eastAsia="仿宋_GB2312"/>
          <w:sz w:val="32"/>
          <w:szCs w:val="32"/>
        </w:rPr>
      </w:pPr>
      <w:r>
        <w:rPr>
          <w:rFonts w:eastAsia="仿宋_GB2312"/>
          <w:sz w:val="32"/>
          <w:szCs w:val="32"/>
        </w:rPr>
        <w:t>19.</w:t>
      </w:r>
      <w:bookmarkStart w:id="92" w:name="OLE_LINK66"/>
      <w:r>
        <w:rPr>
          <w:rFonts w:eastAsia="仿宋_GB2312"/>
          <w:sz w:val="32"/>
          <w:szCs w:val="32"/>
        </w:rPr>
        <w:t>自然资源海洋气象等支出（类）自然资源事务</w:t>
      </w:r>
      <w:bookmarkEnd w:id="92"/>
      <w:r>
        <w:rPr>
          <w:rFonts w:eastAsia="仿宋_GB2312"/>
          <w:sz w:val="32"/>
          <w:szCs w:val="32"/>
        </w:rPr>
        <w:t>（款）地质勘查与矿产资源管理（项）：支出决算为227.91万元，完成预算100%，决算数等于预算数。</w:t>
      </w:r>
    </w:p>
    <w:p w14:paraId="3F94954F">
      <w:pPr>
        <w:spacing w:line="600" w:lineRule="exact"/>
        <w:ind w:firstLine="640"/>
        <w:rPr>
          <w:rFonts w:eastAsia="仿宋_GB2312"/>
          <w:sz w:val="32"/>
          <w:szCs w:val="32"/>
        </w:rPr>
      </w:pPr>
      <w:r>
        <w:rPr>
          <w:rFonts w:eastAsia="仿宋_GB2312"/>
          <w:sz w:val="32"/>
          <w:szCs w:val="32"/>
        </w:rPr>
        <w:t>20.</w:t>
      </w:r>
      <w:bookmarkStart w:id="93" w:name="OLE_LINK67"/>
      <w:r>
        <w:rPr>
          <w:rFonts w:eastAsia="仿宋_GB2312"/>
          <w:sz w:val="32"/>
          <w:szCs w:val="32"/>
        </w:rPr>
        <w:t>自然资源海洋气象等支出（类）自然资源事务</w:t>
      </w:r>
      <w:bookmarkEnd w:id="93"/>
      <w:r>
        <w:rPr>
          <w:rFonts w:eastAsia="仿宋_GB2312"/>
          <w:sz w:val="32"/>
          <w:szCs w:val="32"/>
        </w:rPr>
        <w:t>（款）基础测绘与地理信息监管（项）：支出决算为5万元，完成预算100%，决算数等于预算数。</w:t>
      </w:r>
    </w:p>
    <w:p w14:paraId="5F5B492E">
      <w:pPr>
        <w:spacing w:line="600" w:lineRule="exact"/>
        <w:ind w:firstLine="640"/>
        <w:rPr>
          <w:rFonts w:eastAsia="仿宋_GB2312"/>
          <w:sz w:val="32"/>
          <w:szCs w:val="32"/>
        </w:rPr>
      </w:pPr>
      <w:r>
        <w:rPr>
          <w:rFonts w:eastAsia="仿宋_GB2312"/>
          <w:sz w:val="32"/>
          <w:szCs w:val="32"/>
        </w:rPr>
        <w:t>21.自然资源海洋气象等支出（类）自然资源事务（款）事业运行（项）：支出决算为294.66万元，完成预算100%，决算数等于预算数。</w:t>
      </w:r>
    </w:p>
    <w:p w14:paraId="666E89FB">
      <w:pPr>
        <w:spacing w:line="600" w:lineRule="exact"/>
        <w:ind w:firstLine="640"/>
        <w:rPr>
          <w:rFonts w:eastAsia="仿宋_GB2312"/>
          <w:sz w:val="32"/>
          <w:szCs w:val="32"/>
        </w:rPr>
      </w:pPr>
      <w:r>
        <w:rPr>
          <w:rFonts w:eastAsia="仿宋_GB2312"/>
          <w:sz w:val="32"/>
          <w:szCs w:val="32"/>
        </w:rPr>
        <w:t>22.自然资源海洋气象等支出（类）自然资源事务（款）其他自然资源事务支出（项）：支出决算为367.22万元，完成预算100%，决算数等于预算数。</w:t>
      </w:r>
    </w:p>
    <w:p w14:paraId="2CDEF7E2">
      <w:pPr>
        <w:spacing w:line="600" w:lineRule="exact"/>
        <w:ind w:firstLine="640"/>
        <w:rPr>
          <w:rFonts w:eastAsia="仿宋_GB2312"/>
          <w:sz w:val="32"/>
          <w:szCs w:val="32"/>
        </w:rPr>
      </w:pPr>
      <w:r>
        <w:rPr>
          <w:rFonts w:eastAsia="仿宋_GB2312"/>
          <w:sz w:val="32"/>
          <w:szCs w:val="32"/>
        </w:rPr>
        <w:t>23.住房保障支出（类）住房改革支出（款）住房公积金（项）：支出决算为152.13万元，完成预算100%，决算数等于预算数。</w:t>
      </w:r>
    </w:p>
    <w:p w14:paraId="072CB70D">
      <w:pPr>
        <w:spacing w:line="600" w:lineRule="exact"/>
        <w:ind w:firstLine="640"/>
        <w:rPr>
          <w:rFonts w:eastAsia="仿宋_GB2312"/>
          <w:sz w:val="32"/>
          <w:szCs w:val="32"/>
        </w:rPr>
      </w:pPr>
      <w:r>
        <w:rPr>
          <w:rFonts w:eastAsia="仿宋_GB2312"/>
          <w:sz w:val="32"/>
          <w:szCs w:val="32"/>
        </w:rPr>
        <w:t>24.灾害防治及应急管理支出（类）自然灾害防治（款）地质灾害防治（项）：支出决算为355.08万元，完成预算100%，决算数等于预算数。</w:t>
      </w:r>
    </w:p>
    <w:p w14:paraId="6A7ED04C">
      <w:pPr>
        <w:tabs>
          <w:tab w:val="right" w:pos="8306"/>
        </w:tabs>
        <w:spacing w:line="600" w:lineRule="exact"/>
        <w:ind w:firstLine="640"/>
        <w:outlineLvl w:val="1"/>
        <w:rPr>
          <w:rStyle w:val="29"/>
          <w:rFonts w:ascii="Times New Roman" w:hAnsi="Times New Roman"/>
        </w:rPr>
      </w:pPr>
      <w:bookmarkStart w:id="94" w:name="_Toc15377214"/>
      <w:bookmarkStart w:id="95" w:name="_Toc15396608"/>
      <w:r>
        <w:rPr>
          <w:rFonts w:hint="eastAsia" w:eastAsia="黑体"/>
          <w:sz w:val="32"/>
          <w:szCs w:val="32"/>
        </w:rPr>
        <w:t>六</w:t>
      </w:r>
      <w:r>
        <w:rPr>
          <w:rFonts w:hint="eastAsia" w:eastAsia="黑体"/>
          <w:b/>
          <w:sz w:val="32"/>
          <w:szCs w:val="32"/>
        </w:rPr>
        <w:t>、一</w:t>
      </w:r>
      <w:r>
        <w:rPr>
          <w:rStyle w:val="29"/>
          <w:rFonts w:hint="eastAsia" w:ascii="Times New Roman" w:hAnsi="Times New Roman" w:eastAsia="黑体"/>
          <w:b w:val="0"/>
        </w:rPr>
        <w:t>般公共预算财政拨款基本支出决算情况说明</w:t>
      </w:r>
      <w:bookmarkEnd w:id="94"/>
      <w:bookmarkEnd w:id="95"/>
      <w:r>
        <w:rPr>
          <w:rStyle w:val="29"/>
          <w:rFonts w:ascii="Times New Roman" w:hAnsi="Times New Roman" w:eastAsia="黑体"/>
          <w:b w:val="0"/>
        </w:rPr>
        <w:tab/>
      </w:r>
    </w:p>
    <w:p w14:paraId="7ED382CF">
      <w:pPr>
        <w:spacing w:line="600" w:lineRule="exact"/>
        <w:ind w:firstLine="640"/>
        <w:rPr>
          <w:rFonts w:eastAsia="仿宋_GB2312"/>
          <w:sz w:val="32"/>
          <w:szCs w:val="32"/>
        </w:rPr>
      </w:pPr>
      <w:r>
        <w:rPr>
          <w:rFonts w:eastAsia="仿宋_GB2312"/>
          <w:sz w:val="32"/>
          <w:szCs w:val="32"/>
        </w:rPr>
        <w:t>2025年度一般公共预算财政拨款基本支出2352.88万元，其中：</w:t>
      </w:r>
    </w:p>
    <w:p w14:paraId="1E64128B">
      <w:pPr>
        <w:spacing w:line="600" w:lineRule="exact"/>
        <w:ind w:firstLine="640"/>
        <w:rPr>
          <w:rFonts w:eastAsia="仿宋_GB2312"/>
          <w:sz w:val="32"/>
          <w:szCs w:val="32"/>
        </w:rPr>
      </w:pPr>
      <w:r>
        <w:rPr>
          <w:rFonts w:eastAsia="仿宋_GB2312"/>
          <w:sz w:val="32"/>
          <w:szCs w:val="32"/>
        </w:rPr>
        <w:t>人员经费2059.9万元，主要包括：基本工资、津贴补贴、奖金、绩效工资、机关事业单位基本养老保险缴费、职业年金缴费、职工基本医疗保险缴费、公务员医疗补助缴费、其他社会保障缴费、住房公积金、其他工资福利支出、对个人和家庭的补助、生活补助、医疗费补助、奖励金、其他对个人和家庭的补助支出等。</w:t>
      </w:r>
      <w:r>
        <w:rPr>
          <w:rFonts w:eastAsia="仿宋_GB2312"/>
          <w:sz w:val="32"/>
          <w:szCs w:val="32"/>
        </w:rPr>
        <w:br w:type="textWrapping"/>
      </w:r>
      <w:r>
        <w:rPr>
          <w:rFonts w:eastAsia="仿宋_GB2312"/>
          <w:sz w:val="32"/>
          <w:szCs w:val="32"/>
        </w:rPr>
        <w:t>　　公用经费292.98万元，主要包括：办公费、印刷费、水费、电费、邮电费、物业管理费、差旅费、租赁费、会议费、培训费、公务接待费、工会经费、福利费、公务用车运行维护费、其他交通费、其他商品和服务支出等。</w:t>
      </w:r>
    </w:p>
    <w:p w14:paraId="33B25FB6">
      <w:pPr>
        <w:spacing w:line="600" w:lineRule="exact"/>
        <w:ind w:firstLine="640"/>
        <w:outlineLvl w:val="1"/>
        <w:rPr>
          <w:rStyle w:val="29"/>
          <w:rFonts w:ascii="Times New Roman" w:hAnsi="Times New Roman" w:eastAsia="黑体"/>
          <w:b w:val="0"/>
        </w:rPr>
      </w:pPr>
      <w:bookmarkStart w:id="96" w:name="_Toc15396609"/>
      <w:bookmarkStart w:id="97" w:name="_Toc15377215"/>
      <w:r>
        <w:rPr>
          <w:rFonts w:hint="eastAsia" w:eastAsia="黑体"/>
          <w:sz w:val="32"/>
          <w:szCs w:val="32"/>
        </w:rPr>
        <w:t>七、</w:t>
      </w:r>
      <w:r>
        <w:rPr>
          <w:rStyle w:val="29"/>
          <w:rFonts w:hint="eastAsia" w:ascii="Times New Roman" w:hAnsi="Times New Roman" w:eastAsia="黑体"/>
          <w:b w:val="0"/>
        </w:rPr>
        <w:t>财政拨款</w:t>
      </w:r>
      <w:r>
        <w:rPr>
          <w:rStyle w:val="29"/>
          <w:rFonts w:hint="eastAsia" w:ascii="Times New Roman" w:hAnsi="Times New Roman" w:eastAsia="黑体"/>
        </w:rPr>
        <w:t>“</w:t>
      </w:r>
      <w:r>
        <w:rPr>
          <w:rStyle w:val="29"/>
          <w:rFonts w:hint="eastAsia" w:ascii="Times New Roman" w:hAnsi="Times New Roman" w:eastAsia="黑体"/>
          <w:b w:val="0"/>
        </w:rPr>
        <w:t>三公”经费支出决算情况说明</w:t>
      </w:r>
      <w:bookmarkEnd w:id="96"/>
      <w:bookmarkEnd w:id="97"/>
    </w:p>
    <w:p w14:paraId="000B2C37">
      <w:pPr>
        <w:spacing w:line="600" w:lineRule="exact"/>
        <w:ind w:firstLine="643" w:firstLineChars="200"/>
        <w:outlineLvl w:val="2"/>
        <w:rPr>
          <w:rFonts w:eastAsia="楷体_GB2312" w:cs="楷体_GB2312"/>
          <w:b/>
          <w:sz w:val="32"/>
          <w:szCs w:val="32"/>
        </w:rPr>
      </w:pPr>
      <w:bookmarkStart w:id="98" w:name="_Toc15377216"/>
      <w:r>
        <w:rPr>
          <w:rFonts w:hint="eastAsia" w:eastAsia="楷体_GB2312" w:cs="楷体_GB2312"/>
          <w:b/>
          <w:sz w:val="32"/>
          <w:szCs w:val="32"/>
        </w:rPr>
        <w:t>（一）财政拨款“三公”经费支出决算总体情况说明</w:t>
      </w:r>
      <w:bookmarkEnd w:id="98"/>
    </w:p>
    <w:p w14:paraId="1CF39964">
      <w:pPr>
        <w:spacing w:line="600" w:lineRule="exact"/>
        <w:ind w:firstLine="640"/>
        <w:rPr>
          <w:rFonts w:eastAsia="仿宋_GB2312"/>
          <w:sz w:val="32"/>
          <w:szCs w:val="32"/>
        </w:rPr>
      </w:pPr>
      <w:r>
        <w:rPr>
          <w:rFonts w:eastAsia="仿宋_GB2312"/>
          <w:sz w:val="32"/>
          <w:szCs w:val="32"/>
        </w:rPr>
        <w:t>2025年度财政拨款“三公”经费支出决算为53.78万元，完成预算99.8%，较上年度增加15.26万元，增长39.6%。决算数与预算数持平。</w:t>
      </w:r>
    </w:p>
    <w:p w14:paraId="5C6660A9">
      <w:pPr>
        <w:spacing w:line="600" w:lineRule="exact"/>
        <w:ind w:firstLine="643" w:firstLineChars="200"/>
        <w:outlineLvl w:val="2"/>
        <w:rPr>
          <w:rFonts w:eastAsia="楷体_GB2312" w:cs="楷体_GB2312"/>
          <w:b/>
          <w:sz w:val="32"/>
          <w:szCs w:val="32"/>
        </w:rPr>
      </w:pPr>
      <w:bookmarkStart w:id="99" w:name="_Toc15377217"/>
      <w:r>
        <w:rPr>
          <w:rFonts w:hint="eastAsia" w:eastAsia="楷体_GB2312" w:cs="楷体_GB2312"/>
          <w:b/>
          <w:sz w:val="32"/>
          <w:szCs w:val="32"/>
        </w:rPr>
        <w:t>（二）财政拨款“三公”经费支出决算具体情况说明</w:t>
      </w:r>
      <w:bookmarkEnd w:id="99"/>
    </w:p>
    <w:p w14:paraId="7D20BDDF">
      <w:pPr>
        <w:spacing w:line="600" w:lineRule="exact"/>
        <w:ind w:firstLine="640"/>
        <w:rPr>
          <w:rFonts w:eastAsia="仿宋_GB2312"/>
          <w:sz w:val="32"/>
          <w:szCs w:val="32"/>
        </w:rPr>
      </w:pPr>
      <w:r>
        <w:rPr>
          <w:rFonts w:eastAsia="仿宋_GB2312"/>
          <w:sz w:val="32"/>
          <w:szCs w:val="32"/>
        </w:rPr>
        <w:t>2025年度</w:t>
      </w:r>
      <w:bookmarkStart w:id="100" w:name="OLE_LINK68"/>
      <w:r>
        <w:rPr>
          <w:rFonts w:eastAsia="仿宋_GB2312"/>
          <w:sz w:val="32"/>
          <w:szCs w:val="32"/>
        </w:rPr>
        <w:t>财政拨款“三公”经费支出</w:t>
      </w:r>
      <w:bookmarkEnd w:id="100"/>
      <w:r>
        <w:rPr>
          <w:rFonts w:eastAsia="仿宋_GB2312"/>
          <w:sz w:val="32"/>
          <w:szCs w:val="32"/>
        </w:rPr>
        <w:t>决算中，</w:t>
      </w:r>
      <w:bookmarkStart w:id="101" w:name="OLE_LINK70"/>
      <w:bookmarkStart w:id="102" w:name="OLE_LINK69"/>
      <w:r>
        <w:rPr>
          <w:rFonts w:eastAsia="仿宋_GB2312"/>
          <w:sz w:val="32"/>
          <w:szCs w:val="32"/>
        </w:rPr>
        <w:t>因公出国（境）费</w:t>
      </w:r>
      <w:bookmarkEnd w:id="101"/>
      <w:bookmarkEnd w:id="102"/>
      <w:r>
        <w:rPr>
          <w:rFonts w:eastAsia="仿宋_GB2312"/>
          <w:sz w:val="32"/>
          <w:szCs w:val="32"/>
        </w:rPr>
        <w:t>支出决算0万元，占0%；</w:t>
      </w:r>
      <w:bookmarkStart w:id="103" w:name="OLE_LINK71"/>
      <w:r>
        <w:rPr>
          <w:rFonts w:eastAsia="仿宋_GB2312"/>
          <w:sz w:val="32"/>
          <w:szCs w:val="32"/>
        </w:rPr>
        <w:t>公务用车购置及运行维护费</w:t>
      </w:r>
      <w:bookmarkEnd w:id="103"/>
      <w:r>
        <w:rPr>
          <w:rFonts w:eastAsia="仿宋_GB2312"/>
          <w:sz w:val="32"/>
          <w:szCs w:val="32"/>
        </w:rPr>
        <w:t>支出决算49.9万元，占92.8%；</w:t>
      </w:r>
      <w:bookmarkStart w:id="104" w:name="OLE_LINK72"/>
      <w:r>
        <w:rPr>
          <w:rFonts w:eastAsia="仿宋_GB2312"/>
          <w:sz w:val="32"/>
          <w:szCs w:val="32"/>
        </w:rPr>
        <w:t>公务接待费支出</w:t>
      </w:r>
      <w:bookmarkEnd w:id="104"/>
      <w:r>
        <w:rPr>
          <w:rFonts w:eastAsia="仿宋_GB2312"/>
          <w:sz w:val="32"/>
          <w:szCs w:val="32"/>
        </w:rPr>
        <w:t>决算3.88万元，占7.2%。具体情况如下：</w:t>
      </w:r>
    </w:p>
    <w:p w14:paraId="4EC8BB5A">
      <w:pPr>
        <w:pStyle w:val="2"/>
      </w:pPr>
    </w:p>
    <w:p w14:paraId="6B2CA2F3">
      <w:pPr>
        <w:pStyle w:val="3"/>
        <w:ind w:left="420"/>
      </w:pPr>
    </w:p>
    <w:p w14:paraId="50F339C3">
      <w:pPr>
        <w:pStyle w:val="3"/>
        <w:ind w:left="420"/>
      </w:pPr>
      <w:r>
        <w:drawing>
          <wp:inline distT="0" distB="0" distL="0" distR="0">
            <wp:extent cx="4301490" cy="2560320"/>
            <wp:effectExtent l="0" t="0" r="22860" b="11430"/>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C57632">
      <w:pPr>
        <w:spacing w:line="600" w:lineRule="exact"/>
        <w:ind w:firstLine="640"/>
        <w:rPr>
          <w:rFonts w:eastAsia="仿宋_GB2312" w:cs="仿宋_GB2312"/>
          <w:sz w:val="32"/>
          <w:szCs w:val="32"/>
        </w:rPr>
      </w:pPr>
      <w:r>
        <w:rPr>
          <w:rFonts w:hint="eastAsia" w:eastAsia="仿宋_GB2312" w:cs="仿宋_GB2312"/>
          <w:sz w:val="32"/>
          <w:szCs w:val="32"/>
        </w:rPr>
        <w:t>（图7：财政拨款“三公”经费支出结构）</w:t>
      </w:r>
    </w:p>
    <w:p w14:paraId="53498250">
      <w:pPr>
        <w:spacing w:line="600" w:lineRule="exact"/>
        <w:ind w:firstLine="640"/>
        <w:rPr>
          <w:rFonts w:eastAsia="仿宋_GB2312"/>
          <w:sz w:val="32"/>
          <w:szCs w:val="32"/>
        </w:rPr>
      </w:pPr>
      <w:r>
        <w:rPr>
          <w:rFonts w:eastAsia="仿宋_GB2312"/>
          <w:b/>
          <w:bCs/>
          <w:sz w:val="32"/>
          <w:szCs w:val="32"/>
        </w:rPr>
        <w:t>1.因公出国（境）经费支出</w:t>
      </w:r>
      <w:r>
        <w:rPr>
          <w:rFonts w:eastAsia="仿宋_GB2312"/>
          <w:sz w:val="32"/>
          <w:szCs w:val="32"/>
        </w:rPr>
        <w:t>0</w:t>
      </w:r>
      <w:r>
        <w:rPr>
          <w:rFonts w:eastAsia="仿宋_GB2312"/>
          <w:b/>
          <w:bCs/>
          <w:sz w:val="32"/>
          <w:szCs w:val="32"/>
        </w:rPr>
        <w:t>万元，完成预算100%。</w:t>
      </w:r>
      <w:r>
        <w:rPr>
          <w:rFonts w:eastAsia="仿宋_GB2312"/>
          <w:sz w:val="32"/>
          <w:szCs w:val="32"/>
        </w:rPr>
        <w:t>全年安排因公出国（境）团组0次，出国（境）0人。</w:t>
      </w:r>
    </w:p>
    <w:p w14:paraId="3623B940">
      <w:pPr>
        <w:spacing w:line="600" w:lineRule="exact"/>
        <w:ind w:firstLine="640"/>
        <w:rPr>
          <w:rFonts w:eastAsia="仿宋_GB2312"/>
          <w:sz w:val="32"/>
          <w:szCs w:val="32"/>
        </w:rPr>
      </w:pPr>
      <w:r>
        <w:rPr>
          <w:rFonts w:eastAsia="仿宋_GB2312"/>
          <w:b/>
          <w:bCs/>
          <w:sz w:val="32"/>
          <w:szCs w:val="32"/>
        </w:rPr>
        <w:t>2.公务用车购置及运行维护费支出49.9万元，完成预算100%。</w:t>
      </w:r>
      <w:r>
        <w:rPr>
          <w:rFonts w:eastAsia="仿宋_GB2312"/>
          <w:sz w:val="32"/>
          <w:szCs w:val="32"/>
        </w:rPr>
        <w:t>公务用车购置及运行维护费支出决算比上年度增加13.8万元，增长38.2%。主要原因是本年度购置了一台特种作业业务车辆34.8万元。</w:t>
      </w:r>
    </w:p>
    <w:p w14:paraId="445CCF1E">
      <w:pPr>
        <w:spacing w:line="600" w:lineRule="exact"/>
        <w:ind w:firstLine="640"/>
        <w:rPr>
          <w:rFonts w:eastAsia="仿宋_GB2312"/>
          <w:sz w:val="32"/>
          <w:szCs w:val="32"/>
        </w:rPr>
      </w:pPr>
      <w:r>
        <w:rPr>
          <w:rFonts w:eastAsia="仿宋_GB2312"/>
          <w:sz w:val="32"/>
          <w:szCs w:val="32"/>
        </w:rPr>
        <w:t>其中：公务用车购置支出34.8万元。全年按规定更新购置公务用车1辆，其中：轿车0辆、金额0万元，越野车1辆、金额34.8万元，载客汽车0辆、金额0万元，主要用于地质灾害防治检查等工作。截至2025年12月31日，单位共有公务用车7辆，其中：轿车0辆、越野车6辆、载客汽车1辆。</w:t>
      </w:r>
    </w:p>
    <w:p w14:paraId="0715886A">
      <w:pPr>
        <w:spacing w:line="600" w:lineRule="exact"/>
        <w:ind w:firstLine="640"/>
        <w:rPr>
          <w:rFonts w:eastAsia="仿宋_GB2312"/>
          <w:b/>
          <w:sz w:val="32"/>
          <w:szCs w:val="32"/>
        </w:rPr>
      </w:pPr>
      <w:r>
        <w:rPr>
          <w:rFonts w:eastAsia="仿宋_GB2312"/>
          <w:sz w:val="32"/>
          <w:szCs w:val="32"/>
        </w:rPr>
        <w:t>公务用车运行维护费支出15.1万元。主要用于自然资源、规划、地质灾害等工作等所需的公务用车燃料费、维修费、过路过桥费、保险费等支出。</w:t>
      </w:r>
    </w:p>
    <w:p w14:paraId="3F8C602C">
      <w:pPr>
        <w:spacing w:line="600" w:lineRule="exact"/>
        <w:ind w:firstLine="640"/>
        <w:rPr>
          <w:rFonts w:eastAsia="仿宋_GB2312"/>
          <w:sz w:val="32"/>
          <w:szCs w:val="32"/>
        </w:rPr>
      </w:pPr>
      <w:r>
        <w:rPr>
          <w:rFonts w:eastAsia="仿宋_GB2312"/>
          <w:b/>
          <w:bCs/>
          <w:sz w:val="32"/>
          <w:szCs w:val="32"/>
        </w:rPr>
        <w:t>3.公务接待费支出3.88万元，完成预算100%。</w:t>
      </w:r>
      <w:r>
        <w:rPr>
          <w:rFonts w:eastAsia="仿宋_GB2312"/>
          <w:sz w:val="32"/>
          <w:szCs w:val="32"/>
        </w:rPr>
        <w:t>公务接待费支出决算比上年度增加1.45万元，增长59.7%。主要原因是</w:t>
      </w:r>
      <w:r>
        <w:rPr>
          <w:rFonts w:eastAsia="仿宋_GB2312"/>
          <w:color w:val="000000"/>
          <w:kern w:val="0"/>
          <w:sz w:val="32"/>
          <w:szCs w:val="32"/>
        </w:rPr>
        <w:t>公务接待增加</w:t>
      </w:r>
      <w:r>
        <w:rPr>
          <w:rFonts w:eastAsia="仿宋_GB2312"/>
          <w:sz w:val="32"/>
          <w:szCs w:val="32"/>
        </w:rPr>
        <w:t>。其中：</w:t>
      </w:r>
    </w:p>
    <w:p w14:paraId="39BBB224">
      <w:pPr>
        <w:spacing w:line="600" w:lineRule="exact"/>
        <w:ind w:firstLine="640"/>
        <w:rPr>
          <w:rFonts w:eastAsia="仿宋_GB2312"/>
          <w:sz w:val="32"/>
          <w:szCs w:val="32"/>
        </w:rPr>
      </w:pPr>
      <w:r>
        <w:rPr>
          <w:rFonts w:eastAsia="仿宋_GB2312"/>
          <w:sz w:val="32"/>
          <w:szCs w:val="32"/>
        </w:rPr>
        <w:t>国内公务接待支出3.88万元，主要用于自然资源、规划及地质灾害等执行公务、开展业务活动开支的用餐费等。国内公务接待29批次，289人次（不包括陪同人员），共计支出3.88万元，具体内容包括：接待成都理工大学来攀对接常隆庆120周年纪念活动一行8人接待费0.16万元；接待四川省地质局来攀交流对接工作一行16人接待费0.29万元；接待省厅矿保处调研攀枝花钒钛磁铁矿有关工作一行7人接待费0.14万元；接待省厅督察办来攀开展实地复查中央生态环境保护督察反馈问题整改工作一行2人接待费0.05万元；接待常隆庆长孙一行2人接待费0.09万元（含住宿费0.06万元）；接待四川省自然资源资料馆开展自然资源档案数字化转型工作一行4人接待费0.09万元；接待四川省测绘地理信息局来攀开展调研工作一行6人接待费0.12万元；接待省厅执法局开展交叉核查工作一行9人接待费0.13万元；接待巴中市自然资源和规划局来攀考察学习一行6人接待费0.12万元；接待省厅人事处来攀开展公务活动一行3人接待费0.11万元；接待国家自然资源督察局成都局开展2025年例行督察工作一行5人接待费0.14万元；接待四川钒钛产业投资发展集团开展红格南钒钛磁铁矿开发利用调研一行9人接待费0.18万元；接待省厅来攀开展矿产资源勘查开发实地调研一行8人接待费0.2万元；接待省厅赴攀开展用地审批业务培训一行3人接待费0.12万元；接待乐山自规局赴攀调研一行6人接待费0.5万元；接待自然资源部矿保司和厅矿保处来攀开展攀西地区矿产资源调研一行7人接待费0.17万元；接待省不动产登记中心来攀开展集中整治不动产登记“难”问题工作调研一行3人接待费0.04万元；接待省厅调监处来攀开展耕林园空间治理一张图建设一阶段调研一行4人接待费0.11万元；接待省厅地灾防治处来攀开展世运会期间地灾防治、集中整治不动产登记难工作调研一行5人接待费0.12万元；接待省厅国土空间规划局来攀开展国土空间规划工作开展情况调研一行5人接待费0.05万元；接待省矿产资源储量评审中心来攀实地核查开采信息工作一行4人接待费0.09万元；接待省测绘局赴攀开展测绘地理信息管理与应用情况调研一行4人接待费0.08万元；接待省厅开展矿产资源法实施条例专题调研一行7人接待费0.2万元；接待省厅宣教中心赴攀开展征订及理事会建设工作一行3人接待费0.09万元；接待省厅开展人事干部工作一行3人接待费0.13万元；接待省国土整治中心来攀开展土地综合整治和永久基本农田保护调研工作一行4人接待费0.13万元；接待省政府参事、省社会主义学院来攀开展新一轮找矿突破战略行动课题研究一行9人接待费0.24元；接待自然资源部及察隅县赴攀考察乡村振兴工作一行13人接待费0.23万元；接待自然资源部及省厅开展矿业权出让收益和占用费相关政策专题调研一行11人接待费0.18万元。</w:t>
      </w:r>
    </w:p>
    <w:p w14:paraId="4C5BAB28">
      <w:pPr>
        <w:spacing w:line="600" w:lineRule="exact"/>
        <w:ind w:firstLine="640"/>
        <w:rPr>
          <w:rFonts w:eastAsia="仿宋_GB2312"/>
          <w:sz w:val="32"/>
          <w:szCs w:val="32"/>
        </w:rPr>
      </w:pPr>
      <w:r>
        <w:rPr>
          <w:rFonts w:eastAsia="仿宋_GB2312"/>
          <w:sz w:val="32"/>
          <w:szCs w:val="32"/>
        </w:rPr>
        <w:t>外事接待支出0万元。外事接待0批次，0人次（不包括陪同人员），共计支出0万元。</w:t>
      </w:r>
    </w:p>
    <w:p w14:paraId="64496E24">
      <w:pPr>
        <w:spacing w:line="600" w:lineRule="exact"/>
        <w:ind w:firstLine="640"/>
        <w:outlineLvl w:val="1"/>
        <w:rPr>
          <w:rStyle w:val="29"/>
          <w:rFonts w:ascii="Times New Roman" w:hAnsi="Times New Roman" w:eastAsia="黑体" w:cs="Times New Roman"/>
        </w:rPr>
      </w:pPr>
      <w:bookmarkStart w:id="105" w:name="_Toc15396610"/>
      <w:bookmarkStart w:id="106" w:name="_Toc15377218"/>
      <w:r>
        <w:rPr>
          <w:rFonts w:eastAsia="黑体"/>
          <w:sz w:val="32"/>
          <w:szCs w:val="32"/>
        </w:rPr>
        <w:t>八、</w:t>
      </w:r>
      <w:r>
        <w:rPr>
          <w:rStyle w:val="29"/>
          <w:rFonts w:ascii="Times New Roman" w:hAnsi="Times New Roman" w:eastAsia="黑体" w:cs="Times New Roman"/>
          <w:b w:val="0"/>
        </w:rPr>
        <w:t>政府性基金预算支出决算情况说明</w:t>
      </w:r>
      <w:bookmarkEnd w:id="105"/>
      <w:bookmarkEnd w:id="106"/>
    </w:p>
    <w:p w14:paraId="38D9D662">
      <w:pPr>
        <w:spacing w:line="600" w:lineRule="exact"/>
        <w:ind w:firstLine="640"/>
        <w:rPr>
          <w:rFonts w:eastAsia="仿宋_GB2312"/>
          <w:sz w:val="32"/>
          <w:szCs w:val="32"/>
        </w:rPr>
      </w:pPr>
      <w:r>
        <w:rPr>
          <w:rFonts w:eastAsia="仿宋_GB2312"/>
          <w:sz w:val="32"/>
          <w:szCs w:val="32"/>
        </w:rPr>
        <w:t>2025年度政府性基金预算财政拨款支出103.16万元，占本年支出合计的2.7%。与上年度相比，政府性基金预算财政拨款支出减少209.53万元，下降67%。主要变动原因是本年度财政安排政府性基金财政拨款的项目收入减少。</w:t>
      </w:r>
    </w:p>
    <w:p w14:paraId="526579B6">
      <w:pPr>
        <w:spacing w:line="600" w:lineRule="exact"/>
        <w:ind w:left="630"/>
        <w:outlineLvl w:val="1"/>
        <w:rPr>
          <w:rStyle w:val="29"/>
          <w:rFonts w:ascii="Times New Roman" w:hAnsi="Times New Roman" w:eastAsia="黑体"/>
          <w:b w:val="0"/>
        </w:rPr>
      </w:pPr>
      <w:bookmarkStart w:id="107" w:name="_Toc15377219"/>
      <w:bookmarkStart w:id="108" w:name="_Toc15396611"/>
      <w:r>
        <w:rPr>
          <w:rStyle w:val="29"/>
          <w:rFonts w:hint="eastAsia" w:ascii="Times New Roman" w:hAnsi="Times New Roman" w:eastAsia="黑体"/>
          <w:b w:val="0"/>
        </w:rPr>
        <w:t>九、国有资本经营预算支出决算情况说明</w:t>
      </w:r>
      <w:bookmarkEnd w:id="107"/>
      <w:bookmarkEnd w:id="108"/>
    </w:p>
    <w:p w14:paraId="2DFC4B05">
      <w:pPr>
        <w:spacing w:line="600" w:lineRule="exact"/>
        <w:ind w:firstLine="640"/>
        <w:rPr>
          <w:rFonts w:eastAsia="仿宋_GB2312"/>
          <w:sz w:val="32"/>
          <w:szCs w:val="32"/>
        </w:rPr>
      </w:pPr>
      <w:r>
        <w:rPr>
          <w:rFonts w:eastAsia="仿宋_GB2312"/>
          <w:sz w:val="32"/>
          <w:szCs w:val="32"/>
        </w:rPr>
        <w:t>2025年度国有资本经营预算财政拨款支出0万元，占本年支出合计的0%。与2024年度支出数持平。</w:t>
      </w:r>
    </w:p>
    <w:p w14:paraId="08AB1685">
      <w:pPr>
        <w:spacing w:line="600" w:lineRule="exact"/>
        <w:ind w:left="630"/>
        <w:outlineLvl w:val="1"/>
        <w:rPr>
          <w:rStyle w:val="29"/>
          <w:rFonts w:ascii="Times New Roman" w:hAnsi="Times New Roman" w:eastAsia="黑体" w:cs="Times New Roman"/>
          <w:b w:val="0"/>
        </w:rPr>
      </w:pPr>
      <w:bookmarkStart w:id="109" w:name="_Toc15396612"/>
      <w:bookmarkStart w:id="110" w:name="_Toc15377221"/>
      <w:r>
        <w:rPr>
          <w:rStyle w:val="29"/>
          <w:rFonts w:ascii="Times New Roman" w:hAnsi="Times New Roman" w:eastAsia="黑体" w:cs="Times New Roman"/>
          <w:b w:val="0"/>
        </w:rPr>
        <w:t>十、其他重要事项的情况说明</w:t>
      </w:r>
      <w:bookmarkEnd w:id="109"/>
      <w:bookmarkEnd w:id="110"/>
    </w:p>
    <w:p w14:paraId="40E02AE8">
      <w:pPr>
        <w:spacing w:line="600" w:lineRule="exact"/>
        <w:ind w:firstLine="643" w:firstLineChars="200"/>
        <w:outlineLvl w:val="2"/>
        <w:rPr>
          <w:rFonts w:eastAsia="楷体_GB2312"/>
          <w:b/>
          <w:sz w:val="32"/>
          <w:szCs w:val="32"/>
        </w:rPr>
      </w:pPr>
      <w:bookmarkStart w:id="111" w:name="_Toc15377222"/>
      <w:r>
        <w:rPr>
          <w:rFonts w:eastAsia="楷体_GB2312"/>
          <w:b/>
          <w:sz w:val="32"/>
          <w:szCs w:val="32"/>
        </w:rPr>
        <w:t>（一）机关运行经费支出情况</w:t>
      </w:r>
      <w:bookmarkEnd w:id="111"/>
    </w:p>
    <w:p w14:paraId="4C4DDE18">
      <w:pPr>
        <w:spacing w:line="600" w:lineRule="exact"/>
        <w:ind w:firstLine="640"/>
        <w:rPr>
          <w:rFonts w:eastAsia="仿宋_GB2312"/>
          <w:sz w:val="32"/>
          <w:szCs w:val="32"/>
        </w:rPr>
      </w:pPr>
      <w:r>
        <w:rPr>
          <w:rFonts w:eastAsia="仿宋_GB2312"/>
          <w:sz w:val="32"/>
          <w:szCs w:val="32"/>
        </w:rPr>
        <w:t>2025年度，攀枝花市自然资源和规划局（本级）机关运行经费支出292.98万元，比上年度增加50.31万元，增长20.7 %。主要原因是机构改革，原市自然资源综合行政执法支队人员公用经费划拨到局机关使用。</w:t>
      </w:r>
    </w:p>
    <w:p w14:paraId="65CB338C">
      <w:pPr>
        <w:spacing w:line="600" w:lineRule="exact"/>
        <w:ind w:firstLine="643" w:firstLineChars="200"/>
        <w:outlineLvl w:val="2"/>
        <w:rPr>
          <w:rFonts w:eastAsia="楷体_GB2312"/>
          <w:b/>
          <w:sz w:val="32"/>
          <w:szCs w:val="32"/>
        </w:rPr>
      </w:pPr>
      <w:bookmarkStart w:id="112" w:name="_Toc15377223"/>
      <w:r>
        <w:rPr>
          <w:rFonts w:eastAsia="楷体_GB2312"/>
          <w:b/>
          <w:sz w:val="32"/>
          <w:szCs w:val="32"/>
        </w:rPr>
        <w:t>（二）政府采购支出情况</w:t>
      </w:r>
      <w:bookmarkEnd w:id="112"/>
    </w:p>
    <w:p w14:paraId="3C98C1EB">
      <w:pPr>
        <w:spacing w:line="600" w:lineRule="exact"/>
        <w:ind w:firstLine="640"/>
        <w:rPr>
          <w:rFonts w:eastAsia="仿宋_GB2312"/>
          <w:sz w:val="32"/>
          <w:szCs w:val="32"/>
        </w:rPr>
      </w:pPr>
      <w:r>
        <w:rPr>
          <w:rFonts w:eastAsia="仿宋_GB2312"/>
          <w:sz w:val="32"/>
          <w:szCs w:val="32"/>
        </w:rPr>
        <w:t>2025年度，攀枝花市自然资源和规划局（本级）政府采购支出总额1255.14万元，其中：政府采购货物支出34.8万元、政府采购工程支出0万元、政府采购服务支出1220.35万元。主要用于开展自然资源、规划、地灾防治等工作。授予中小企业合同金额124.35万元，占政府采购支出总额的9.9%，其中：授予小微企业合同金额5.27万元，占政府采购支出总额的0.4%。</w:t>
      </w:r>
    </w:p>
    <w:p w14:paraId="2288DFB8">
      <w:pPr>
        <w:spacing w:line="600" w:lineRule="exact"/>
        <w:ind w:firstLine="643" w:firstLineChars="200"/>
        <w:outlineLvl w:val="2"/>
        <w:rPr>
          <w:rFonts w:eastAsia="楷体_GB2312"/>
          <w:b/>
          <w:sz w:val="32"/>
          <w:szCs w:val="32"/>
        </w:rPr>
      </w:pPr>
      <w:bookmarkStart w:id="113" w:name="_Toc15377224"/>
      <w:r>
        <w:rPr>
          <w:rFonts w:eastAsia="楷体_GB2312"/>
          <w:b/>
          <w:sz w:val="32"/>
          <w:szCs w:val="32"/>
        </w:rPr>
        <w:t>（三）国有资产占有使用情况</w:t>
      </w:r>
      <w:bookmarkEnd w:id="113"/>
    </w:p>
    <w:p w14:paraId="67D34F51">
      <w:pPr>
        <w:spacing w:line="600" w:lineRule="exact"/>
        <w:ind w:firstLine="640"/>
        <w:rPr>
          <w:rFonts w:eastAsia="仿宋_GB2312"/>
          <w:sz w:val="32"/>
          <w:szCs w:val="32"/>
        </w:rPr>
      </w:pPr>
      <w:r>
        <w:rPr>
          <w:rFonts w:eastAsia="仿宋_GB2312"/>
          <w:sz w:val="32"/>
          <w:szCs w:val="32"/>
        </w:rPr>
        <w:t>截至2025年12月31日，攀枝花市自然资源和规划局（本级）共有车辆7辆，其中：副部（省）级及以上领导用车0辆、主要负责人用车0辆、机要通信用车0辆、应急保障用车1辆、执法执勤用车0辆、特种专业技术用车2辆、离退休干部服务用车0辆、其他用车4辆，其他用车主要是用于开展</w:t>
      </w:r>
      <w:r>
        <w:rPr>
          <w:rFonts w:eastAsia="仿宋_GB2312"/>
          <w:color w:val="000000"/>
          <w:kern w:val="0"/>
          <w:sz w:val="32"/>
          <w:szCs w:val="32"/>
        </w:rPr>
        <w:t>自然资源、规划及地质灾害等方面的工作</w:t>
      </w:r>
      <w:r>
        <w:rPr>
          <w:rFonts w:eastAsia="仿宋_GB2312"/>
          <w:sz w:val="32"/>
          <w:szCs w:val="32"/>
        </w:rPr>
        <w:t>。单价100万元（含）以上设备（不含车辆）0台（套）。</w:t>
      </w:r>
    </w:p>
    <w:p w14:paraId="7FE33A2D">
      <w:pPr>
        <w:spacing w:line="600" w:lineRule="exact"/>
        <w:ind w:firstLine="643" w:firstLineChars="200"/>
        <w:outlineLvl w:val="2"/>
        <w:rPr>
          <w:rFonts w:eastAsia="楷体_GB2312"/>
          <w:b/>
          <w:sz w:val="32"/>
          <w:szCs w:val="32"/>
        </w:rPr>
      </w:pPr>
      <w:r>
        <w:rPr>
          <w:rFonts w:eastAsia="楷体_GB2312"/>
          <w:b/>
          <w:sz w:val="32"/>
          <w:szCs w:val="32"/>
        </w:rPr>
        <w:t>（四）预算绩效管理情况</w:t>
      </w:r>
    </w:p>
    <w:p w14:paraId="70778619">
      <w:pPr>
        <w:spacing w:line="600" w:lineRule="exact"/>
        <w:ind w:firstLine="640"/>
        <w:rPr>
          <w:rFonts w:eastAsia="仿宋_GB2312"/>
          <w:sz w:val="32"/>
          <w:szCs w:val="32"/>
        </w:rPr>
      </w:pPr>
      <w:r>
        <w:rPr>
          <w:rFonts w:eastAsia="仿宋_GB2312"/>
          <w:sz w:val="32"/>
          <w:szCs w:val="32"/>
        </w:rPr>
        <w:t>根据预算绩效管理要求，攀枝花市自然资源和规划局在2025年度组织对攀枝花市国土空间总体规划（2019-2035）、新一轮找矿突破战略行动工作经费、盐边县斜坡地质灾害隐患风险详查、3个重点乡（镇）1:10000地质灾害精细化调查和地质灾害风险双控试点项目、四川省攀枝花地区煤矿采空区煤层气资源调查评价项目等43个项目涉及金额1509.24万元开展了事前绩效评估，对43个项目编制了绩效目标，预算执行过程中，选取43个项目开展绩效监控。</w:t>
      </w:r>
    </w:p>
    <w:p w14:paraId="720F2B0F">
      <w:pPr>
        <w:spacing w:line="600" w:lineRule="exact"/>
        <w:ind w:firstLine="640"/>
        <w:rPr>
          <w:rFonts w:eastAsia="仿宋_GB2312" w:cs="仿宋_GB2312"/>
          <w:sz w:val="32"/>
          <w:szCs w:val="32"/>
        </w:rPr>
      </w:pPr>
    </w:p>
    <w:p w14:paraId="60930635">
      <w:pPr>
        <w:pStyle w:val="2"/>
      </w:pPr>
    </w:p>
    <w:p w14:paraId="02A8A21E">
      <w:pPr>
        <w:pStyle w:val="3"/>
        <w:ind w:left="420"/>
      </w:pPr>
    </w:p>
    <w:p w14:paraId="0E6BD5F5"/>
    <w:p w14:paraId="16BB4331">
      <w:pPr>
        <w:pStyle w:val="2"/>
      </w:pPr>
    </w:p>
    <w:p w14:paraId="4F5189FD">
      <w:pPr>
        <w:pStyle w:val="3"/>
        <w:ind w:left="420"/>
      </w:pPr>
    </w:p>
    <w:p w14:paraId="194D8290"/>
    <w:p w14:paraId="5FC42158">
      <w:pPr>
        <w:spacing w:line="600" w:lineRule="exact"/>
        <w:jc w:val="center"/>
        <w:outlineLvl w:val="0"/>
        <w:rPr>
          <w:rFonts w:eastAsia="黑体"/>
          <w:sz w:val="44"/>
          <w:szCs w:val="44"/>
        </w:rPr>
      </w:pPr>
      <w:bookmarkStart w:id="114" w:name="_Toc15396613"/>
      <w:bookmarkStart w:id="115" w:name="_Toc15377225"/>
      <w:r>
        <w:rPr>
          <w:rFonts w:hint="eastAsia" w:eastAsia="黑体"/>
          <w:sz w:val="44"/>
          <w:szCs w:val="44"/>
        </w:rPr>
        <w:t>第三部分  名词解释</w:t>
      </w:r>
      <w:bookmarkEnd w:id="114"/>
      <w:bookmarkEnd w:id="115"/>
    </w:p>
    <w:p w14:paraId="621ABADF">
      <w:pPr>
        <w:spacing w:line="600" w:lineRule="exact"/>
        <w:jc w:val="left"/>
        <w:rPr>
          <w:b/>
          <w:sz w:val="44"/>
          <w:szCs w:val="44"/>
        </w:rPr>
      </w:pPr>
    </w:p>
    <w:p w14:paraId="51DB8D38">
      <w:pPr>
        <w:pStyle w:val="26"/>
        <w:numPr>
          <w:ilvl w:val="0"/>
          <w:numId w:val="2"/>
        </w:numPr>
        <w:spacing w:before="93" w:line="560" w:lineRule="exact"/>
        <w:ind w:firstLine="640" w:firstLineChars="200"/>
        <w:rPr>
          <w:rFonts w:ascii="Times New Roman" w:eastAsia="仿宋_GB2312" w:cs="Times New Roman"/>
          <w:color w:val="auto"/>
          <w:sz w:val="32"/>
          <w:szCs w:val="32"/>
        </w:rPr>
      </w:pPr>
      <w:bookmarkStart w:id="116" w:name="_Toc15377226"/>
      <w:r>
        <w:rPr>
          <w:rFonts w:hint="eastAsia" w:ascii="Times New Roman" w:eastAsia="仿宋_GB2312" w:cs="Times New Roman"/>
          <w:color w:val="auto"/>
          <w:sz w:val="32"/>
          <w:szCs w:val="32"/>
        </w:rPr>
        <w:t>财政拨款收入：指单位从同级财政部门取得的财政预算资金。</w:t>
      </w:r>
    </w:p>
    <w:p w14:paraId="3CB2FD44">
      <w:pPr>
        <w:pStyle w:val="26"/>
        <w:numPr>
          <w:ilvl w:val="0"/>
          <w:numId w:val="2"/>
        </w:numPr>
        <w:spacing w:before="93" w:line="560" w:lineRule="exact"/>
        <w:ind w:firstLine="640" w:firstLineChars="200"/>
        <w:rPr>
          <w:rFonts w:ascii="Times New Roman" w:eastAsia="仿宋_GB2312" w:cs="Times New Roman"/>
          <w:color w:val="auto"/>
          <w:sz w:val="32"/>
          <w:szCs w:val="32"/>
        </w:rPr>
      </w:pPr>
      <w:r>
        <w:rPr>
          <w:rFonts w:hint="eastAsia" w:ascii="Times New Roman" w:eastAsia="仿宋_GB2312" w:cs="Times New Roman"/>
          <w:color w:val="auto"/>
          <w:sz w:val="32"/>
          <w:szCs w:val="32"/>
        </w:rPr>
        <w:t>年初结转和结余：指以前年度尚未完成、结转到本年按有关规定继续使用的资金。</w:t>
      </w:r>
    </w:p>
    <w:p w14:paraId="41E48235">
      <w:pPr>
        <w:numPr>
          <w:ilvl w:val="0"/>
          <w:numId w:val="2"/>
        </w:numPr>
        <w:spacing w:line="600" w:lineRule="exact"/>
        <w:ind w:firstLine="640" w:firstLineChars="200"/>
        <w:rPr>
          <w:rFonts w:eastAsia="仿宋_GB2312"/>
          <w:kern w:val="0"/>
          <w:sz w:val="32"/>
          <w:szCs w:val="32"/>
        </w:rPr>
      </w:pPr>
      <w:r>
        <w:rPr>
          <w:rFonts w:hint="eastAsia" w:eastAsia="仿宋_GB2312"/>
          <w:kern w:val="0"/>
          <w:sz w:val="32"/>
          <w:szCs w:val="32"/>
        </w:rPr>
        <w:t>一般公共预算拨款收入：指市级财政当年拨付的资金。</w:t>
      </w:r>
    </w:p>
    <w:p w14:paraId="1E36DABB">
      <w:pPr>
        <w:numPr>
          <w:ilvl w:val="0"/>
          <w:numId w:val="2"/>
        </w:numPr>
        <w:spacing w:line="600" w:lineRule="exact"/>
        <w:ind w:firstLine="640" w:firstLineChars="200"/>
        <w:rPr>
          <w:rFonts w:eastAsia="仿宋_GB2312"/>
          <w:kern w:val="0"/>
          <w:sz w:val="32"/>
          <w:szCs w:val="32"/>
        </w:rPr>
      </w:pPr>
      <w:r>
        <w:rPr>
          <w:rFonts w:hint="eastAsia" w:eastAsia="仿宋_GB2312"/>
          <w:kern w:val="0"/>
          <w:sz w:val="32"/>
          <w:szCs w:val="32"/>
        </w:rPr>
        <w:t>政府性基金预算收入：按规定收取、转入或通过当年财政安排，纳入预算管理的收入。</w:t>
      </w:r>
    </w:p>
    <w:p w14:paraId="750F1122">
      <w:pPr>
        <w:spacing w:line="580" w:lineRule="exact"/>
        <w:ind w:firstLine="640" w:firstLineChars="200"/>
        <w:rPr>
          <w:rFonts w:eastAsia="仿宋_GB2312"/>
          <w:kern w:val="0"/>
        </w:rPr>
      </w:pPr>
      <w:r>
        <w:rPr>
          <w:rFonts w:eastAsia="仿宋_GB2312"/>
          <w:kern w:val="0"/>
          <w:sz w:val="32"/>
          <w:szCs w:val="32"/>
        </w:rPr>
        <w:t>5.</w:t>
      </w:r>
      <w:r>
        <w:rPr>
          <w:rFonts w:hint="eastAsia" w:eastAsia="仿宋_GB2312"/>
          <w:kern w:val="0"/>
          <w:sz w:val="32"/>
          <w:szCs w:val="32"/>
        </w:rPr>
        <w:t>一般公共服务支出（类）纪检监察事务（款）派驻派出机构（项）指：反映用于由纪检监察部门负担的派驻各部门和单位的纪检监察人员的专项业务支出。</w:t>
      </w:r>
    </w:p>
    <w:p w14:paraId="1E2C99D9">
      <w:pPr>
        <w:spacing w:line="600" w:lineRule="exact"/>
        <w:ind w:firstLine="640" w:firstLineChars="200"/>
        <w:rPr>
          <w:rFonts w:eastAsia="仿宋_GB2312"/>
          <w:kern w:val="0"/>
          <w:sz w:val="32"/>
          <w:szCs w:val="32"/>
        </w:rPr>
      </w:pPr>
      <w:r>
        <w:rPr>
          <w:rFonts w:eastAsia="仿宋_GB2312"/>
          <w:kern w:val="0"/>
          <w:sz w:val="32"/>
          <w:szCs w:val="32"/>
        </w:rPr>
        <w:t>6.</w:t>
      </w:r>
      <w:r>
        <w:rPr>
          <w:rFonts w:hint="eastAsia" w:eastAsia="仿宋_GB2312"/>
          <w:kern w:val="0"/>
          <w:sz w:val="32"/>
          <w:szCs w:val="32"/>
        </w:rPr>
        <w:t>一般公共服务支出（类）组织事务（款）其他组织事务支出（项）：反映用于其他用于中国共产党组织部门的事务支出。</w:t>
      </w:r>
    </w:p>
    <w:p w14:paraId="7CC8533E">
      <w:pPr>
        <w:spacing w:line="600" w:lineRule="exact"/>
        <w:ind w:firstLine="640" w:firstLineChars="200"/>
        <w:rPr>
          <w:rFonts w:eastAsia="仿宋_GB2312"/>
          <w:kern w:val="0"/>
          <w:sz w:val="32"/>
          <w:szCs w:val="32"/>
        </w:rPr>
      </w:pPr>
      <w:r>
        <w:rPr>
          <w:rFonts w:eastAsia="仿宋_GB2312"/>
          <w:kern w:val="0"/>
          <w:sz w:val="32"/>
          <w:szCs w:val="32"/>
        </w:rPr>
        <w:t>7.</w:t>
      </w:r>
      <w:r>
        <w:rPr>
          <w:rFonts w:hint="eastAsia" w:eastAsia="仿宋_GB2312"/>
          <w:kern w:val="0"/>
          <w:sz w:val="32"/>
          <w:szCs w:val="32"/>
        </w:rPr>
        <w:t>社会保障和就业支出（类）人力资源和社会保障管理事务（款）其他人力资源和社会保障管理事务支出（项）：反映用于其他人力资源和社会保障管理事务支出。</w:t>
      </w:r>
    </w:p>
    <w:p w14:paraId="013E3461">
      <w:pPr>
        <w:spacing w:line="580" w:lineRule="exact"/>
        <w:ind w:firstLine="640" w:firstLineChars="200"/>
        <w:rPr>
          <w:rFonts w:eastAsia="仿宋_GB2312"/>
          <w:kern w:val="0"/>
        </w:rPr>
      </w:pPr>
      <w:r>
        <w:rPr>
          <w:rFonts w:eastAsia="仿宋_GB2312"/>
          <w:kern w:val="0"/>
          <w:sz w:val="32"/>
          <w:szCs w:val="32"/>
        </w:rPr>
        <w:t>8.</w:t>
      </w:r>
      <w:r>
        <w:rPr>
          <w:rFonts w:hint="eastAsia" w:eastAsia="仿宋_GB2312"/>
          <w:kern w:val="0"/>
          <w:sz w:val="32"/>
          <w:szCs w:val="32"/>
        </w:rPr>
        <w:t>社会保障和就业支出（类）行政事业单位养老支出（款）行政单位离退休（项）：反映用于行政单位（包括实行公务员管理的事业单位）开支的离退休经费。</w:t>
      </w:r>
    </w:p>
    <w:p w14:paraId="590AEAD1">
      <w:pPr>
        <w:spacing w:line="580" w:lineRule="exact"/>
        <w:ind w:firstLine="640" w:firstLineChars="200"/>
        <w:rPr>
          <w:rFonts w:eastAsia="仿宋_GB2312"/>
          <w:kern w:val="0"/>
          <w:sz w:val="32"/>
          <w:szCs w:val="32"/>
        </w:rPr>
      </w:pPr>
      <w:r>
        <w:rPr>
          <w:rFonts w:eastAsia="仿宋_GB2312"/>
          <w:kern w:val="0"/>
          <w:sz w:val="32"/>
          <w:szCs w:val="32"/>
        </w:rPr>
        <w:t>9.</w:t>
      </w:r>
      <w:r>
        <w:rPr>
          <w:rFonts w:hint="eastAsia" w:eastAsia="仿宋_GB2312"/>
          <w:kern w:val="0"/>
          <w:sz w:val="32"/>
          <w:szCs w:val="32"/>
        </w:rPr>
        <w:t>社会保障和就业支出（类）行政事业单位养老支出（款）事业单位离退休（项）：反映用于事业单位开支的离退休经费。</w:t>
      </w:r>
    </w:p>
    <w:p w14:paraId="36F402A3">
      <w:pPr>
        <w:spacing w:line="580" w:lineRule="exact"/>
        <w:ind w:firstLine="640" w:firstLineChars="200"/>
        <w:rPr>
          <w:rFonts w:eastAsia="仿宋_GB2312"/>
          <w:kern w:val="0"/>
          <w:sz w:val="32"/>
          <w:szCs w:val="32"/>
        </w:rPr>
      </w:pPr>
      <w:r>
        <w:rPr>
          <w:rFonts w:eastAsia="仿宋_GB2312"/>
          <w:kern w:val="0"/>
          <w:sz w:val="32"/>
          <w:szCs w:val="32"/>
        </w:rPr>
        <w:t>10.</w:t>
      </w:r>
      <w:r>
        <w:rPr>
          <w:rFonts w:hint="eastAsia" w:eastAsia="仿宋_GB2312"/>
          <w:kern w:val="0"/>
          <w:sz w:val="32"/>
          <w:szCs w:val="32"/>
        </w:rPr>
        <w:t>社会保障和就业支出（类）行政事业单位养老支出（款）机关事业单位基本养老保险缴费支出（项）：反映用于反映机关事业单位实施养老保险制度由单位缴纳的基本养老保险缴费支出。</w:t>
      </w:r>
    </w:p>
    <w:p w14:paraId="11ADF9F7">
      <w:pPr>
        <w:spacing w:line="600" w:lineRule="exact"/>
        <w:ind w:firstLine="640" w:firstLineChars="200"/>
        <w:rPr>
          <w:rFonts w:eastAsia="仿宋_GB2312"/>
          <w:kern w:val="0"/>
          <w:sz w:val="32"/>
          <w:szCs w:val="32"/>
        </w:rPr>
      </w:pPr>
      <w:r>
        <w:rPr>
          <w:rFonts w:eastAsia="仿宋_GB2312"/>
          <w:kern w:val="0"/>
          <w:sz w:val="32"/>
          <w:szCs w:val="32"/>
        </w:rPr>
        <w:t>11.</w:t>
      </w:r>
      <w:r>
        <w:rPr>
          <w:rFonts w:hint="eastAsia" w:eastAsia="仿宋_GB2312"/>
          <w:kern w:val="0"/>
          <w:sz w:val="32"/>
          <w:szCs w:val="32"/>
        </w:rPr>
        <w:t>社会保障和就业支出（类）行政事业单位养老支出（款）机关事业单位职业年金缴费支出（项）：反映用于机关事业单位实施养老保险制度由单位实际缴纳的职业年金支出（含职业年金补记支出）。</w:t>
      </w:r>
    </w:p>
    <w:p w14:paraId="488D4C7E">
      <w:pPr>
        <w:spacing w:line="600" w:lineRule="exact"/>
        <w:ind w:firstLine="640" w:firstLineChars="200"/>
        <w:rPr>
          <w:rFonts w:eastAsia="仿宋_GB2312"/>
          <w:kern w:val="0"/>
          <w:sz w:val="32"/>
          <w:szCs w:val="32"/>
        </w:rPr>
      </w:pPr>
      <w:r>
        <w:rPr>
          <w:rFonts w:eastAsia="仿宋_GB2312"/>
          <w:kern w:val="0"/>
          <w:sz w:val="32"/>
          <w:szCs w:val="32"/>
        </w:rPr>
        <w:t>12.</w:t>
      </w:r>
      <w:r>
        <w:rPr>
          <w:rFonts w:hint="eastAsia" w:eastAsia="仿宋_GB2312"/>
          <w:kern w:val="0"/>
          <w:sz w:val="32"/>
          <w:szCs w:val="32"/>
        </w:rPr>
        <w:t>社会保障和就业支出（类）社会福利（款）儿童福利（项）：反映用于儿童提供福利服务方面的支出。</w:t>
      </w:r>
    </w:p>
    <w:p w14:paraId="49F17527">
      <w:pPr>
        <w:spacing w:line="580" w:lineRule="exact"/>
        <w:ind w:firstLine="640" w:firstLineChars="200"/>
        <w:rPr>
          <w:rFonts w:eastAsia="仿宋_GB2312"/>
          <w:kern w:val="0"/>
        </w:rPr>
      </w:pPr>
      <w:r>
        <w:rPr>
          <w:rFonts w:eastAsia="仿宋_GB2312"/>
          <w:kern w:val="0"/>
          <w:sz w:val="32"/>
          <w:szCs w:val="32"/>
        </w:rPr>
        <w:t>13.</w:t>
      </w:r>
      <w:r>
        <w:rPr>
          <w:rFonts w:hint="eastAsia" w:eastAsia="仿宋_GB2312"/>
          <w:kern w:val="0"/>
          <w:sz w:val="32"/>
          <w:szCs w:val="32"/>
        </w:rPr>
        <w:t>卫生健康支出（类）行政事业单位医疗（款）行政单位医疗（项）：反映用于财政部门安排的行政单位（包括实行公务员管理的事业单位）基本医疗保险缴费经费，未参加医疗保险的行政单位的公费医疗经费，按照国家规定享受离休人员、红军老战士待遇人员的医疗经费。</w:t>
      </w:r>
    </w:p>
    <w:p w14:paraId="7E72679D">
      <w:pPr>
        <w:spacing w:line="580" w:lineRule="exact"/>
        <w:ind w:firstLine="640" w:firstLineChars="200"/>
        <w:rPr>
          <w:rFonts w:eastAsia="仿宋_GB2312"/>
          <w:kern w:val="0"/>
          <w:sz w:val="32"/>
          <w:szCs w:val="32"/>
        </w:rPr>
      </w:pPr>
      <w:r>
        <w:rPr>
          <w:rFonts w:eastAsia="仿宋_GB2312"/>
          <w:kern w:val="0"/>
          <w:sz w:val="32"/>
          <w:szCs w:val="32"/>
        </w:rPr>
        <w:t>14.</w:t>
      </w:r>
      <w:r>
        <w:rPr>
          <w:rFonts w:hint="eastAsia" w:eastAsia="仿宋_GB2312"/>
          <w:kern w:val="0"/>
          <w:sz w:val="32"/>
          <w:szCs w:val="32"/>
        </w:rPr>
        <w:t>卫生健康支出（类）行政事业单位医疗（款）事业单位医疗（项）：反映用于财政部门安排的事业单位基本医疗保险缴费经费，未参加医疗保险的事业单位的公费医疗经费，按照国家规定享受离退休人员待遇的医疗经费。</w:t>
      </w:r>
    </w:p>
    <w:p w14:paraId="519EFE5F">
      <w:pPr>
        <w:spacing w:line="580" w:lineRule="exact"/>
        <w:ind w:firstLine="640" w:firstLineChars="200"/>
        <w:rPr>
          <w:rFonts w:eastAsia="仿宋_GB2312"/>
          <w:kern w:val="0"/>
          <w:sz w:val="32"/>
          <w:szCs w:val="32"/>
        </w:rPr>
      </w:pPr>
      <w:r>
        <w:rPr>
          <w:rFonts w:eastAsia="仿宋_GB2312"/>
          <w:kern w:val="0"/>
          <w:sz w:val="32"/>
          <w:szCs w:val="32"/>
        </w:rPr>
        <w:t>15.</w:t>
      </w:r>
      <w:r>
        <w:rPr>
          <w:rFonts w:hint="eastAsia" w:eastAsia="仿宋_GB2312"/>
          <w:kern w:val="0"/>
          <w:sz w:val="32"/>
          <w:szCs w:val="32"/>
        </w:rPr>
        <w:t>卫生健康支出（类）行政事业单位医疗（款）公务员医疗补助（项）：反映用于财政部门安排的公务员医疗补助经费。</w:t>
      </w:r>
    </w:p>
    <w:p w14:paraId="011DD53A">
      <w:pPr>
        <w:spacing w:line="580" w:lineRule="exact"/>
        <w:ind w:firstLine="640" w:firstLineChars="200"/>
        <w:rPr>
          <w:rFonts w:eastAsia="仿宋_GB2312"/>
          <w:kern w:val="0"/>
          <w:sz w:val="32"/>
          <w:szCs w:val="32"/>
        </w:rPr>
      </w:pPr>
      <w:r>
        <w:rPr>
          <w:rFonts w:eastAsia="仿宋_GB2312"/>
          <w:kern w:val="0"/>
          <w:sz w:val="32"/>
          <w:szCs w:val="32"/>
        </w:rPr>
        <w:t>16.</w:t>
      </w:r>
      <w:r>
        <w:rPr>
          <w:rFonts w:hint="eastAsia" w:eastAsia="仿宋_GB2312"/>
          <w:kern w:val="0"/>
          <w:sz w:val="32"/>
          <w:szCs w:val="32"/>
        </w:rPr>
        <w:t>卫生健康支出（类）行政事业单位医疗（款）其他行政事业单位医疗支出（项）：反</w:t>
      </w:r>
      <w:bookmarkStart w:id="117" w:name="OLE_LINK95"/>
      <w:bookmarkStart w:id="118" w:name="OLE_LINK96"/>
      <w:r>
        <w:rPr>
          <w:rFonts w:hint="eastAsia" w:eastAsia="仿宋_GB2312"/>
          <w:kern w:val="0"/>
          <w:sz w:val="32"/>
          <w:szCs w:val="32"/>
        </w:rPr>
        <w:t>映</w:t>
      </w:r>
      <w:bookmarkEnd w:id="117"/>
      <w:bookmarkEnd w:id="118"/>
      <w:r>
        <w:rPr>
          <w:rFonts w:hint="eastAsia" w:eastAsia="仿宋_GB2312"/>
          <w:kern w:val="0"/>
          <w:sz w:val="32"/>
          <w:szCs w:val="32"/>
        </w:rPr>
        <w:t>用于其他用于行政事业单位医疗方面的支出。</w:t>
      </w:r>
    </w:p>
    <w:p w14:paraId="4626FFE7">
      <w:pPr>
        <w:spacing w:line="600" w:lineRule="exact"/>
        <w:ind w:firstLine="640" w:firstLineChars="200"/>
        <w:rPr>
          <w:rFonts w:eastAsia="仿宋_GB2312"/>
          <w:kern w:val="0"/>
          <w:sz w:val="32"/>
          <w:szCs w:val="32"/>
        </w:rPr>
      </w:pPr>
      <w:r>
        <w:rPr>
          <w:rFonts w:eastAsia="仿宋_GB2312"/>
          <w:kern w:val="0"/>
          <w:sz w:val="32"/>
          <w:szCs w:val="32"/>
        </w:rPr>
        <w:t>1</w:t>
      </w:r>
      <w:r>
        <w:rPr>
          <w:rFonts w:hint="eastAsia" w:eastAsia="仿宋_GB2312"/>
          <w:kern w:val="0"/>
          <w:sz w:val="32"/>
          <w:szCs w:val="32"/>
        </w:rPr>
        <w:t>7</w:t>
      </w:r>
      <w:r>
        <w:rPr>
          <w:rFonts w:eastAsia="仿宋_GB2312"/>
          <w:kern w:val="0"/>
          <w:sz w:val="32"/>
          <w:szCs w:val="32"/>
        </w:rPr>
        <w:t>.</w:t>
      </w:r>
      <w:bookmarkStart w:id="119" w:name="OLE_LINK90"/>
      <w:bookmarkStart w:id="120" w:name="OLE_LINK89"/>
      <w:r>
        <w:rPr>
          <w:rFonts w:hint="eastAsia" w:eastAsia="仿宋_GB2312"/>
          <w:kern w:val="0"/>
          <w:sz w:val="32"/>
          <w:szCs w:val="32"/>
        </w:rPr>
        <w:t>城乡社区支出（类）城乡社区公共设施（款）其他城乡社区公共设施支出（项）：</w:t>
      </w:r>
      <w:bookmarkEnd w:id="119"/>
      <w:bookmarkEnd w:id="120"/>
      <w:bookmarkStart w:id="121" w:name="OLE_LINK97"/>
      <w:r>
        <w:rPr>
          <w:rFonts w:hint="eastAsia" w:eastAsia="仿宋_GB2312"/>
          <w:kern w:val="0"/>
          <w:sz w:val="32"/>
          <w:szCs w:val="32"/>
        </w:rPr>
        <w:t>反映</w:t>
      </w:r>
      <w:bookmarkEnd w:id="121"/>
      <w:r>
        <w:rPr>
          <w:rFonts w:hint="eastAsia" w:eastAsia="仿宋_GB2312"/>
          <w:kern w:val="0"/>
          <w:sz w:val="32"/>
          <w:szCs w:val="32"/>
        </w:rPr>
        <w:t>其他用于城乡社区公共设施方面的支出。</w:t>
      </w:r>
    </w:p>
    <w:p w14:paraId="3C616441">
      <w:pPr>
        <w:spacing w:line="600" w:lineRule="exact"/>
        <w:ind w:firstLine="640" w:firstLineChars="200"/>
        <w:rPr>
          <w:rFonts w:eastAsia="仿宋_GB2312"/>
          <w:kern w:val="0"/>
          <w:sz w:val="32"/>
          <w:szCs w:val="32"/>
        </w:rPr>
      </w:pPr>
      <w:r>
        <w:rPr>
          <w:rFonts w:eastAsia="仿宋_GB2312"/>
          <w:kern w:val="0"/>
          <w:sz w:val="32"/>
          <w:szCs w:val="32"/>
        </w:rPr>
        <w:t>1</w:t>
      </w:r>
      <w:r>
        <w:rPr>
          <w:rFonts w:hint="eastAsia" w:eastAsia="仿宋_GB2312"/>
          <w:kern w:val="0"/>
          <w:sz w:val="32"/>
          <w:szCs w:val="32"/>
        </w:rPr>
        <w:t>8</w:t>
      </w:r>
      <w:r>
        <w:rPr>
          <w:rFonts w:eastAsia="仿宋_GB2312"/>
          <w:kern w:val="0"/>
          <w:sz w:val="32"/>
          <w:szCs w:val="32"/>
        </w:rPr>
        <w:t>.</w:t>
      </w:r>
      <w:r>
        <w:rPr>
          <w:rFonts w:hint="eastAsia" w:eastAsia="仿宋_GB2312"/>
          <w:kern w:val="0"/>
          <w:sz w:val="32"/>
          <w:szCs w:val="32"/>
        </w:rPr>
        <w:t>交通运输支出（类）公路水路运输（款）行政运行（项）：反映行政单位（包括实行公务员管理的事业单位）的基本支出。</w:t>
      </w:r>
    </w:p>
    <w:p w14:paraId="0B77FF1D">
      <w:pPr>
        <w:spacing w:line="600" w:lineRule="exact"/>
        <w:ind w:firstLine="640" w:firstLineChars="200"/>
        <w:rPr>
          <w:rFonts w:eastAsia="仿宋_GB2312"/>
          <w:kern w:val="0"/>
          <w:sz w:val="32"/>
          <w:szCs w:val="32"/>
        </w:rPr>
      </w:pPr>
      <w:r>
        <w:rPr>
          <w:rFonts w:hint="eastAsia" w:eastAsia="仿宋_GB2312"/>
          <w:kern w:val="0"/>
          <w:sz w:val="32"/>
          <w:szCs w:val="32"/>
        </w:rPr>
        <w:t>19.自然资源海洋气象等支出（类）自然资源事务（款）行政运行（项）：反映用于行政单位（包括实行公务员管理的事业单位）的基本支出。</w:t>
      </w:r>
    </w:p>
    <w:p w14:paraId="7E40337E">
      <w:pPr>
        <w:pStyle w:val="3"/>
        <w:ind w:left="199" w:leftChars="95" w:firstLine="419" w:firstLineChars="131"/>
        <w:rPr>
          <w:rFonts w:ascii="Times New Roman" w:eastAsia="仿宋_GB2312"/>
          <w:kern w:val="0"/>
          <w:sz w:val="32"/>
        </w:rPr>
      </w:pPr>
      <w:r>
        <w:rPr>
          <w:rFonts w:ascii="Times New Roman" w:eastAsia="仿宋_GB2312"/>
          <w:kern w:val="0"/>
          <w:sz w:val="32"/>
        </w:rPr>
        <w:t>20.</w:t>
      </w:r>
      <w:r>
        <w:rPr>
          <w:rFonts w:hint="eastAsia" w:ascii="Times New Roman" w:eastAsia="仿宋_GB2312"/>
          <w:kern w:val="0"/>
          <w:sz w:val="32"/>
        </w:rPr>
        <w:t>自然资源海洋气象等支出（类）自然资源事务（款）自然资源规划及管理（项）：反映用于国土空间规划、国土空间开发适宜性评价等方面的支出。</w:t>
      </w:r>
    </w:p>
    <w:p w14:paraId="26641A16">
      <w:pPr>
        <w:spacing w:line="600" w:lineRule="exact"/>
        <w:ind w:firstLine="640" w:firstLineChars="200"/>
        <w:rPr>
          <w:rFonts w:eastAsia="仿宋_GB2312"/>
          <w:kern w:val="0"/>
          <w:sz w:val="32"/>
          <w:szCs w:val="32"/>
        </w:rPr>
      </w:pPr>
      <w:r>
        <w:rPr>
          <w:rFonts w:eastAsia="仿宋_GB2312"/>
          <w:kern w:val="0"/>
          <w:sz w:val="32"/>
          <w:szCs w:val="32"/>
        </w:rPr>
        <w:t>21.</w:t>
      </w:r>
      <w:r>
        <w:rPr>
          <w:rFonts w:hint="eastAsia" w:eastAsia="仿宋_GB2312"/>
          <w:kern w:val="0"/>
          <w:sz w:val="32"/>
          <w:szCs w:val="32"/>
        </w:rPr>
        <w:t>自然资源海洋气象等支出（类）自然资源事务（款）自然资源利用与保护（项）：反映用于自然资源有偿使用与合理开发利用，国土空间生态修复，国土整治，耕地保护等方面的支出。</w:t>
      </w:r>
    </w:p>
    <w:p w14:paraId="1E98C45A">
      <w:pPr>
        <w:spacing w:line="600" w:lineRule="exact"/>
        <w:ind w:firstLine="640" w:firstLineChars="200"/>
        <w:rPr>
          <w:rFonts w:eastAsia="仿宋_GB2312"/>
          <w:kern w:val="0"/>
          <w:sz w:val="32"/>
          <w:szCs w:val="32"/>
        </w:rPr>
      </w:pPr>
      <w:r>
        <w:rPr>
          <w:rFonts w:eastAsia="仿宋_GB2312"/>
          <w:kern w:val="0"/>
          <w:sz w:val="32"/>
          <w:szCs w:val="32"/>
        </w:rPr>
        <w:t>22.</w:t>
      </w:r>
      <w:r>
        <w:rPr>
          <w:rFonts w:hint="eastAsia" w:eastAsia="仿宋_GB2312"/>
          <w:kern w:val="0"/>
          <w:sz w:val="32"/>
          <w:szCs w:val="32"/>
        </w:rPr>
        <w:t>自然资源海洋气象等支出（类）自然资源事务（款）自然资源调查与确权登记（项）：</w:t>
      </w:r>
      <w:bookmarkStart w:id="122" w:name="OLE_LINK98"/>
      <w:r>
        <w:rPr>
          <w:rFonts w:hint="eastAsia" w:eastAsia="仿宋_GB2312"/>
          <w:kern w:val="0"/>
          <w:sz w:val="32"/>
          <w:szCs w:val="32"/>
        </w:rPr>
        <w:t>反映用于</w:t>
      </w:r>
      <w:bookmarkEnd w:id="122"/>
      <w:r>
        <w:rPr>
          <w:rFonts w:hint="eastAsia" w:eastAsia="仿宋_GB2312"/>
          <w:kern w:val="0"/>
          <w:sz w:val="32"/>
          <w:szCs w:val="32"/>
        </w:rPr>
        <w:t>自然资源部门用于自然资源调查监测评价，自然资源统一确权登记等方面的支出。</w:t>
      </w:r>
    </w:p>
    <w:p w14:paraId="74B668F0">
      <w:pPr>
        <w:spacing w:line="600" w:lineRule="exact"/>
        <w:ind w:firstLine="640" w:firstLineChars="200"/>
        <w:rPr>
          <w:rFonts w:eastAsia="仿宋_GB2312"/>
          <w:kern w:val="0"/>
          <w:sz w:val="32"/>
          <w:szCs w:val="32"/>
        </w:rPr>
      </w:pPr>
      <w:r>
        <w:rPr>
          <w:rFonts w:eastAsia="仿宋_GB2312"/>
          <w:kern w:val="0"/>
          <w:sz w:val="32"/>
          <w:szCs w:val="32"/>
        </w:rPr>
        <w:t>23.</w:t>
      </w:r>
      <w:bookmarkStart w:id="123" w:name="OLE_LINK92"/>
      <w:bookmarkStart w:id="124" w:name="OLE_LINK91"/>
      <w:r>
        <w:rPr>
          <w:rFonts w:hint="eastAsia" w:eastAsia="仿宋_GB2312"/>
          <w:kern w:val="0"/>
          <w:sz w:val="32"/>
          <w:szCs w:val="32"/>
        </w:rPr>
        <w:t>自然资源海洋气象等支出（类）自然资源事务（款）</w:t>
      </w:r>
      <w:bookmarkEnd w:id="123"/>
      <w:bookmarkEnd w:id="124"/>
      <w:r>
        <w:rPr>
          <w:rFonts w:hint="eastAsia" w:eastAsia="仿宋_GB2312"/>
          <w:kern w:val="0"/>
          <w:sz w:val="32"/>
          <w:szCs w:val="32"/>
        </w:rPr>
        <w:t>地质勘查与矿产资源管理</w:t>
      </w:r>
      <w:bookmarkStart w:id="125" w:name="OLE_LINK93"/>
      <w:bookmarkStart w:id="126" w:name="OLE_LINK94"/>
      <w:r>
        <w:rPr>
          <w:rFonts w:hint="eastAsia" w:eastAsia="仿宋_GB2312"/>
          <w:kern w:val="0"/>
          <w:sz w:val="32"/>
          <w:szCs w:val="32"/>
        </w:rPr>
        <w:t>（项）</w:t>
      </w:r>
      <w:bookmarkEnd w:id="125"/>
      <w:bookmarkEnd w:id="126"/>
      <w:r>
        <w:rPr>
          <w:rFonts w:hint="eastAsia" w:eastAsia="仿宋_GB2312"/>
          <w:kern w:val="0"/>
          <w:sz w:val="32"/>
          <w:szCs w:val="32"/>
        </w:rPr>
        <w:t>：反映用于地质勘查行业和地质管理工作，矿业权管理，矿产资源合理利用和保护等方面的支出。</w:t>
      </w:r>
    </w:p>
    <w:p w14:paraId="3B314EB1">
      <w:pPr>
        <w:spacing w:line="600" w:lineRule="exact"/>
        <w:ind w:firstLine="640" w:firstLineChars="200"/>
        <w:rPr>
          <w:rFonts w:eastAsia="仿宋_GB2312"/>
          <w:kern w:val="0"/>
          <w:sz w:val="32"/>
          <w:szCs w:val="32"/>
        </w:rPr>
      </w:pPr>
      <w:r>
        <w:rPr>
          <w:rFonts w:hint="eastAsia" w:eastAsia="仿宋_GB2312"/>
          <w:kern w:val="0"/>
          <w:sz w:val="32"/>
          <w:szCs w:val="32"/>
        </w:rPr>
        <w:t>24.自然资源海洋气象等支出（类）自然资源事务（款）基础测绘与地理信息监管（项）：反映基础测绘、航空摄影、地理信息应用与安全监管等方面的支出。</w:t>
      </w:r>
    </w:p>
    <w:p w14:paraId="4C1A7043">
      <w:pPr>
        <w:spacing w:line="600" w:lineRule="exact"/>
        <w:ind w:firstLine="640" w:firstLineChars="200"/>
        <w:rPr>
          <w:rFonts w:eastAsia="仿宋_GB2312"/>
          <w:kern w:val="0"/>
          <w:sz w:val="32"/>
          <w:szCs w:val="32"/>
        </w:rPr>
      </w:pPr>
      <w:r>
        <w:rPr>
          <w:rFonts w:hint="eastAsia" w:eastAsia="仿宋_GB2312"/>
          <w:kern w:val="0"/>
          <w:sz w:val="32"/>
          <w:szCs w:val="32"/>
        </w:rPr>
        <w:t>25.自然资源海洋气象等支出（类）自然资源事务（款）事业运行（项）指：反映用于事业单位的基本支出，不包括行政单位（包括实行公务员管理的事业单位）后勤服务中心、医务室等附属事业单位。</w:t>
      </w:r>
    </w:p>
    <w:p w14:paraId="55621B4E">
      <w:pPr>
        <w:spacing w:line="58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6</w:t>
      </w:r>
      <w:r>
        <w:rPr>
          <w:rFonts w:eastAsia="仿宋_GB2312"/>
          <w:kern w:val="0"/>
          <w:sz w:val="32"/>
          <w:szCs w:val="32"/>
        </w:rPr>
        <w:t>.</w:t>
      </w:r>
      <w:r>
        <w:rPr>
          <w:rFonts w:hint="eastAsia" w:eastAsia="仿宋_GB2312"/>
          <w:kern w:val="0"/>
          <w:sz w:val="32"/>
          <w:szCs w:val="32"/>
        </w:rPr>
        <w:t>自然资源海洋气象等支出（类）自然资源事务（款）其他自然资源事务支出（项）：反映用于其他自然资源事务支出。</w:t>
      </w:r>
      <w:r>
        <w:rPr>
          <w:rFonts w:eastAsia="仿宋_GB2312"/>
          <w:kern w:val="0"/>
          <w:sz w:val="32"/>
          <w:szCs w:val="32"/>
        </w:rPr>
        <w:t xml:space="preserve"> </w:t>
      </w:r>
    </w:p>
    <w:p w14:paraId="58459DB5">
      <w:pPr>
        <w:spacing w:line="60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7</w:t>
      </w:r>
      <w:r>
        <w:rPr>
          <w:rFonts w:eastAsia="仿宋_GB2312"/>
          <w:kern w:val="0"/>
          <w:sz w:val="32"/>
          <w:szCs w:val="32"/>
        </w:rPr>
        <w:t>.</w:t>
      </w:r>
      <w:r>
        <w:rPr>
          <w:rFonts w:hint="eastAsia" w:eastAsia="仿宋_GB2312"/>
          <w:kern w:val="0"/>
          <w:sz w:val="32"/>
          <w:szCs w:val="32"/>
        </w:rPr>
        <w:t>住房保障支出（类）住房改革支出（款）住房公积金（项）指：反映用于行政事业单位按人力资源和社会保障部门、财政部规定的基本工资和津贴补贴以及规定比例为职工缴纳的住房公积金。</w:t>
      </w:r>
    </w:p>
    <w:p w14:paraId="791DAAED">
      <w:pPr>
        <w:spacing w:line="60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8</w:t>
      </w:r>
      <w:r>
        <w:rPr>
          <w:rFonts w:eastAsia="仿宋_GB2312"/>
          <w:kern w:val="0"/>
          <w:sz w:val="32"/>
          <w:szCs w:val="32"/>
        </w:rPr>
        <w:t>.</w:t>
      </w:r>
      <w:r>
        <w:rPr>
          <w:rFonts w:hint="eastAsia" w:eastAsia="仿宋_GB2312"/>
          <w:kern w:val="0"/>
          <w:sz w:val="32"/>
          <w:szCs w:val="32"/>
        </w:rPr>
        <w:t>灾害防治及应急管理支出（类）自然灾害防治（款）地质灾害防治（项）：反映用于地质灾害方面的支出。</w:t>
      </w:r>
    </w:p>
    <w:p w14:paraId="02E7A895">
      <w:pPr>
        <w:spacing w:line="600" w:lineRule="exact"/>
        <w:ind w:firstLine="640" w:firstLineChars="200"/>
        <w:rPr>
          <w:rFonts w:eastAsia="仿宋_GB2312"/>
          <w:kern w:val="0"/>
          <w:sz w:val="32"/>
          <w:szCs w:val="32"/>
        </w:rPr>
      </w:pPr>
      <w:r>
        <w:rPr>
          <w:rFonts w:eastAsia="仿宋_GB2312"/>
          <w:kern w:val="0"/>
          <w:sz w:val="32"/>
          <w:szCs w:val="32"/>
        </w:rPr>
        <w:t>2</w:t>
      </w:r>
      <w:r>
        <w:rPr>
          <w:rFonts w:hint="eastAsia" w:eastAsia="仿宋_GB2312"/>
          <w:kern w:val="0"/>
          <w:sz w:val="32"/>
          <w:szCs w:val="32"/>
        </w:rPr>
        <w:t>9</w:t>
      </w:r>
      <w:r>
        <w:rPr>
          <w:rFonts w:eastAsia="仿宋_GB2312"/>
          <w:kern w:val="0"/>
          <w:sz w:val="32"/>
          <w:szCs w:val="32"/>
        </w:rPr>
        <w:t>.</w:t>
      </w:r>
      <w:r>
        <w:rPr>
          <w:rFonts w:hint="eastAsia" w:eastAsia="仿宋_GB2312"/>
          <w:kern w:val="0"/>
          <w:sz w:val="32"/>
          <w:szCs w:val="32"/>
        </w:rPr>
        <w:t>基本支出：指为保证机构正常运转，完成日常工作任务而发生的人员支出和公用支出。</w:t>
      </w:r>
    </w:p>
    <w:p w14:paraId="6D5CB0BA">
      <w:pPr>
        <w:spacing w:line="600" w:lineRule="exact"/>
        <w:ind w:firstLine="640" w:firstLineChars="200"/>
        <w:rPr>
          <w:rFonts w:eastAsia="仿宋_GB2312"/>
          <w:kern w:val="0"/>
          <w:sz w:val="32"/>
          <w:szCs w:val="32"/>
        </w:rPr>
      </w:pPr>
      <w:r>
        <w:rPr>
          <w:rFonts w:hint="eastAsia" w:eastAsia="仿宋_GB2312"/>
          <w:kern w:val="0"/>
          <w:sz w:val="32"/>
          <w:szCs w:val="32"/>
        </w:rPr>
        <w:t>30</w:t>
      </w:r>
      <w:r>
        <w:rPr>
          <w:rFonts w:eastAsia="仿宋_GB2312"/>
          <w:kern w:val="0"/>
          <w:sz w:val="32"/>
          <w:szCs w:val="32"/>
        </w:rPr>
        <w:t>.</w:t>
      </w:r>
      <w:r>
        <w:rPr>
          <w:rFonts w:hint="eastAsia" w:eastAsia="仿宋_GB2312"/>
          <w:kern w:val="0"/>
          <w:sz w:val="32"/>
          <w:szCs w:val="32"/>
        </w:rPr>
        <w:t>项目支出：指在基本支出之外为完成特定的工作任务和事业发展目标所发生的支出。</w:t>
      </w:r>
    </w:p>
    <w:p w14:paraId="7D1DD30C">
      <w:pPr>
        <w:spacing w:line="600" w:lineRule="exact"/>
        <w:ind w:firstLine="640" w:firstLineChars="200"/>
        <w:rPr>
          <w:rFonts w:eastAsia="仿宋_GB2312"/>
          <w:kern w:val="0"/>
          <w:sz w:val="32"/>
          <w:szCs w:val="32"/>
        </w:rPr>
      </w:pPr>
      <w:r>
        <w:rPr>
          <w:rFonts w:hint="eastAsia" w:eastAsia="仿宋_GB2312"/>
          <w:kern w:val="0"/>
          <w:sz w:val="32"/>
          <w:szCs w:val="32"/>
        </w:rPr>
        <w:t>31</w:t>
      </w:r>
      <w:r>
        <w:rPr>
          <w:rFonts w:eastAsia="仿宋_GB2312"/>
          <w:kern w:val="0"/>
          <w:sz w:val="32"/>
          <w:szCs w:val="32"/>
        </w:rPr>
        <w:t xml:space="preserve">. </w:t>
      </w:r>
      <w:r>
        <w:rPr>
          <w:rFonts w:hint="eastAsia" w:eastAsia="仿宋_GB2312"/>
          <w:kern w:val="0"/>
          <w:sz w:val="32"/>
          <w:szCs w:val="32"/>
        </w:rPr>
        <w:t>“三公”经费：纳入预决算管理的“三公”经费，是指部门用财政拨款安排的因公出国（境）费用、公务用车购置及运行维护费和公务接待费。其中，因公出国（境）费用反映单位公务出国（境）的国际旅费、国外城市间交通费、住宿费、伙食费、培训费、公杂费等支出；公务用车购置及运行维护费反映公务用车购置支出（含车辆购置税、牌照费）及单位按规定保留的公务用车燃料费、新能源汽车充电费、维修费、过桥过路费、保险费、安全奖励费用等支出；公务接待费反映单位按规定开支的各类公务接待（含外宾接待）费用。</w:t>
      </w:r>
    </w:p>
    <w:p w14:paraId="60E6DA2E">
      <w:pPr>
        <w:spacing w:line="600" w:lineRule="exact"/>
        <w:ind w:firstLine="640" w:firstLineChars="200"/>
        <w:rPr>
          <w:rFonts w:eastAsia="仿宋_GB2312"/>
          <w:kern w:val="0"/>
          <w:sz w:val="32"/>
          <w:szCs w:val="32"/>
        </w:rPr>
      </w:pPr>
      <w:r>
        <w:rPr>
          <w:rFonts w:eastAsia="仿宋_GB2312"/>
          <w:kern w:val="0"/>
          <w:sz w:val="32"/>
          <w:szCs w:val="32"/>
        </w:rPr>
        <w:t>3</w:t>
      </w:r>
      <w:r>
        <w:rPr>
          <w:rFonts w:hint="eastAsia" w:eastAsia="仿宋_GB2312"/>
          <w:kern w:val="0"/>
          <w:sz w:val="32"/>
          <w:szCs w:val="32"/>
        </w:rPr>
        <w:t>2</w:t>
      </w:r>
      <w:r>
        <w:rPr>
          <w:rFonts w:eastAsia="仿宋_GB2312"/>
          <w:kern w:val="0"/>
          <w:sz w:val="32"/>
          <w:szCs w:val="32"/>
        </w:rPr>
        <w:t>.</w:t>
      </w:r>
      <w:r>
        <w:rPr>
          <w:rFonts w:hint="eastAsia" w:eastAsia="仿宋_GB2312"/>
          <w:kern w:val="0"/>
          <w:sz w:val="32"/>
          <w:szCs w:val="32"/>
        </w:rPr>
        <w:t>机关运行经费：为保障行政单位（包含参照公务员法管理的事业单位）运行用于购买货物和服务的各项资金。包括办公及办公费、水费、电费、印刷费、邮电费、差旅费、会议费等费用开支。</w:t>
      </w:r>
    </w:p>
    <w:p w14:paraId="4EA34AF4">
      <w:pPr>
        <w:spacing w:line="600" w:lineRule="exact"/>
        <w:jc w:val="center"/>
        <w:rPr>
          <w:rFonts w:eastAsia="黑体"/>
          <w:sz w:val="44"/>
          <w:szCs w:val="44"/>
        </w:rPr>
      </w:pPr>
      <w:r>
        <w:rPr>
          <w:rFonts w:hint="eastAsia" w:eastAsia="仿宋_GB2312" w:cs="仿宋_GB2312"/>
          <w:sz w:val="32"/>
          <w:szCs w:val="32"/>
        </w:rPr>
        <w:br w:type="page"/>
      </w:r>
      <w:bookmarkStart w:id="127" w:name="_Toc15396614"/>
      <w:r>
        <w:rPr>
          <w:rFonts w:hint="eastAsia" w:eastAsia="黑体"/>
          <w:sz w:val="44"/>
          <w:szCs w:val="44"/>
        </w:rPr>
        <w:t>第四部分  附件</w:t>
      </w:r>
      <w:bookmarkEnd w:id="127"/>
    </w:p>
    <w:p w14:paraId="42C708C7">
      <w:pPr>
        <w:pStyle w:val="2"/>
      </w:pPr>
    </w:p>
    <w:p w14:paraId="5C2FE605">
      <w:pPr>
        <w:pStyle w:val="3"/>
        <w:ind w:left="420"/>
      </w:pPr>
    </w:p>
    <w:p w14:paraId="42901E99">
      <w:pPr>
        <w:pStyle w:val="3"/>
        <w:spacing w:line="560" w:lineRule="exact"/>
        <w:ind w:left="0" w:leftChars="0" w:firstLine="640"/>
        <w:rPr>
          <w:rFonts w:ascii="Times New Roman" w:eastAsia="仿宋_GB2312"/>
          <w:sz w:val="32"/>
          <w:lang w:val="zh-CN" w:bidi="ar"/>
        </w:rPr>
      </w:pPr>
      <w:r>
        <w:rPr>
          <w:rFonts w:hint="eastAsia" w:ascii="Times New Roman" w:eastAsia="仿宋_GB2312"/>
          <w:sz w:val="32"/>
          <w:lang w:val="zh-CN" w:bidi="ar"/>
        </w:rPr>
        <w:t>附表：攀枝花市自然资源和规划局（本级）</w:t>
      </w:r>
      <w:r>
        <w:rPr>
          <w:rFonts w:hint="eastAsia" w:ascii="Times New Roman" w:eastAsia="仿宋_GB2312"/>
          <w:sz w:val="32"/>
          <w:lang w:bidi="ar"/>
        </w:rPr>
        <w:t>部门预算项目支出绩效自评表（2025年度）</w:t>
      </w:r>
    </w:p>
    <w:p w14:paraId="161600D5">
      <w:pPr>
        <w:rPr>
          <w:rFonts w:eastAsia="黑体" w:cs="黑体"/>
          <w:kern w:val="0"/>
          <w:sz w:val="32"/>
          <w:szCs w:val="32"/>
          <w:shd w:val="clear" w:color="auto" w:fill="FFFFFF"/>
          <w:lang w:val="zh-CN"/>
        </w:rPr>
      </w:pPr>
      <w:r>
        <w:rPr>
          <w:rFonts w:hint="eastAsia" w:eastAsia="黑体" w:cs="黑体"/>
          <w:kern w:val="0"/>
          <w:sz w:val="32"/>
          <w:szCs w:val="32"/>
          <w:shd w:val="clear" w:color="auto" w:fill="FFFFFF"/>
          <w:lang w:val="zh-CN"/>
        </w:rPr>
        <w:br w:type="page"/>
      </w:r>
    </w:p>
    <w:p w14:paraId="26C93A65">
      <w:pPr>
        <w:widowControl/>
        <w:jc w:val="center"/>
        <w:rPr>
          <w:rFonts w:eastAsia="仿宋"/>
        </w:rPr>
      </w:pPr>
      <w:bookmarkStart w:id="128" w:name="_Toc15396618"/>
      <w:r>
        <w:rPr>
          <w:rFonts w:hint="eastAsia" w:eastAsia="黑体"/>
          <w:sz w:val="44"/>
          <w:szCs w:val="44"/>
        </w:rPr>
        <w:t>第</w:t>
      </w:r>
      <w:r>
        <w:rPr>
          <w:rStyle w:val="28"/>
          <w:rFonts w:hint="eastAsia" w:eastAsia="黑体"/>
          <w:b w:val="0"/>
        </w:rPr>
        <w:t>五部分 附表</w:t>
      </w:r>
      <w:bookmarkEnd w:id="116"/>
      <w:bookmarkEnd w:id="128"/>
      <w:bookmarkStart w:id="129" w:name="_Toc15396619"/>
    </w:p>
    <w:p w14:paraId="53642BF0">
      <w:pPr>
        <w:pStyle w:val="14"/>
        <w:adjustRightInd w:val="0"/>
        <w:snapToGrid w:val="0"/>
        <w:spacing w:line="560" w:lineRule="exact"/>
        <w:jc w:val="left"/>
        <w:rPr>
          <w:rFonts w:eastAsia="仿宋_GB2312" w:cs="仿宋_GB2312"/>
          <w:sz w:val="32"/>
          <w:szCs w:val="32"/>
        </w:rPr>
      </w:pPr>
    </w:p>
    <w:p w14:paraId="21433C3D">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129"/>
    </w:p>
    <w:p w14:paraId="3146533B">
      <w:pPr>
        <w:pStyle w:val="14"/>
        <w:adjustRightInd w:val="0"/>
        <w:snapToGrid w:val="0"/>
        <w:spacing w:line="560" w:lineRule="exact"/>
        <w:jc w:val="left"/>
        <w:rPr>
          <w:rFonts w:eastAsia="仿宋_GB2312" w:cs="仿宋_GB2312"/>
          <w:sz w:val="32"/>
          <w:szCs w:val="32"/>
        </w:rPr>
      </w:pPr>
      <w:bookmarkStart w:id="130" w:name="_Toc15396620"/>
      <w:r>
        <w:rPr>
          <w:rFonts w:hint="eastAsia" w:eastAsia="仿宋_GB2312" w:cs="仿宋_GB2312"/>
          <w:sz w:val="32"/>
          <w:szCs w:val="32"/>
        </w:rPr>
        <w:t>二、收入决算表</w:t>
      </w:r>
      <w:bookmarkEnd w:id="130"/>
    </w:p>
    <w:p w14:paraId="28FB61E3">
      <w:pPr>
        <w:pStyle w:val="14"/>
        <w:adjustRightInd w:val="0"/>
        <w:snapToGrid w:val="0"/>
        <w:spacing w:line="560" w:lineRule="exact"/>
        <w:jc w:val="left"/>
        <w:rPr>
          <w:rFonts w:eastAsia="仿宋_GB2312" w:cs="仿宋_GB2312"/>
          <w:sz w:val="32"/>
          <w:szCs w:val="32"/>
        </w:rPr>
      </w:pPr>
      <w:bookmarkStart w:id="131" w:name="_Toc15396621"/>
      <w:r>
        <w:rPr>
          <w:rFonts w:hint="eastAsia" w:eastAsia="仿宋_GB2312" w:cs="仿宋_GB2312"/>
          <w:sz w:val="32"/>
          <w:szCs w:val="32"/>
        </w:rPr>
        <w:t>三、支出决算表</w:t>
      </w:r>
      <w:bookmarkEnd w:id="131"/>
    </w:p>
    <w:p w14:paraId="77D706CF">
      <w:pPr>
        <w:pStyle w:val="14"/>
        <w:adjustRightInd w:val="0"/>
        <w:snapToGrid w:val="0"/>
        <w:spacing w:line="560" w:lineRule="exact"/>
        <w:jc w:val="left"/>
        <w:rPr>
          <w:rFonts w:eastAsia="仿宋_GB2312" w:cs="仿宋_GB2312"/>
          <w:sz w:val="32"/>
          <w:szCs w:val="32"/>
        </w:rPr>
      </w:pPr>
      <w:bookmarkStart w:id="132" w:name="_Toc15396622"/>
      <w:r>
        <w:rPr>
          <w:rFonts w:hint="eastAsia" w:eastAsia="仿宋_GB2312" w:cs="仿宋_GB2312"/>
          <w:sz w:val="32"/>
          <w:szCs w:val="32"/>
        </w:rPr>
        <w:t>四、财政拨款收入支出决算总表</w:t>
      </w:r>
      <w:bookmarkEnd w:id="132"/>
    </w:p>
    <w:p w14:paraId="623DE4B6">
      <w:pPr>
        <w:pStyle w:val="14"/>
        <w:adjustRightInd w:val="0"/>
        <w:snapToGrid w:val="0"/>
        <w:spacing w:line="560" w:lineRule="exact"/>
        <w:jc w:val="left"/>
        <w:rPr>
          <w:rFonts w:eastAsia="仿宋_GB2312" w:cs="仿宋_GB2312"/>
          <w:sz w:val="32"/>
          <w:szCs w:val="32"/>
        </w:rPr>
      </w:pPr>
      <w:bookmarkStart w:id="133" w:name="_Toc15396623"/>
      <w:r>
        <w:rPr>
          <w:rFonts w:hint="eastAsia" w:eastAsia="仿宋_GB2312" w:cs="仿宋_GB2312"/>
          <w:sz w:val="32"/>
          <w:szCs w:val="32"/>
        </w:rPr>
        <w:t>五、财政拨款支出决算明细表</w:t>
      </w:r>
      <w:bookmarkEnd w:id="133"/>
      <w:bookmarkStart w:id="134" w:name="_Toc15396624"/>
    </w:p>
    <w:p w14:paraId="6B6F5F52">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134"/>
    </w:p>
    <w:p w14:paraId="556453F0">
      <w:pPr>
        <w:pStyle w:val="14"/>
        <w:adjustRightInd w:val="0"/>
        <w:snapToGrid w:val="0"/>
        <w:spacing w:line="560" w:lineRule="exact"/>
        <w:jc w:val="left"/>
        <w:rPr>
          <w:rFonts w:eastAsia="仿宋_GB2312" w:cs="仿宋_GB2312"/>
          <w:sz w:val="32"/>
          <w:szCs w:val="32"/>
        </w:rPr>
      </w:pPr>
      <w:bookmarkStart w:id="135" w:name="_Toc15396625"/>
      <w:r>
        <w:rPr>
          <w:rFonts w:hint="eastAsia" w:eastAsia="仿宋_GB2312" w:cs="仿宋_GB2312"/>
          <w:sz w:val="32"/>
          <w:szCs w:val="32"/>
        </w:rPr>
        <w:t>七、一般公共预算财政拨款支出决算明细表</w:t>
      </w:r>
      <w:bookmarkEnd w:id="135"/>
    </w:p>
    <w:p w14:paraId="1C810E69">
      <w:pPr>
        <w:pStyle w:val="14"/>
        <w:adjustRightInd w:val="0"/>
        <w:snapToGrid w:val="0"/>
        <w:spacing w:line="560" w:lineRule="exact"/>
        <w:jc w:val="left"/>
        <w:rPr>
          <w:rFonts w:eastAsia="仿宋_GB2312" w:cs="仿宋_GB2312"/>
          <w:sz w:val="32"/>
          <w:szCs w:val="32"/>
        </w:rPr>
      </w:pPr>
      <w:bookmarkStart w:id="136" w:name="_Toc15396626"/>
      <w:r>
        <w:rPr>
          <w:rFonts w:hint="eastAsia" w:eastAsia="仿宋_GB2312" w:cs="仿宋_GB2312"/>
          <w:sz w:val="32"/>
          <w:szCs w:val="32"/>
        </w:rPr>
        <w:t>八、一般公共预算财政拨款基本支出决算表</w:t>
      </w:r>
      <w:bookmarkEnd w:id="136"/>
    </w:p>
    <w:p w14:paraId="7C712F8F">
      <w:pPr>
        <w:pStyle w:val="14"/>
        <w:adjustRightInd w:val="0"/>
        <w:snapToGrid w:val="0"/>
        <w:spacing w:line="560" w:lineRule="exact"/>
        <w:jc w:val="left"/>
        <w:rPr>
          <w:rFonts w:eastAsia="仿宋_GB2312" w:cs="仿宋_GB2312"/>
          <w:sz w:val="32"/>
          <w:szCs w:val="32"/>
        </w:rPr>
      </w:pPr>
      <w:bookmarkStart w:id="137" w:name="_Toc15396627"/>
      <w:r>
        <w:rPr>
          <w:rFonts w:hint="eastAsia" w:eastAsia="仿宋_GB2312" w:cs="仿宋_GB2312"/>
          <w:sz w:val="32"/>
          <w:szCs w:val="32"/>
        </w:rPr>
        <w:t>九、一般公共预算财政拨款项目支出决算表</w:t>
      </w:r>
      <w:bookmarkEnd w:id="137"/>
    </w:p>
    <w:p w14:paraId="414988FB">
      <w:pPr>
        <w:pStyle w:val="14"/>
        <w:adjustRightInd w:val="0"/>
        <w:snapToGrid w:val="0"/>
        <w:spacing w:line="560" w:lineRule="exact"/>
        <w:jc w:val="left"/>
        <w:rPr>
          <w:rFonts w:eastAsia="仿宋_GB2312" w:cs="仿宋_GB2312"/>
          <w:sz w:val="32"/>
          <w:szCs w:val="32"/>
        </w:rPr>
      </w:pPr>
      <w:bookmarkStart w:id="138" w:name="_Toc15396628"/>
      <w:r>
        <w:rPr>
          <w:rFonts w:hint="eastAsia" w:eastAsia="仿宋_GB2312" w:cs="仿宋_GB2312"/>
          <w:sz w:val="32"/>
          <w:szCs w:val="32"/>
        </w:rPr>
        <w:t>十、</w:t>
      </w:r>
      <w:bookmarkEnd w:id="138"/>
      <w:r>
        <w:rPr>
          <w:rFonts w:hint="eastAsia" w:eastAsia="仿宋_GB2312" w:cs="仿宋_GB2312"/>
          <w:sz w:val="32"/>
          <w:szCs w:val="32"/>
        </w:rPr>
        <w:t>政府性基金预算财政拨款收入支出决算表</w:t>
      </w:r>
    </w:p>
    <w:p w14:paraId="4AE6B698">
      <w:pPr>
        <w:pStyle w:val="14"/>
        <w:adjustRightInd w:val="0"/>
        <w:snapToGrid w:val="0"/>
        <w:spacing w:line="560" w:lineRule="exact"/>
        <w:jc w:val="left"/>
        <w:rPr>
          <w:rFonts w:eastAsia="仿宋_GB2312" w:cs="仿宋_GB2312"/>
          <w:sz w:val="32"/>
          <w:szCs w:val="32"/>
        </w:rPr>
      </w:pPr>
      <w:bookmarkStart w:id="139" w:name="_Toc15396629"/>
      <w:r>
        <w:rPr>
          <w:rFonts w:hint="eastAsia" w:eastAsia="仿宋_GB2312" w:cs="仿宋_GB2312"/>
          <w:sz w:val="32"/>
          <w:szCs w:val="32"/>
        </w:rPr>
        <w:t>十一、</w:t>
      </w:r>
      <w:bookmarkEnd w:id="139"/>
      <w:r>
        <w:rPr>
          <w:rFonts w:hint="eastAsia" w:eastAsia="仿宋_GB2312" w:cs="仿宋_GB2312"/>
          <w:sz w:val="32"/>
          <w:szCs w:val="32"/>
        </w:rPr>
        <w:t>国有资本经营预算财政拨款收入支出决算表（此表无数据）</w:t>
      </w:r>
    </w:p>
    <w:p w14:paraId="2C9A6E85">
      <w:pPr>
        <w:pStyle w:val="14"/>
        <w:adjustRightInd w:val="0"/>
        <w:snapToGrid w:val="0"/>
        <w:spacing w:line="560" w:lineRule="exact"/>
        <w:jc w:val="left"/>
        <w:rPr>
          <w:rFonts w:eastAsia="仿宋_GB2312" w:cs="仿宋_GB2312"/>
          <w:sz w:val="32"/>
          <w:szCs w:val="32"/>
        </w:rPr>
      </w:pPr>
      <w:bookmarkStart w:id="140" w:name="_Toc15396630"/>
      <w:r>
        <w:rPr>
          <w:rFonts w:hint="eastAsia" w:eastAsia="仿宋_GB2312" w:cs="仿宋_GB2312"/>
          <w:sz w:val="32"/>
          <w:szCs w:val="32"/>
        </w:rPr>
        <w:t>十二、</w:t>
      </w:r>
      <w:bookmarkEnd w:id="140"/>
      <w:r>
        <w:rPr>
          <w:rFonts w:hint="eastAsia" w:eastAsia="仿宋_GB2312" w:cs="仿宋_GB2312"/>
          <w:sz w:val="32"/>
          <w:szCs w:val="32"/>
        </w:rPr>
        <w:t>国有资本经营预算财政拨款支出决算表（此表无数据）</w:t>
      </w:r>
    </w:p>
    <w:p w14:paraId="558095BC">
      <w:pPr>
        <w:pStyle w:val="14"/>
        <w:adjustRightInd w:val="0"/>
        <w:snapToGrid w:val="0"/>
        <w:spacing w:line="560" w:lineRule="exact"/>
        <w:jc w:val="left"/>
        <w:rPr>
          <w:rFonts w:eastAsia="仿宋_GB2312" w:cs="仿宋_GB2312"/>
          <w:sz w:val="32"/>
          <w:szCs w:val="32"/>
        </w:rPr>
      </w:pPr>
      <w:bookmarkStart w:id="141" w:name="_Toc15396631"/>
      <w:r>
        <w:rPr>
          <w:rFonts w:hint="eastAsia" w:eastAsia="仿宋_GB2312" w:cs="仿宋_GB2312"/>
          <w:sz w:val="32"/>
          <w:szCs w:val="32"/>
        </w:rPr>
        <w:t>十三、</w:t>
      </w:r>
      <w:bookmarkEnd w:id="141"/>
      <w:r>
        <w:rPr>
          <w:rFonts w:hint="eastAsia" w:eastAsia="仿宋_GB2312" w:cs="仿宋_GB2312"/>
          <w:sz w:val="32"/>
          <w:szCs w:val="32"/>
        </w:rPr>
        <w:t>财政拨款“三公”经费支出决算表</w:t>
      </w:r>
    </w:p>
    <w:p w14:paraId="2D314ECB"/>
    <w:sectPr>
      <w:footerReference r:id="rId8" w:type="first"/>
      <w:footerReference r:id="rId7"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59DB09-1A00-4790-8EF5-614B9DBF0B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2" w:fontKey="{304B3002-9FFE-496D-B25D-642FCFEABA67}"/>
  </w:font>
  <w:font w:name="仿宋">
    <w:panose1 w:val="02010609060101010101"/>
    <w:charset w:val="86"/>
    <w:family w:val="modern"/>
    <w:pitch w:val="default"/>
    <w:sig w:usb0="800002BF" w:usb1="38CF7CFA" w:usb2="00000016" w:usb3="00000000" w:csb0="00040001" w:csb1="00000000"/>
    <w:embedRegular r:id="rId3" w:fontKey="{8C2BAC6B-FAC9-4C2C-8B84-0CABB033A917}"/>
  </w:font>
  <w:font w:name="Arial">
    <w:panose1 w:val="020B0604020202020204"/>
    <w:charset w:val="00"/>
    <w:family w:val="swiss"/>
    <w:pitch w:val="default"/>
    <w:sig w:usb0="E0002EFF" w:usb1="C000785B" w:usb2="00000009" w:usb3="00000000" w:csb0="400001FF" w:csb1="FFFF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00000001" w:usb1="08000000" w:usb2="00000000" w:usb3="00000000" w:csb0="00040000" w:csb1="00000000"/>
    <w:embedRegular r:id="rId4" w:fontKey="{06862475-DA45-486C-B7DA-E9DD9DAA9105}"/>
  </w:font>
  <w:font w:name="方正仿宋_GBK">
    <w:panose1 w:val="02000000000000000000"/>
    <w:charset w:val="86"/>
    <w:family w:val="script"/>
    <w:pitch w:val="default"/>
    <w:sig w:usb0="00000001" w:usb1="080E0000" w:usb2="00000000" w:usb3="00000000" w:csb0="00040000" w:csb1="00000000"/>
    <w:embedRegular r:id="rId5" w:fontKey="{7FCDD42F-C718-45DB-A1F4-E529558EF180}"/>
  </w:font>
  <w:font w:name="楷体_GB2312">
    <w:altName w:val="楷体"/>
    <w:panose1 w:val="02010609030101010101"/>
    <w:charset w:val="86"/>
    <w:family w:val="modern"/>
    <w:pitch w:val="default"/>
    <w:sig w:usb0="00000000" w:usb1="00000000" w:usb2="00000010" w:usb3="00000000" w:csb0="00040000" w:csb1="00000000"/>
    <w:embedRegular r:id="rId6" w:fontKey="{D62294B0-F5A2-42BB-8D5B-17F2DC77A24A}"/>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89AEE">
    <w:pPr>
      <w:pStyle w:val="11"/>
      <w:jc w:val="center"/>
    </w:pPr>
  </w:p>
  <w:p w14:paraId="25A2BE8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FDB77">
    <w:pPr>
      <w:pStyle w:val="11"/>
      <w:jc w:val="center"/>
    </w:pPr>
  </w:p>
  <w:p w14:paraId="6D70C70C">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DE115">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1146311"/>
      <w:docPartObj>
        <w:docPartGallery w:val="AutoText"/>
      </w:docPartObj>
    </w:sdtPr>
    <w:sdtContent>
      <w:p w14:paraId="042F6FFD">
        <w:pPr>
          <w:pStyle w:val="11"/>
          <w:jc w:val="right"/>
        </w:pPr>
        <w:r>
          <w:fldChar w:fldCharType="begin"/>
        </w:r>
        <w:r>
          <w:instrText xml:space="preserve">PAGE   \* MERGEFORMAT</w:instrText>
        </w:r>
        <w:r>
          <w:fldChar w:fldCharType="separate"/>
        </w:r>
        <w:r>
          <w:rPr>
            <w:lang w:val="zh-CN"/>
          </w:rPr>
          <w:t>2</w:t>
        </w:r>
        <w:r>
          <w:fldChar w:fldCharType="end"/>
        </w:r>
      </w:p>
    </w:sdtContent>
  </w:sdt>
  <w:p w14:paraId="299DA6DB">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7A0EC">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57868D">
                          <w:pPr>
                            <w:pStyle w:val="11"/>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E57868D">
                    <w:pPr>
                      <w:pStyle w:val="11"/>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2BBF9">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9E4C47"/>
    <w:multiLevelType w:val="singleLevel"/>
    <w:tmpl w:val="BD9E4C47"/>
    <w:lvl w:ilvl="0" w:tentative="0">
      <w:start w:val="1"/>
      <w:numFmt w:val="decimal"/>
      <w:suff w:val="space"/>
      <w:lvlText w:val="%1."/>
      <w:lvlJc w:val="left"/>
      <w:pPr>
        <w:tabs>
          <w:tab w:val="left" w:pos="0"/>
        </w:tabs>
        <w:ind w:left="0" w:firstLine="0"/>
      </w:pPr>
    </w:lvl>
  </w:abstractNum>
  <w:abstractNum w:abstractNumId="1">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1"/>
  </w:num>
  <w:num w:numId="2">
    <w:abstractNumId w:val="0"/>
    <w:lvlOverride w:ilvl="0">
      <w:lvl w:ilvl="0" w:tentative="1">
        <w:start w:val="1"/>
        <w:numFmt w:val="decimal"/>
        <w:suff w:val="space"/>
        <w:lvlText w:val="%1."/>
        <w:lvlJc w:val="left"/>
        <w:pPr>
          <w:tabs>
            <w:tab w:val="left" w:pos="0"/>
          </w:tabs>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021FA"/>
    <w:rsid w:val="00007687"/>
    <w:rsid w:val="000222C6"/>
    <w:rsid w:val="000236E1"/>
    <w:rsid w:val="0002549F"/>
    <w:rsid w:val="000468DB"/>
    <w:rsid w:val="00061C14"/>
    <w:rsid w:val="0006487A"/>
    <w:rsid w:val="00065F8F"/>
    <w:rsid w:val="00070A43"/>
    <w:rsid w:val="00073997"/>
    <w:rsid w:val="000768F2"/>
    <w:rsid w:val="00081B16"/>
    <w:rsid w:val="0009184B"/>
    <w:rsid w:val="00094236"/>
    <w:rsid w:val="00094C08"/>
    <w:rsid w:val="0009593C"/>
    <w:rsid w:val="00097322"/>
    <w:rsid w:val="000A49E8"/>
    <w:rsid w:val="000A6A92"/>
    <w:rsid w:val="000A6C4B"/>
    <w:rsid w:val="000B047F"/>
    <w:rsid w:val="000B0B4A"/>
    <w:rsid w:val="000B228D"/>
    <w:rsid w:val="000B5923"/>
    <w:rsid w:val="000B5A48"/>
    <w:rsid w:val="000B6FF3"/>
    <w:rsid w:val="000C3467"/>
    <w:rsid w:val="000C3CA6"/>
    <w:rsid w:val="000D1267"/>
    <w:rsid w:val="000D1D50"/>
    <w:rsid w:val="000D55EF"/>
    <w:rsid w:val="000D5782"/>
    <w:rsid w:val="000E6613"/>
    <w:rsid w:val="000E7119"/>
    <w:rsid w:val="00102F17"/>
    <w:rsid w:val="00114E9B"/>
    <w:rsid w:val="0012724F"/>
    <w:rsid w:val="00132C48"/>
    <w:rsid w:val="00142216"/>
    <w:rsid w:val="00144D6A"/>
    <w:rsid w:val="0014547F"/>
    <w:rsid w:val="0014729F"/>
    <w:rsid w:val="00155C66"/>
    <w:rsid w:val="00157BAB"/>
    <w:rsid w:val="001654D1"/>
    <w:rsid w:val="00174518"/>
    <w:rsid w:val="0018106D"/>
    <w:rsid w:val="00181EE8"/>
    <w:rsid w:val="001824E4"/>
    <w:rsid w:val="001877A7"/>
    <w:rsid w:val="00191536"/>
    <w:rsid w:val="00196687"/>
    <w:rsid w:val="001C0962"/>
    <w:rsid w:val="001C0DD7"/>
    <w:rsid w:val="001C1C68"/>
    <w:rsid w:val="001D7531"/>
    <w:rsid w:val="001E737D"/>
    <w:rsid w:val="001F0592"/>
    <w:rsid w:val="001F3A11"/>
    <w:rsid w:val="001F7506"/>
    <w:rsid w:val="002006CD"/>
    <w:rsid w:val="00202B36"/>
    <w:rsid w:val="00204B7A"/>
    <w:rsid w:val="00204CDE"/>
    <w:rsid w:val="0021101A"/>
    <w:rsid w:val="00220536"/>
    <w:rsid w:val="00235629"/>
    <w:rsid w:val="00260C38"/>
    <w:rsid w:val="002616C0"/>
    <w:rsid w:val="00263229"/>
    <w:rsid w:val="00265372"/>
    <w:rsid w:val="002662AA"/>
    <w:rsid w:val="00280496"/>
    <w:rsid w:val="00294DC9"/>
    <w:rsid w:val="00295495"/>
    <w:rsid w:val="002A31DE"/>
    <w:rsid w:val="002B2613"/>
    <w:rsid w:val="002C60FD"/>
    <w:rsid w:val="002D6D05"/>
    <w:rsid w:val="002F1818"/>
    <w:rsid w:val="002F567B"/>
    <w:rsid w:val="00301EAD"/>
    <w:rsid w:val="003216A9"/>
    <w:rsid w:val="00335A74"/>
    <w:rsid w:val="003506EA"/>
    <w:rsid w:val="0036561B"/>
    <w:rsid w:val="0036570E"/>
    <w:rsid w:val="0037013F"/>
    <w:rsid w:val="00372AB8"/>
    <w:rsid w:val="00380C92"/>
    <w:rsid w:val="003A484F"/>
    <w:rsid w:val="003A4883"/>
    <w:rsid w:val="003B0BE0"/>
    <w:rsid w:val="003B0C1B"/>
    <w:rsid w:val="003B688C"/>
    <w:rsid w:val="003C0291"/>
    <w:rsid w:val="003C39AE"/>
    <w:rsid w:val="003C3C84"/>
    <w:rsid w:val="003C7B60"/>
    <w:rsid w:val="003D0C0F"/>
    <w:rsid w:val="003D1FB2"/>
    <w:rsid w:val="003D66DA"/>
    <w:rsid w:val="003E0C98"/>
    <w:rsid w:val="003E1310"/>
    <w:rsid w:val="003E6F55"/>
    <w:rsid w:val="003F123C"/>
    <w:rsid w:val="00406254"/>
    <w:rsid w:val="0041224A"/>
    <w:rsid w:val="004223DE"/>
    <w:rsid w:val="00434489"/>
    <w:rsid w:val="00437085"/>
    <w:rsid w:val="00443880"/>
    <w:rsid w:val="0044439B"/>
    <w:rsid w:val="004464F4"/>
    <w:rsid w:val="00453201"/>
    <w:rsid w:val="00453301"/>
    <w:rsid w:val="00471401"/>
    <w:rsid w:val="00473F31"/>
    <w:rsid w:val="0048263A"/>
    <w:rsid w:val="00487E5D"/>
    <w:rsid w:val="004936AC"/>
    <w:rsid w:val="00495306"/>
    <w:rsid w:val="004A6128"/>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A5716"/>
    <w:rsid w:val="005B37E8"/>
    <w:rsid w:val="005B5C64"/>
    <w:rsid w:val="005C5337"/>
    <w:rsid w:val="005C6BD0"/>
    <w:rsid w:val="005D1C8B"/>
    <w:rsid w:val="005D468D"/>
    <w:rsid w:val="005D5CED"/>
    <w:rsid w:val="005D7FF6"/>
    <w:rsid w:val="005E0F69"/>
    <w:rsid w:val="005E4933"/>
    <w:rsid w:val="005E56F1"/>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56EFE"/>
    <w:rsid w:val="0066343B"/>
    <w:rsid w:val="00664777"/>
    <w:rsid w:val="006748A4"/>
    <w:rsid w:val="00681A31"/>
    <w:rsid w:val="00683E73"/>
    <w:rsid w:val="00696987"/>
    <w:rsid w:val="006A3141"/>
    <w:rsid w:val="006A5E34"/>
    <w:rsid w:val="006B2422"/>
    <w:rsid w:val="006B2B9A"/>
    <w:rsid w:val="006C1937"/>
    <w:rsid w:val="006F020C"/>
    <w:rsid w:val="007127B7"/>
    <w:rsid w:val="00715963"/>
    <w:rsid w:val="0071798E"/>
    <w:rsid w:val="007416B6"/>
    <w:rsid w:val="00746F48"/>
    <w:rsid w:val="0075404D"/>
    <w:rsid w:val="0076182A"/>
    <w:rsid w:val="00767B7E"/>
    <w:rsid w:val="00776DE1"/>
    <w:rsid w:val="007770C3"/>
    <w:rsid w:val="00784D24"/>
    <w:rsid w:val="00784D75"/>
    <w:rsid w:val="00785FBA"/>
    <w:rsid w:val="00786E4A"/>
    <w:rsid w:val="007875EB"/>
    <w:rsid w:val="0079426B"/>
    <w:rsid w:val="007A1228"/>
    <w:rsid w:val="007B37C4"/>
    <w:rsid w:val="007D1682"/>
    <w:rsid w:val="007D312A"/>
    <w:rsid w:val="007D3F19"/>
    <w:rsid w:val="007E23B0"/>
    <w:rsid w:val="007E23E5"/>
    <w:rsid w:val="007E587A"/>
    <w:rsid w:val="007F1991"/>
    <w:rsid w:val="007F2C2F"/>
    <w:rsid w:val="007F55FC"/>
    <w:rsid w:val="007F5665"/>
    <w:rsid w:val="00800112"/>
    <w:rsid w:val="00813348"/>
    <w:rsid w:val="008253BB"/>
    <w:rsid w:val="0083706E"/>
    <w:rsid w:val="008404DD"/>
    <w:rsid w:val="008408F6"/>
    <w:rsid w:val="008423A5"/>
    <w:rsid w:val="008467CE"/>
    <w:rsid w:val="00850625"/>
    <w:rsid w:val="00853718"/>
    <w:rsid w:val="00855221"/>
    <w:rsid w:val="00855B22"/>
    <w:rsid w:val="00860645"/>
    <w:rsid w:val="00871F71"/>
    <w:rsid w:val="00872FD8"/>
    <w:rsid w:val="00874DC9"/>
    <w:rsid w:val="00881E40"/>
    <w:rsid w:val="00885AF4"/>
    <w:rsid w:val="008939CD"/>
    <w:rsid w:val="00894C03"/>
    <w:rsid w:val="008B1BCA"/>
    <w:rsid w:val="008B3A6E"/>
    <w:rsid w:val="008B768C"/>
    <w:rsid w:val="008C4DB1"/>
    <w:rsid w:val="008C4EAF"/>
    <w:rsid w:val="008C5176"/>
    <w:rsid w:val="008C7FD0"/>
    <w:rsid w:val="008E1DE7"/>
    <w:rsid w:val="008E5D54"/>
    <w:rsid w:val="008E61F0"/>
    <w:rsid w:val="008E707C"/>
    <w:rsid w:val="008F05E9"/>
    <w:rsid w:val="008F639A"/>
    <w:rsid w:val="00900B08"/>
    <w:rsid w:val="00901F5A"/>
    <w:rsid w:val="00902155"/>
    <w:rsid w:val="00902FA3"/>
    <w:rsid w:val="00923564"/>
    <w:rsid w:val="0092392E"/>
    <w:rsid w:val="009315F9"/>
    <w:rsid w:val="00933499"/>
    <w:rsid w:val="00935C98"/>
    <w:rsid w:val="00936487"/>
    <w:rsid w:val="00946945"/>
    <w:rsid w:val="00951248"/>
    <w:rsid w:val="0095152F"/>
    <w:rsid w:val="00954C49"/>
    <w:rsid w:val="00955E37"/>
    <w:rsid w:val="00963F20"/>
    <w:rsid w:val="0097099F"/>
    <w:rsid w:val="00971997"/>
    <w:rsid w:val="00971FFC"/>
    <w:rsid w:val="00973DF1"/>
    <w:rsid w:val="0098660A"/>
    <w:rsid w:val="009931C3"/>
    <w:rsid w:val="009B2C43"/>
    <w:rsid w:val="009B4EAE"/>
    <w:rsid w:val="009B7573"/>
    <w:rsid w:val="009C22F4"/>
    <w:rsid w:val="009C2A4B"/>
    <w:rsid w:val="009C2E98"/>
    <w:rsid w:val="009D144A"/>
    <w:rsid w:val="009D3447"/>
    <w:rsid w:val="009D4711"/>
    <w:rsid w:val="009F1185"/>
    <w:rsid w:val="009F18CD"/>
    <w:rsid w:val="009F2A13"/>
    <w:rsid w:val="009F7527"/>
    <w:rsid w:val="00A02A36"/>
    <w:rsid w:val="00A04EB0"/>
    <w:rsid w:val="00A13CC1"/>
    <w:rsid w:val="00A16847"/>
    <w:rsid w:val="00A237D8"/>
    <w:rsid w:val="00A268C4"/>
    <w:rsid w:val="00A307CD"/>
    <w:rsid w:val="00A331C8"/>
    <w:rsid w:val="00A357B8"/>
    <w:rsid w:val="00A37ECC"/>
    <w:rsid w:val="00A40A00"/>
    <w:rsid w:val="00A4142F"/>
    <w:rsid w:val="00A422EB"/>
    <w:rsid w:val="00A45BB7"/>
    <w:rsid w:val="00A53B6E"/>
    <w:rsid w:val="00A56DF2"/>
    <w:rsid w:val="00A56E6E"/>
    <w:rsid w:val="00A63AAD"/>
    <w:rsid w:val="00A64E1B"/>
    <w:rsid w:val="00A67AB5"/>
    <w:rsid w:val="00A733B2"/>
    <w:rsid w:val="00A741C2"/>
    <w:rsid w:val="00A91760"/>
    <w:rsid w:val="00A93B00"/>
    <w:rsid w:val="00A93C21"/>
    <w:rsid w:val="00A97D07"/>
    <w:rsid w:val="00AB1575"/>
    <w:rsid w:val="00AB64C9"/>
    <w:rsid w:val="00AC1BEE"/>
    <w:rsid w:val="00AC3C6A"/>
    <w:rsid w:val="00AD5620"/>
    <w:rsid w:val="00AD656B"/>
    <w:rsid w:val="00AD7C1B"/>
    <w:rsid w:val="00AE16BA"/>
    <w:rsid w:val="00AE1EBE"/>
    <w:rsid w:val="00B03C9D"/>
    <w:rsid w:val="00B060AE"/>
    <w:rsid w:val="00B10517"/>
    <w:rsid w:val="00B14E76"/>
    <w:rsid w:val="00B15D04"/>
    <w:rsid w:val="00B161B8"/>
    <w:rsid w:val="00B2048C"/>
    <w:rsid w:val="00B235E6"/>
    <w:rsid w:val="00B310B9"/>
    <w:rsid w:val="00B35F3F"/>
    <w:rsid w:val="00B36CBB"/>
    <w:rsid w:val="00B425E0"/>
    <w:rsid w:val="00B440AA"/>
    <w:rsid w:val="00B44B70"/>
    <w:rsid w:val="00B52920"/>
    <w:rsid w:val="00B53C56"/>
    <w:rsid w:val="00B57DAF"/>
    <w:rsid w:val="00B75722"/>
    <w:rsid w:val="00B77EA6"/>
    <w:rsid w:val="00B81598"/>
    <w:rsid w:val="00B841F1"/>
    <w:rsid w:val="00B944D6"/>
    <w:rsid w:val="00BA5DD4"/>
    <w:rsid w:val="00BA638F"/>
    <w:rsid w:val="00BB4DF0"/>
    <w:rsid w:val="00BC289F"/>
    <w:rsid w:val="00BC2D50"/>
    <w:rsid w:val="00BC5361"/>
    <w:rsid w:val="00BC5460"/>
    <w:rsid w:val="00BC6B50"/>
    <w:rsid w:val="00BC702A"/>
    <w:rsid w:val="00BD0E25"/>
    <w:rsid w:val="00BD2030"/>
    <w:rsid w:val="00BD3350"/>
    <w:rsid w:val="00BF5BD6"/>
    <w:rsid w:val="00C03E31"/>
    <w:rsid w:val="00C3198C"/>
    <w:rsid w:val="00C33E72"/>
    <w:rsid w:val="00C354B2"/>
    <w:rsid w:val="00C35554"/>
    <w:rsid w:val="00C42709"/>
    <w:rsid w:val="00C533CC"/>
    <w:rsid w:val="00C54115"/>
    <w:rsid w:val="00C5751C"/>
    <w:rsid w:val="00C61BFC"/>
    <w:rsid w:val="00C62B85"/>
    <w:rsid w:val="00C65438"/>
    <w:rsid w:val="00C87FD8"/>
    <w:rsid w:val="00C91381"/>
    <w:rsid w:val="00C91CBB"/>
    <w:rsid w:val="00CA5B6D"/>
    <w:rsid w:val="00CB4E70"/>
    <w:rsid w:val="00CC09B6"/>
    <w:rsid w:val="00CC666F"/>
    <w:rsid w:val="00CD1E3F"/>
    <w:rsid w:val="00CE44F6"/>
    <w:rsid w:val="00CE49DA"/>
    <w:rsid w:val="00CE7B61"/>
    <w:rsid w:val="00D00095"/>
    <w:rsid w:val="00D114F0"/>
    <w:rsid w:val="00D147F8"/>
    <w:rsid w:val="00D20620"/>
    <w:rsid w:val="00D254F7"/>
    <w:rsid w:val="00D26091"/>
    <w:rsid w:val="00D2685C"/>
    <w:rsid w:val="00D34E7C"/>
    <w:rsid w:val="00D35489"/>
    <w:rsid w:val="00D36AFE"/>
    <w:rsid w:val="00D51276"/>
    <w:rsid w:val="00D7035F"/>
    <w:rsid w:val="00D70F4D"/>
    <w:rsid w:val="00D87A8E"/>
    <w:rsid w:val="00DA634F"/>
    <w:rsid w:val="00DA65AC"/>
    <w:rsid w:val="00DB1913"/>
    <w:rsid w:val="00DB2E12"/>
    <w:rsid w:val="00DC410D"/>
    <w:rsid w:val="00DC4393"/>
    <w:rsid w:val="00DC5532"/>
    <w:rsid w:val="00DC5A81"/>
    <w:rsid w:val="00DC68CA"/>
    <w:rsid w:val="00DC7CBA"/>
    <w:rsid w:val="00DD3F0D"/>
    <w:rsid w:val="00DD73B7"/>
    <w:rsid w:val="00DE2AC6"/>
    <w:rsid w:val="00DF28BC"/>
    <w:rsid w:val="00DF34B9"/>
    <w:rsid w:val="00DF7933"/>
    <w:rsid w:val="00E01053"/>
    <w:rsid w:val="00E07ACF"/>
    <w:rsid w:val="00E15206"/>
    <w:rsid w:val="00E241CA"/>
    <w:rsid w:val="00E331A1"/>
    <w:rsid w:val="00E33202"/>
    <w:rsid w:val="00E336A9"/>
    <w:rsid w:val="00E472B1"/>
    <w:rsid w:val="00E50624"/>
    <w:rsid w:val="00E54633"/>
    <w:rsid w:val="00E568DF"/>
    <w:rsid w:val="00E64269"/>
    <w:rsid w:val="00E82267"/>
    <w:rsid w:val="00E853CE"/>
    <w:rsid w:val="00E867B6"/>
    <w:rsid w:val="00E949AB"/>
    <w:rsid w:val="00EA010F"/>
    <w:rsid w:val="00EB3746"/>
    <w:rsid w:val="00ED1B63"/>
    <w:rsid w:val="00ED3C1F"/>
    <w:rsid w:val="00ED4085"/>
    <w:rsid w:val="00ED420E"/>
    <w:rsid w:val="00ED4F8F"/>
    <w:rsid w:val="00ED6FBE"/>
    <w:rsid w:val="00EE2F57"/>
    <w:rsid w:val="00EF4C34"/>
    <w:rsid w:val="00EF77C6"/>
    <w:rsid w:val="00F05438"/>
    <w:rsid w:val="00F1361C"/>
    <w:rsid w:val="00F156F0"/>
    <w:rsid w:val="00F160C7"/>
    <w:rsid w:val="00F2408F"/>
    <w:rsid w:val="00F240E9"/>
    <w:rsid w:val="00F36D8F"/>
    <w:rsid w:val="00F417B1"/>
    <w:rsid w:val="00F453E8"/>
    <w:rsid w:val="00F45853"/>
    <w:rsid w:val="00F475E8"/>
    <w:rsid w:val="00F602DF"/>
    <w:rsid w:val="00F6074C"/>
    <w:rsid w:val="00F6227D"/>
    <w:rsid w:val="00F66514"/>
    <w:rsid w:val="00F754A1"/>
    <w:rsid w:val="00F77CA9"/>
    <w:rsid w:val="00F81FD9"/>
    <w:rsid w:val="00F841AA"/>
    <w:rsid w:val="00F84A94"/>
    <w:rsid w:val="00F87E96"/>
    <w:rsid w:val="00F9458C"/>
    <w:rsid w:val="00F976AA"/>
    <w:rsid w:val="00FA23E8"/>
    <w:rsid w:val="00FC478E"/>
    <w:rsid w:val="00FD3CC1"/>
    <w:rsid w:val="00FD57A6"/>
    <w:rsid w:val="00FF1E02"/>
    <w:rsid w:val="00FF30B4"/>
    <w:rsid w:val="015975B8"/>
    <w:rsid w:val="01A23516"/>
    <w:rsid w:val="02317B1B"/>
    <w:rsid w:val="02FEBE30"/>
    <w:rsid w:val="061E35DE"/>
    <w:rsid w:val="066E0107"/>
    <w:rsid w:val="07996F6E"/>
    <w:rsid w:val="07DFD8BA"/>
    <w:rsid w:val="08DB07E4"/>
    <w:rsid w:val="09867E8F"/>
    <w:rsid w:val="0A2032A3"/>
    <w:rsid w:val="0C6C4794"/>
    <w:rsid w:val="0CA8290A"/>
    <w:rsid w:val="0D35B1ED"/>
    <w:rsid w:val="0DE07E2B"/>
    <w:rsid w:val="0F98263C"/>
    <w:rsid w:val="101860EC"/>
    <w:rsid w:val="10C055FF"/>
    <w:rsid w:val="11772AA4"/>
    <w:rsid w:val="118107EC"/>
    <w:rsid w:val="13957196"/>
    <w:rsid w:val="13D50BC4"/>
    <w:rsid w:val="14022904"/>
    <w:rsid w:val="152F2A07"/>
    <w:rsid w:val="165E0673"/>
    <w:rsid w:val="16BB723D"/>
    <w:rsid w:val="16F13FCB"/>
    <w:rsid w:val="186504BB"/>
    <w:rsid w:val="1938089F"/>
    <w:rsid w:val="19872232"/>
    <w:rsid w:val="19A445FC"/>
    <w:rsid w:val="1B7D550C"/>
    <w:rsid w:val="1BE844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3083A92"/>
    <w:rsid w:val="537E6D0A"/>
    <w:rsid w:val="53AF27A2"/>
    <w:rsid w:val="53F74C96"/>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link w:val="35"/>
    <w:semiHidden/>
    <w:qFormat/>
    <w:uiPriority w:val="99"/>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5"/>
    <w:qFormat/>
    <w:uiPriority w:val="0"/>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8"/>
    <w:qFormat/>
    <w:locked/>
    <w:uiPriority w:val="0"/>
    <w:rPr>
      <w:rFonts w:ascii="仿宋_GB2312" w:hAnsi="Times New Roman" w:eastAsia="仿宋_GB2312"/>
      <w:sz w:val="24"/>
    </w:rPr>
  </w:style>
  <w:style w:type="paragraph" w:customStyle="1" w:styleId="26">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5"/>
    <w:qFormat/>
    <w:uiPriority w:val="9"/>
    <w:rPr>
      <w:rFonts w:ascii="Times New Roman" w:hAnsi="Times New Roman"/>
      <w:b/>
      <w:bCs/>
      <w:kern w:val="44"/>
      <w:sz w:val="44"/>
      <w:szCs w:val="44"/>
    </w:rPr>
  </w:style>
  <w:style w:type="character" w:customStyle="1" w:styleId="29">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10"/>
    <w:semiHidden/>
    <w:qFormat/>
    <w:uiPriority w:val="99"/>
    <w:rPr>
      <w:rFonts w:ascii="Times New Roman" w:hAnsi="Times New Roman"/>
      <w:kern w:val="2"/>
      <w:sz w:val="18"/>
      <w:szCs w:val="18"/>
    </w:rPr>
  </w:style>
  <w:style w:type="character" w:customStyle="1" w:styleId="32">
    <w:name w:val="标题 3 Char"/>
    <w:basedOn w:val="16"/>
    <w:link w:val="7"/>
    <w:qFormat/>
    <w:uiPriority w:val="9"/>
    <w:rPr>
      <w:rFonts w:ascii="Times New Roman" w:hAnsi="Times New Roman"/>
      <w:b/>
      <w:bCs/>
      <w:kern w:val="2"/>
      <w:sz w:val="32"/>
      <w:szCs w:val="32"/>
    </w:rPr>
  </w:style>
  <w:style w:type="paragraph" w:customStyle="1" w:styleId="33">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 w:type="character" w:customStyle="1" w:styleId="35">
    <w:name w:val="脚注文本 Char"/>
    <w:basedOn w:val="16"/>
    <w:link w:val="2"/>
    <w:semiHidden/>
    <w:qFormat/>
    <w:uiPriority w:val="99"/>
    <w:rPr>
      <w:kern w:val="2"/>
      <w:sz w:val="18"/>
      <w:szCs w:val="18"/>
    </w:rPr>
  </w:style>
  <w:style w:type="paragraph" w:customStyle="1" w:styleId="36">
    <w:name w:val="TOC Heading"/>
    <w:basedOn w:val="5"/>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chart" Target="charts/chart7.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oleObject" Target="file:///G:\&#20915;&#31639;&#36164;&#26009;\2025&#24180;&#37096;&#38376;&#20915;&#31639;\2025&#24180;&#20915;&#31639;&#20844;&#24320;\&#20915;&#31639;&#20316;&#2227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20915;&#31639;&#36164;&#26009;\2025&#24180;&#37096;&#38376;&#20915;&#31639;\2025&#24180;&#20915;&#31639;&#20844;&#24320;\&#20915;&#31639;&#20316;&#2227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20915;&#31639;&#36164;&#26009;\2025&#24180;&#37096;&#38376;&#20915;&#31639;\2025&#24180;&#20915;&#31639;&#20844;&#24320;\&#20915;&#31639;&#20316;&#2227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20915;&#31639;&#36164;&#26009;\2025&#24180;&#37096;&#38376;&#20915;&#31639;\2025&#24180;&#20915;&#31639;&#20844;&#24320;\&#20915;&#31639;&#20316;&#2227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G:\&#20915;&#31639;&#36164;&#26009;\2025&#24180;&#37096;&#38376;&#20915;&#31639;\2025&#24180;&#20915;&#31639;&#20844;&#24320;\&#20915;&#31639;&#20316;&#2227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G:\&#20915;&#31639;&#36164;&#26009;\2025&#24180;&#37096;&#38376;&#20915;&#31639;\2025&#24180;&#20915;&#31639;&#20844;&#24320;\&#20915;&#31639;&#20316;&#2227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G:\&#20915;&#31639;&#36164;&#26009;\2025&#24180;&#37096;&#38376;&#20915;&#31639;\2025&#24180;&#20915;&#31639;&#20844;&#24320;\&#20915;&#31639;&#20316;&#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c:f>
              <c:strCache>
                <c:ptCount val="1"/>
                <c:pt idx="0">
                  <c:v>2024</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Sheet1!$B$1:$C$1</c:f>
              <c:strCache>
                <c:ptCount val="2"/>
                <c:pt idx="0">
                  <c:v>收入</c:v>
                </c:pt>
                <c:pt idx="1">
                  <c:v>支出</c:v>
                </c:pt>
              </c:strCache>
            </c:strRef>
          </c:cat>
          <c:val>
            <c:numRef>
              <c:f>Sheet1!$B$2:$C$2</c:f>
              <c:numCache>
                <c:formatCode>General</c:formatCode>
                <c:ptCount val="2"/>
                <c:pt idx="0">
                  <c:v>5088.48</c:v>
                </c:pt>
                <c:pt idx="1">
                  <c:v>5088.48</c:v>
                </c:pt>
              </c:numCache>
            </c:numRef>
          </c:val>
        </c:ser>
        <c:ser>
          <c:idx val="1"/>
          <c:order val="1"/>
          <c:tx>
            <c:strRef>
              <c:f>Sheet1!$A$3</c:f>
              <c:strCache>
                <c:ptCount val="1"/>
                <c:pt idx="0">
                  <c:v>2025</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Sheet1!$B$1:$C$1</c:f>
              <c:strCache>
                <c:ptCount val="2"/>
                <c:pt idx="0">
                  <c:v>收入</c:v>
                </c:pt>
                <c:pt idx="1">
                  <c:v>支出</c:v>
                </c:pt>
              </c:strCache>
            </c:strRef>
          </c:cat>
          <c:val>
            <c:numRef>
              <c:f>Sheet1!$B$3:$C$3</c:f>
              <c:numCache>
                <c:formatCode>General</c:formatCode>
                <c:ptCount val="2"/>
                <c:pt idx="0">
                  <c:v>3862.12</c:v>
                </c:pt>
                <c:pt idx="1">
                  <c:v>3862.12</c:v>
                </c:pt>
              </c:numCache>
            </c:numRef>
          </c:val>
        </c:ser>
        <c:dLbls>
          <c:showLegendKey val="0"/>
          <c:showVal val="0"/>
          <c:showCatName val="0"/>
          <c:showSerName val="0"/>
          <c:showPercent val="0"/>
          <c:showBubbleSize val="0"/>
        </c:dLbls>
        <c:gapWidth val="150"/>
        <c:axId val="241833472"/>
        <c:axId val="352756288"/>
      </c:barChart>
      <c:catAx>
        <c:axId val="241833472"/>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352756288"/>
        <c:crosses val="autoZero"/>
        <c:auto val="1"/>
        <c:lblAlgn val="ctr"/>
        <c:lblOffset val="100"/>
        <c:noMultiLvlLbl val="0"/>
      </c:catAx>
      <c:valAx>
        <c:axId val="352756288"/>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41833472"/>
        <c:crosses val="autoZero"/>
        <c:crossBetween val="between"/>
      </c:valAx>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49170230-169f-4038-b0ff-d8070c5f7970}"/>
      </c:ext>
    </c:extLst>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dPt>
          <c:dPt>
            <c:idx val="1"/>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Sheet1!$A$13:$A$14</c:f>
              <c:strCache>
                <c:ptCount val="2"/>
                <c:pt idx="0">
                  <c:v>一般公共预算财政拨款收入</c:v>
                </c:pt>
                <c:pt idx="1">
                  <c:v>政府性基金预算财政拨款收入</c:v>
                </c:pt>
              </c:strCache>
            </c:strRef>
          </c:cat>
          <c:val>
            <c:numRef>
              <c:f>Sheet1!$B$13:$B$14</c:f>
              <c:numCache>
                <c:formatCode>General</c:formatCode>
                <c:ptCount val="2"/>
                <c:pt idx="0">
                  <c:v>3758.97</c:v>
                </c:pt>
                <c:pt idx="1">
                  <c:v>103.16</c:v>
                </c:pt>
              </c:numCache>
            </c:numRef>
          </c:val>
        </c:ser>
        <c:dLbls>
          <c:showLegendKey val="0"/>
          <c:showVal val="0"/>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5e6de7a5-10cf-4019-be4a-b9de2774af81}"/>
      </c:ext>
    </c:extLst>
  </c:chart>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dPt>
          <c:dPt>
            <c:idx val="1"/>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Sheet1!$A$28:$A$29</c:f>
              <c:strCache>
                <c:ptCount val="2"/>
                <c:pt idx="0">
                  <c:v>基本支出</c:v>
                </c:pt>
                <c:pt idx="1">
                  <c:v>项目支出</c:v>
                </c:pt>
              </c:strCache>
            </c:strRef>
          </c:cat>
          <c:val>
            <c:numRef>
              <c:f>Sheet1!$B$28:$B$29</c:f>
              <c:numCache>
                <c:formatCode>General</c:formatCode>
                <c:ptCount val="2"/>
                <c:pt idx="0">
                  <c:v>2352.88</c:v>
                </c:pt>
                <c:pt idx="1">
                  <c:v>1509.24</c:v>
                </c:pt>
              </c:numCache>
            </c:numRef>
          </c:val>
        </c:ser>
        <c:dLbls>
          <c:showLegendKey val="0"/>
          <c:showVal val="0"/>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ded560d5-fbe6-4b32-8d4f-f28824768c17}"/>
      </c:ext>
    </c:extLst>
  </c:chart>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c:f>
              <c:strCache>
                <c:ptCount val="1"/>
                <c:pt idx="0">
                  <c:v>2024</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Sheet1!$B$1:$C$1</c:f>
              <c:strCache>
                <c:ptCount val="2"/>
                <c:pt idx="0">
                  <c:v>财政拨款收入</c:v>
                </c:pt>
                <c:pt idx="1">
                  <c:v>财政拨款支出</c:v>
                </c:pt>
              </c:strCache>
            </c:strRef>
          </c:cat>
          <c:val>
            <c:numRef>
              <c:f>Sheet1!$B$2:$C$2</c:f>
              <c:numCache>
                <c:formatCode>General</c:formatCode>
                <c:ptCount val="2"/>
                <c:pt idx="0">
                  <c:v>5088.48</c:v>
                </c:pt>
                <c:pt idx="1">
                  <c:v>5088.48</c:v>
                </c:pt>
              </c:numCache>
            </c:numRef>
          </c:val>
        </c:ser>
        <c:ser>
          <c:idx val="1"/>
          <c:order val="1"/>
          <c:tx>
            <c:strRef>
              <c:f>Sheet1!$A$3</c:f>
              <c:strCache>
                <c:ptCount val="1"/>
                <c:pt idx="0">
                  <c:v>2025</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Sheet1!$B$1:$C$1</c:f>
              <c:strCache>
                <c:ptCount val="2"/>
                <c:pt idx="0">
                  <c:v>财政拨款收入</c:v>
                </c:pt>
                <c:pt idx="1">
                  <c:v>财政拨款支出</c:v>
                </c:pt>
              </c:strCache>
            </c:strRef>
          </c:cat>
          <c:val>
            <c:numRef>
              <c:f>Sheet1!$B$3:$C$3</c:f>
              <c:numCache>
                <c:formatCode>General</c:formatCode>
                <c:ptCount val="2"/>
                <c:pt idx="0">
                  <c:v>3862.12</c:v>
                </c:pt>
                <c:pt idx="1">
                  <c:v>3862.12</c:v>
                </c:pt>
              </c:numCache>
            </c:numRef>
          </c:val>
        </c:ser>
        <c:dLbls>
          <c:showLegendKey val="0"/>
          <c:showVal val="0"/>
          <c:showCatName val="0"/>
          <c:showSerName val="0"/>
          <c:showPercent val="0"/>
          <c:showBubbleSize val="0"/>
        </c:dLbls>
        <c:gapWidth val="150"/>
        <c:axId val="280886272"/>
        <c:axId val="388112960"/>
      </c:barChart>
      <c:catAx>
        <c:axId val="280886272"/>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388112960"/>
        <c:crosses val="autoZero"/>
        <c:auto val="1"/>
        <c:lblAlgn val="ctr"/>
        <c:lblOffset val="100"/>
        <c:noMultiLvlLbl val="0"/>
      </c:catAx>
      <c:valAx>
        <c:axId val="388112960"/>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80886272"/>
        <c:crosses val="autoZero"/>
        <c:crossBetween val="between"/>
      </c:valAx>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79699e47-6c4b-4ead-8713-f2620aec9de7}"/>
      </c:ext>
    </c:extLst>
  </c:chart>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Sheet1!$B$42</c:f>
              <c:strCache>
                <c:ptCount val="1"/>
                <c:pt idx="0">
                  <c:v>一般公共预算财政拨款支出</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Sheet1!$A$43:$A$44</c:f>
              <c:numCache>
                <c:formatCode>General</c:formatCode>
                <c:ptCount val="2"/>
                <c:pt idx="0">
                  <c:v>2024</c:v>
                </c:pt>
                <c:pt idx="1">
                  <c:v>2025</c:v>
                </c:pt>
              </c:numCache>
            </c:numRef>
          </c:cat>
          <c:val>
            <c:numRef>
              <c:f>Sheet1!$B$43:$B$44</c:f>
              <c:numCache>
                <c:formatCode>General</c:formatCode>
                <c:ptCount val="2"/>
                <c:pt idx="0">
                  <c:v>4775.79</c:v>
                </c:pt>
                <c:pt idx="1">
                  <c:v>3758.97</c:v>
                </c:pt>
              </c:numCache>
            </c:numRef>
          </c:val>
        </c:ser>
        <c:dLbls>
          <c:showLegendKey val="0"/>
          <c:showVal val="0"/>
          <c:showCatName val="0"/>
          <c:showSerName val="0"/>
          <c:showPercent val="0"/>
          <c:showBubbleSize val="0"/>
        </c:dLbls>
        <c:gapWidth val="150"/>
        <c:axId val="349013504"/>
        <c:axId val="388119872"/>
      </c:barChart>
      <c:catAx>
        <c:axId val="349013504"/>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388119872"/>
        <c:crosses val="autoZero"/>
        <c:auto val="1"/>
        <c:lblAlgn val="ctr"/>
        <c:lblOffset val="100"/>
        <c:noMultiLvlLbl val="0"/>
      </c:catAx>
      <c:valAx>
        <c:axId val="388119872"/>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349013504"/>
        <c:crosses val="autoZero"/>
        <c:crossBetween val="between"/>
      </c:valAx>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e4c770af-2fb4-4a59-abf1-739e25fb2395}"/>
      </c:ext>
    </c:extLst>
  </c:chart>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Sheet1!$A$54:$A$61</c:f>
              <c:strCache>
                <c:ptCount val="8"/>
                <c:pt idx="0">
                  <c:v>一般公共服务支出</c:v>
                </c:pt>
                <c:pt idx="1">
                  <c:v>社会保障和就业支出</c:v>
                </c:pt>
                <c:pt idx="2">
                  <c:v>卫生健康支出</c:v>
                </c:pt>
                <c:pt idx="3">
                  <c:v>城乡社区支出</c:v>
                </c:pt>
                <c:pt idx="4">
                  <c:v>交通运输支出</c:v>
                </c:pt>
                <c:pt idx="5">
                  <c:v>自然资源海洋气象等支出</c:v>
                </c:pt>
                <c:pt idx="6">
                  <c:v>住房保障支出</c:v>
                </c:pt>
                <c:pt idx="7">
                  <c:v>灾害防治及应急管理支出</c:v>
                </c:pt>
              </c:strCache>
            </c:strRef>
          </c:cat>
          <c:val>
            <c:numRef>
              <c:f>Sheet1!$B$54:$B$61</c:f>
              <c:numCache>
                <c:formatCode>General</c:formatCode>
                <c:ptCount val="8"/>
                <c:pt idx="0">
                  <c:v>13.59</c:v>
                </c:pt>
                <c:pt idx="1">
                  <c:v>393.86</c:v>
                </c:pt>
                <c:pt idx="2">
                  <c:v>110.83</c:v>
                </c:pt>
                <c:pt idx="3">
                  <c:v>16.4</c:v>
                </c:pt>
                <c:pt idx="4">
                  <c:v>0.86</c:v>
                </c:pt>
                <c:pt idx="5">
                  <c:v>2716.21</c:v>
                </c:pt>
                <c:pt idx="6">
                  <c:v>152.13</c:v>
                </c:pt>
                <c:pt idx="7">
                  <c:v>355.08</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45066412153026"/>
          <c:y val="0.0736277046641255"/>
          <c:w val="0.337617570530956"/>
          <c:h val="0.88572419613626"/>
        </c:manualLayout>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d26ce7b3-54b8-48e0-9f12-a8a15c7a5dbd}"/>
      </c:ext>
    </c:extLst>
  </c:chart>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dPt>
          <c:dPt>
            <c:idx val="1"/>
            <c:bubble3D val="0"/>
          </c:dPt>
          <c:dPt>
            <c:idx val="2"/>
            <c:bubble3D val="0"/>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Sheet1!$A$64:$A$66</c:f>
              <c:strCache>
                <c:ptCount val="3"/>
                <c:pt idx="0">
                  <c:v>因公出国（境）费</c:v>
                </c:pt>
                <c:pt idx="1">
                  <c:v>公务用车购置及运行维护费</c:v>
                </c:pt>
                <c:pt idx="2">
                  <c:v>公务接待费</c:v>
                </c:pt>
              </c:strCache>
            </c:strRef>
          </c:cat>
          <c:val>
            <c:numRef>
              <c:f>Sheet1!$B$64:$B$66</c:f>
              <c:numCache>
                <c:formatCode>General</c:formatCode>
                <c:ptCount val="3"/>
                <c:pt idx="0">
                  <c:v>0</c:v>
                </c:pt>
                <c:pt idx="1">
                  <c:v>49.9</c:v>
                </c:pt>
                <c:pt idx="2">
                  <c:v>3.88</c:v>
                </c:pt>
              </c:numCache>
            </c:numRef>
          </c:val>
        </c:ser>
        <c:dLbls>
          <c:showLegendKey val="0"/>
          <c:showVal val="0"/>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b53a6e3a-54f4-44b3-86d8-4be1b006894c}"/>
      </c:ext>
    </c:extLst>
  </c:chart>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D647B7-ECB5-4E32-8D8B-41AC1F4DE372}">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30</Pages>
  <Words>637</Words>
  <Characters>674</Characters>
  <Lines>93</Lines>
  <Paragraphs>26</Paragraphs>
  <TotalTime>494</TotalTime>
  <ScaleCrop>false</ScaleCrop>
  <LinksUpToDate>false</LinksUpToDate>
  <CharactersWithSpaces>717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ying ying Z </cp:lastModifiedBy>
  <cp:lastPrinted>2026-09-03T00:23:00Z</cp:lastPrinted>
  <dcterms:modified xsi:type="dcterms:W3CDTF">2026-09-10T07:03:12Z</dcterms:modified>
  <dc:title>四川省***</dc:title>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400D301575C74348A5277D00A7902E06</vt:lpwstr>
  </property>
  <property fmtid="{D5CDD505-2E9C-101B-9397-08002B2CF9AE}" pid="4" name="KSOTemplateDocerSaveRecord">
    <vt:lpwstr>eyJoZGlkIjoiNTg3YjI3Zjc2MzNiOTAzMWQ3ZTE0ODk2ZjQ0ZjFkZmMiLCJ1c2VySWQiOiIzMzE4NzY0OTMifQ==</vt:lpwstr>
  </property>
</Properties>
</file>