
<file path=[Content_Types].xml><?xml version="1.0" encoding="utf-8"?>
<Types xmlns="http://schemas.openxmlformats.org/package/2006/content-types">
  <Default Extension="xml" ContentType="application/xml"/>
  <Default Extension="xlsx" ContentType="application/vnd.openxmlformats-officedocument.spreadsheetml.sheet"/>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F946D">
      <w:pPr>
        <w:pStyle w:val="2"/>
        <w:spacing w:before="93"/>
        <w:rPr>
          <w:rFonts w:hint="eastAsia" w:ascii="Times New Roman" w:eastAsia="方正小标宋简体"/>
          <w:kern w:val="2"/>
          <w:sz w:val="72"/>
          <w:szCs w:val="72"/>
        </w:rPr>
      </w:pPr>
      <w:bookmarkStart w:id="0" w:name="_Toc15396597"/>
      <w:bookmarkStart w:id="1" w:name="_Toc15377425"/>
      <w:bookmarkStart w:id="2" w:name="_Toc15396475"/>
      <w:bookmarkStart w:id="3" w:name="_Toc15377193"/>
      <w:bookmarkStart w:id="4" w:name="_Toc15378441"/>
      <w:bookmarkStart w:id="5" w:name="_Toc15306267"/>
    </w:p>
    <w:p w14:paraId="5B7DD826">
      <w:pPr>
        <w:pStyle w:val="2"/>
        <w:spacing w:before="93"/>
        <w:rPr>
          <w:rFonts w:ascii="Times New Roman" w:eastAsia="方正小标宋简体"/>
          <w:kern w:val="2"/>
          <w:sz w:val="72"/>
          <w:szCs w:val="72"/>
        </w:rPr>
      </w:pPr>
    </w:p>
    <w:p w14:paraId="26D6978C">
      <w:pPr>
        <w:pStyle w:val="2"/>
        <w:spacing w:before="93"/>
        <w:rPr>
          <w:rFonts w:hint="eastAsia" w:ascii="Times New Roman" w:eastAsia="方正小标宋简体"/>
          <w:kern w:val="2"/>
          <w:sz w:val="72"/>
          <w:szCs w:val="72"/>
        </w:rPr>
      </w:pPr>
    </w:p>
    <w:p w14:paraId="7177DD43">
      <w:pPr>
        <w:pStyle w:val="2"/>
        <w:spacing w:before="93"/>
        <w:jc w:val="center"/>
        <w:rPr>
          <w:rFonts w:ascii="Times New Roman" w:eastAsia="方正小标宋简体"/>
          <w:kern w:val="2"/>
          <w:sz w:val="44"/>
          <w:szCs w:val="44"/>
        </w:rPr>
      </w:pPr>
      <w:r>
        <w:rPr>
          <w:rFonts w:hint="eastAsia" w:ascii="Times New Roman" w:eastAsia="方正小标宋简体"/>
          <w:kern w:val="2"/>
          <w:sz w:val="44"/>
          <w:szCs w:val="44"/>
        </w:rPr>
        <w:t>2025年</w:t>
      </w:r>
      <w:r>
        <w:rPr>
          <w:rFonts w:hint="eastAsia" w:ascii="Times New Roman" w:eastAsia="方正小标宋简体"/>
          <w:kern w:val="2"/>
          <w:sz w:val="44"/>
          <w:szCs w:val="44"/>
          <w:lang w:val="en-US" w:eastAsia="zh-CN"/>
        </w:rPr>
        <w:t>度四川省攀枝花市自然资源和规划局仁和区分局</w:t>
      </w:r>
      <w:r>
        <w:rPr>
          <w:rFonts w:hint="eastAsia" w:ascii="Times New Roman" w:eastAsia="方正小标宋简体"/>
          <w:kern w:val="2"/>
          <w:sz w:val="44"/>
          <w:szCs w:val="44"/>
        </w:rPr>
        <w:t>市级单位决算</w:t>
      </w:r>
    </w:p>
    <w:p w14:paraId="27CA1F5A">
      <w:pPr>
        <w:pStyle w:val="2"/>
        <w:spacing w:before="93"/>
        <w:jc w:val="center"/>
        <w:rPr>
          <w:rFonts w:hint="default" w:ascii="Times New Roman" w:eastAsia="方正小标宋简体"/>
          <w:kern w:val="2"/>
          <w:sz w:val="44"/>
          <w:szCs w:val="44"/>
          <w:lang w:val="en-US" w:eastAsia="zh-CN"/>
        </w:rPr>
      </w:pPr>
      <w:r>
        <w:rPr>
          <w:rFonts w:hint="eastAsia" w:ascii="Times New Roman" w:eastAsia="方正小标宋简体"/>
          <w:kern w:val="2"/>
          <w:sz w:val="44"/>
          <w:szCs w:val="44"/>
        </w:rPr>
        <w:t>公开</w:t>
      </w:r>
      <w:r>
        <w:rPr>
          <w:rFonts w:hint="eastAsia" w:ascii="Times New Roman" w:eastAsia="方正小标宋简体"/>
          <w:kern w:val="2"/>
          <w:sz w:val="44"/>
          <w:szCs w:val="44"/>
          <w:lang w:val="en-US" w:eastAsia="zh-CN"/>
        </w:rPr>
        <w:t>文字说明</w:t>
      </w:r>
    </w:p>
    <w:p w14:paraId="05A6332D">
      <w:pPr>
        <w:spacing w:line="600" w:lineRule="exact"/>
        <w:jc w:val="center"/>
        <w:outlineLvl w:val="0"/>
        <w:rPr>
          <w:rFonts w:eastAsia="方正小标宋简体"/>
          <w:sz w:val="72"/>
          <w:szCs w:val="72"/>
        </w:rPr>
      </w:pPr>
    </w:p>
    <w:p w14:paraId="5D7F6AB5">
      <w:pPr>
        <w:pStyle w:val="19"/>
        <w:rPr>
          <w:rFonts w:ascii="Times New Roman" w:hAnsi="Times New Roman"/>
        </w:rPr>
        <w:sectPr>
          <w:footerReference r:id="rId5" w:type="first"/>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pPr>
    </w:p>
    <w:p w14:paraId="5561B7CE"/>
    <w:p w14:paraId="13E9D7BC">
      <w:pPr>
        <w:pStyle w:val="2"/>
        <w:spacing w:before="93"/>
        <w:jc w:val="center"/>
        <w:rPr>
          <w:rFonts w:ascii="Times New Roman" w:eastAsia="方正小标宋简体"/>
          <w:kern w:val="2"/>
          <w:sz w:val="44"/>
          <w:szCs w:val="44"/>
        </w:rPr>
      </w:pPr>
    </w:p>
    <w:p w14:paraId="1A1F0C8A">
      <w:pPr>
        <w:pStyle w:val="2"/>
        <w:spacing w:before="93"/>
        <w:jc w:val="center"/>
        <w:rPr>
          <w:rFonts w:ascii="Times New Roman" w:eastAsia="方正小标宋简体"/>
          <w:kern w:val="2"/>
          <w:sz w:val="44"/>
          <w:szCs w:val="44"/>
        </w:rPr>
      </w:pPr>
    </w:p>
    <w:p w14:paraId="1580BB2D">
      <w:pPr>
        <w:pStyle w:val="2"/>
        <w:spacing w:before="93"/>
        <w:jc w:val="center"/>
        <w:rPr>
          <w:rFonts w:ascii="Times New Roman" w:eastAsia="方正小标宋简体"/>
          <w:kern w:val="2"/>
          <w:sz w:val="44"/>
          <w:szCs w:val="44"/>
        </w:rPr>
      </w:pPr>
    </w:p>
    <w:p w14:paraId="1AAF2A6A">
      <w:pPr>
        <w:pStyle w:val="2"/>
        <w:spacing w:before="93"/>
        <w:jc w:val="center"/>
        <w:rPr>
          <w:rFonts w:ascii="Times New Roman" w:eastAsia="方正小标宋简体"/>
          <w:kern w:val="2"/>
          <w:sz w:val="44"/>
          <w:szCs w:val="44"/>
        </w:rPr>
      </w:pPr>
    </w:p>
    <w:bookmarkEnd w:id="0"/>
    <w:bookmarkEnd w:id="1"/>
    <w:bookmarkEnd w:id="2"/>
    <w:bookmarkEnd w:id="3"/>
    <w:bookmarkEnd w:id="4"/>
    <w:p w14:paraId="70F497D3">
      <w:pPr>
        <w:pStyle w:val="2"/>
        <w:spacing w:before="93"/>
        <w:jc w:val="center"/>
        <w:rPr>
          <w:rFonts w:ascii="Times New Roman" w:eastAsia="方正小标宋简体"/>
          <w:kern w:val="2"/>
          <w:sz w:val="44"/>
          <w:szCs w:val="44"/>
        </w:rPr>
      </w:pPr>
      <w:bookmarkStart w:id="6" w:name="_Toc15377194"/>
      <w:bookmarkStart w:id="7" w:name="_Toc15396598"/>
      <w:bookmarkStart w:id="8" w:name="_Toc15378442"/>
      <w:bookmarkStart w:id="9" w:name="_Toc15396476"/>
      <w:bookmarkStart w:id="10" w:name="_Toc15377426"/>
      <w:r>
        <w:rPr>
          <w:rFonts w:hint="eastAsia" w:ascii="Times New Roman" w:eastAsia="方正小标宋简体"/>
          <w:kern w:val="2"/>
          <w:sz w:val="44"/>
          <w:szCs w:val="44"/>
        </w:rPr>
        <w:t>2025年度</w:t>
      </w:r>
      <w:r>
        <w:rPr>
          <w:rFonts w:hint="eastAsia" w:ascii="Times New Roman" w:eastAsia="方正小标宋简体"/>
          <w:kern w:val="2"/>
          <w:sz w:val="44"/>
          <w:szCs w:val="44"/>
          <w:lang w:val="en-US" w:eastAsia="zh-CN"/>
        </w:rPr>
        <w:t>四川省</w:t>
      </w:r>
      <w:r>
        <w:rPr>
          <w:rFonts w:hint="eastAsia" w:ascii="Times New Roman" w:eastAsia="方正小标宋简体"/>
          <w:kern w:val="2"/>
          <w:sz w:val="44"/>
          <w:szCs w:val="44"/>
        </w:rPr>
        <w:t>攀枝花市</w:t>
      </w:r>
      <w:bookmarkEnd w:id="5"/>
      <w:bookmarkStart w:id="11" w:name="_Toc15306268"/>
      <w:r>
        <w:rPr>
          <w:rFonts w:hint="eastAsia" w:ascii="Times New Roman" w:eastAsia="方正小标宋简体"/>
          <w:kern w:val="2"/>
          <w:sz w:val="44"/>
          <w:szCs w:val="44"/>
          <w:lang w:eastAsia="zh-CN"/>
        </w:rPr>
        <w:t>自然资源和规划局仁</w:t>
      </w:r>
      <w:r>
        <w:rPr>
          <w:rFonts w:hint="eastAsia" w:ascii="Times New Roman" w:eastAsia="方正小标宋简体"/>
          <w:kern w:val="2"/>
          <w:sz w:val="44"/>
          <w:szCs w:val="44"/>
          <w:lang w:val="en-US" w:eastAsia="zh-CN"/>
        </w:rPr>
        <w:t>和区</w:t>
      </w:r>
      <w:r>
        <w:rPr>
          <w:rFonts w:hint="eastAsia" w:ascii="Times New Roman" w:eastAsia="方正小标宋简体"/>
          <w:kern w:val="2"/>
          <w:sz w:val="44"/>
          <w:szCs w:val="44"/>
          <w:lang w:eastAsia="zh-CN"/>
        </w:rPr>
        <w:t>分局</w:t>
      </w:r>
      <w:r>
        <w:rPr>
          <w:rFonts w:hint="eastAsia" w:ascii="Times New Roman" w:eastAsia="方正小标宋简体"/>
          <w:kern w:val="2"/>
          <w:sz w:val="44"/>
          <w:szCs w:val="44"/>
          <w:lang w:val="en-US" w:eastAsia="zh-CN"/>
        </w:rPr>
        <w:t>单</w:t>
      </w:r>
      <w:bookmarkStart w:id="72" w:name="_GoBack"/>
      <w:bookmarkEnd w:id="72"/>
      <w:r>
        <w:rPr>
          <w:rFonts w:hint="eastAsia" w:ascii="Times New Roman" w:eastAsia="方正小标宋简体"/>
          <w:kern w:val="2"/>
          <w:sz w:val="44"/>
          <w:szCs w:val="44"/>
          <w:lang w:val="en-US" w:eastAsia="zh-CN"/>
        </w:rPr>
        <w:t>位</w:t>
      </w:r>
      <w:r>
        <w:rPr>
          <w:rFonts w:hint="eastAsia" w:ascii="Times New Roman" w:eastAsia="方正小标宋简体"/>
          <w:kern w:val="2"/>
          <w:sz w:val="44"/>
          <w:szCs w:val="44"/>
        </w:rPr>
        <w:t>决算</w:t>
      </w:r>
      <w:bookmarkEnd w:id="6"/>
      <w:bookmarkEnd w:id="7"/>
      <w:bookmarkEnd w:id="8"/>
      <w:bookmarkEnd w:id="9"/>
      <w:bookmarkEnd w:id="10"/>
      <w:bookmarkEnd w:id="11"/>
    </w:p>
    <w:p w14:paraId="51A8F760">
      <w:pPr>
        <w:widowControl/>
        <w:jc w:val="center"/>
        <w:rPr>
          <w:rFonts w:eastAsia="黑体"/>
          <w:sz w:val="48"/>
          <w:szCs w:val="48"/>
        </w:rPr>
        <w:sectPr>
          <w:footerReference r:id="rId7" w:type="first"/>
          <w:footerReference r:id="rId6" w:type="default"/>
          <w:pgSz w:w="11906" w:h="16838"/>
          <w:pgMar w:top="1440" w:right="1800" w:bottom="1440" w:left="1800" w:header="851" w:footer="992" w:gutter="0"/>
          <w:pgNumType w:fmt="decimal"/>
          <w:cols w:space="425" w:num="1"/>
          <w:titlePg/>
          <w:docGrid w:type="lines" w:linePitch="312" w:charSpace="0"/>
        </w:sectPr>
      </w:pPr>
    </w:p>
    <w:p w14:paraId="411D71F3">
      <w:pPr>
        <w:widowControl/>
        <w:jc w:val="center"/>
        <w:rPr>
          <w:rFonts w:eastAsia="黑体"/>
          <w:sz w:val="48"/>
          <w:szCs w:val="48"/>
        </w:rPr>
      </w:pPr>
      <w:r>
        <w:rPr>
          <w:rFonts w:hint="eastAsia" w:eastAsia="黑体"/>
          <w:sz w:val="48"/>
          <w:szCs w:val="48"/>
        </w:rPr>
        <w:t>目录</w:t>
      </w:r>
    </w:p>
    <w:p w14:paraId="5ACC9B34">
      <w:pPr>
        <w:widowControl/>
        <w:jc w:val="center"/>
        <w:rPr>
          <w:rFonts w:eastAsia="黑体" w:cstheme="minorBidi"/>
          <w:sz w:val="28"/>
          <w:szCs w:val="28"/>
        </w:rPr>
      </w:pPr>
    </w:p>
    <w:p w14:paraId="35450AB4">
      <w:pPr>
        <w:pStyle w:val="12"/>
        <w:rPr>
          <w:rFonts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公开时间：2026年 </w:t>
      </w:r>
      <w:r>
        <w:rPr>
          <w:rFonts w:hint="eastAsia" w:ascii="Times New Roman" w:hAnsi="Times New Roman" w:eastAsia="仿宋_GB2312" w:cs="仿宋_GB2312"/>
          <w:sz w:val="32"/>
          <w:szCs w:val="32"/>
          <w:lang w:val="en-US" w:eastAsia="zh-CN"/>
        </w:rPr>
        <w:t>9</w:t>
      </w:r>
      <w:r>
        <w:rPr>
          <w:rFonts w:hint="eastAsia" w:ascii="Times New Roman" w:hAnsi="Times New Roman" w:eastAsia="仿宋_GB2312" w:cs="仿宋_GB2312"/>
          <w:sz w:val="32"/>
          <w:szCs w:val="32"/>
        </w:rPr>
        <w:t>月</w:t>
      </w:r>
      <w:r>
        <w:rPr>
          <w:rFonts w:hint="eastAsia" w:ascii="Times New Roman" w:hAnsi="Times New Roman" w:eastAsia="仿宋_GB2312" w:cs="仿宋_GB2312"/>
          <w:sz w:val="32"/>
          <w:szCs w:val="32"/>
          <w:lang w:val="en-US" w:eastAsia="zh-CN"/>
        </w:rPr>
        <w:t>10</w:t>
      </w:r>
      <w:r>
        <w:rPr>
          <w:rFonts w:hint="eastAsia" w:ascii="Times New Roman" w:hAnsi="Times New Roman" w:eastAsia="仿宋_GB2312" w:cs="仿宋_GB2312"/>
          <w:sz w:val="32"/>
          <w:szCs w:val="32"/>
        </w:rPr>
        <w:t>日</w:t>
      </w:r>
    </w:p>
    <w:p w14:paraId="0FB120C7"/>
    <w:p w14:paraId="245E68FC">
      <w:pPr>
        <w:pStyle w:val="12"/>
        <w:adjustRightInd w:val="0"/>
        <w:snapToGrid w:val="0"/>
        <w:spacing w:before="0" w:line="560" w:lineRule="exact"/>
        <w:jc w:val="left"/>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rPr>
        <w:t>第一部分</w:t>
      </w:r>
      <w:r>
        <w:rPr>
          <w:rFonts w:ascii="Times New Roman" w:hAnsi="Times New Roman" w:eastAsia="黑体" w:cs="黑体"/>
          <w:sz w:val="32"/>
          <w:szCs w:val="32"/>
        </w:rPr>
        <w:t xml:space="preserve"> </w:t>
      </w:r>
      <w:r>
        <w:rPr>
          <w:rFonts w:hint="eastAsia" w:ascii="Times New Roman" w:hAnsi="Times New Roman" w:eastAsia="黑体" w:cs="黑体"/>
          <w:sz w:val="32"/>
          <w:szCs w:val="32"/>
        </w:rPr>
        <w:t>部门概况</w:t>
      </w:r>
      <w:r>
        <w:rPr>
          <w:rFonts w:hint="eastAsia" w:ascii="Times New Roman" w:hAnsi="Times New Roman" w:eastAsia="黑体" w:cs="黑体"/>
          <w:sz w:val="32"/>
          <w:szCs w:val="32"/>
          <w:lang w:val="en-US" w:eastAsia="zh-CN"/>
        </w:rPr>
        <w:t>...................................................................5</w:t>
      </w:r>
    </w:p>
    <w:p w14:paraId="3A960256">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pPr>
      <w:r>
        <w:rPr>
          <w:rFonts w:hint="eastAsia" w:eastAsia="仿宋_GB2312" w:cs="仿宋_GB2312"/>
          <w:sz w:val="32"/>
          <w:szCs w:val="32"/>
        </w:rPr>
        <w:t>一、部门职责</w:t>
      </w:r>
      <w:r>
        <w:rPr>
          <w:rFonts w:hint="eastAsia" w:eastAsia="仿宋_GB2312" w:cs="仿宋_GB2312"/>
          <w:sz w:val="32"/>
          <w:szCs w:val="32"/>
          <w:lang w:val="en-US" w:eastAsia="zh-CN"/>
        </w:rPr>
        <w:t>.....................................................................5</w:t>
      </w:r>
    </w:p>
    <w:p w14:paraId="5F38F294">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pPr>
      <w:r>
        <w:rPr>
          <w:rFonts w:hint="eastAsia" w:eastAsia="仿宋_GB2312" w:cs="仿宋_GB2312"/>
          <w:sz w:val="32"/>
          <w:szCs w:val="32"/>
        </w:rPr>
        <w:t>二、机构设置</w:t>
      </w:r>
      <w:r>
        <w:rPr>
          <w:rFonts w:hint="eastAsia" w:eastAsia="仿宋_GB2312" w:cs="仿宋_GB2312"/>
          <w:sz w:val="32"/>
          <w:szCs w:val="32"/>
          <w:lang w:val="en-US" w:eastAsia="zh-CN"/>
        </w:rPr>
        <w:t>.....................................................................6</w:t>
      </w:r>
    </w:p>
    <w:p w14:paraId="20A07591">
      <w:pPr>
        <w:pStyle w:val="12"/>
        <w:adjustRightInd w:val="0"/>
        <w:snapToGrid w:val="0"/>
        <w:spacing w:before="0" w:line="560" w:lineRule="exact"/>
        <w:jc w:val="left"/>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rPr>
        <w:t>第二部分</w:t>
      </w:r>
      <w:r>
        <w:rPr>
          <w:rFonts w:ascii="Times New Roman" w:hAnsi="Times New Roman" w:eastAsia="黑体" w:cs="黑体"/>
          <w:sz w:val="32"/>
          <w:szCs w:val="32"/>
        </w:rPr>
        <w:t xml:space="preserve"> 202</w:t>
      </w:r>
      <w:r>
        <w:rPr>
          <w:rFonts w:hint="eastAsia" w:ascii="Times New Roman" w:hAnsi="Times New Roman" w:eastAsia="黑体" w:cs="黑体"/>
          <w:sz w:val="32"/>
          <w:szCs w:val="32"/>
          <w:lang w:val="en-US" w:eastAsia="zh-CN"/>
        </w:rPr>
        <w:t>5</w:t>
      </w:r>
      <w:r>
        <w:rPr>
          <w:rFonts w:hint="eastAsia" w:ascii="Times New Roman" w:hAnsi="Times New Roman" w:eastAsia="黑体" w:cs="黑体"/>
          <w:sz w:val="32"/>
          <w:szCs w:val="32"/>
        </w:rPr>
        <w:t>年度部门决算情况说明</w:t>
      </w:r>
      <w:r>
        <w:rPr>
          <w:rFonts w:hint="eastAsia" w:ascii="Times New Roman" w:hAnsi="Times New Roman" w:eastAsia="黑体" w:cs="黑体"/>
          <w:sz w:val="32"/>
          <w:szCs w:val="32"/>
          <w:lang w:val="en-US" w:eastAsia="zh-CN"/>
        </w:rPr>
        <w:t>..................................7</w:t>
      </w:r>
    </w:p>
    <w:p w14:paraId="14C36E66">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pPr>
      <w:r>
        <w:rPr>
          <w:rFonts w:hint="eastAsia" w:eastAsia="仿宋_GB2312" w:cs="仿宋_GB2312"/>
          <w:sz w:val="32"/>
          <w:szCs w:val="32"/>
        </w:rPr>
        <w:t>一、收入支出决算总体情况说明</w:t>
      </w:r>
      <w:r>
        <w:rPr>
          <w:rFonts w:hint="eastAsia" w:eastAsia="仿宋_GB2312" w:cs="仿宋_GB2312"/>
          <w:sz w:val="32"/>
          <w:szCs w:val="32"/>
          <w:lang w:val="en-US" w:eastAsia="zh-CN"/>
        </w:rPr>
        <w:t>.....................................7</w:t>
      </w:r>
    </w:p>
    <w:p w14:paraId="27F9C41A">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pPr>
      <w:r>
        <w:rPr>
          <w:rFonts w:hint="eastAsia" w:eastAsia="仿宋_GB2312" w:cs="仿宋_GB2312"/>
          <w:sz w:val="32"/>
          <w:szCs w:val="32"/>
        </w:rPr>
        <w:t>二、收入决算情况说明</w:t>
      </w:r>
      <w:r>
        <w:rPr>
          <w:rFonts w:hint="eastAsia" w:eastAsia="仿宋_GB2312" w:cs="仿宋_GB2312"/>
          <w:sz w:val="32"/>
          <w:szCs w:val="32"/>
          <w:lang w:val="en-US" w:eastAsia="zh-CN"/>
        </w:rPr>
        <w:t>.....................................................7</w:t>
      </w:r>
    </w:p>
    <w:p w14:paraId="280EA184">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pPr>
      <w:r>
        <w:rPr>
          <w:rFonts w:hint="eastAsia" w:eastAsia="仿宋_GB2312" w:cs="仿宋_GB2312"/>
          <w:sz w:val="32"/>
          <w:szCs w:val="32"/>
        </w:rPr>
        <w:t>三、支出决算情况说明</w:t>
      </w:r>
      <w:r>
        <w:rPr>
          <w:rFonts w:hint="eastAsia" w:eastAsia="仿宋_GB2312" w:cs="仿宋_GB2312"/>
          <w:sz w:val="32"/>
          <w:szCs w:val="32"/>
          <w:lang w:val="en-US" w:eastAsia="zh-CN"/>
        </w:rPr>
        <w:t>.....................................................8</w:t>
      </w:r>
    </w:p>
    <w:p w14:paraId="0CDC149B">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pPr>
      <w:r>
        <w:rPr>
          <w:rFonts w:hint="eastAsia" w:eastAsia="仿宋_GB2312" w:cs="仿宋_GB2312"/>
          <w:sz w:val="32"/>
          <w:szCs w:val="32"/>
        </w:rPr>
        <w:t>四、财政拨款收入支出决算总体情况说明</w:t>
      </w:r>
      <w:r>
        <w:rPr>
          <w:rFonts w:hint="eastAsia" w:eastAsia="仿宋_GB2312" w:cs="仿宋_GB2312"/>
          <w:sz w:val="32"/>
          <w:szCs w:val="32"/>
          <w:lang w:val="en-US" w:eastAsia="zh-CN"/>
        </w:rPr>
        <w:t>.....................9</w:t>
      </w:r>
    </w:p>
    <w:p w14:paraId="6723B053">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五、一般公共预算财政拨款支出决算情况说明</w:t>
      </w:r>
      <w:r>
        <w:rPr>
          <w:rFonts w:hint="eastAsia" w:eastAsia="仿宋_GB2312" w:cs="仿宋_GB2312"/>
          <w:sz w:val="32"/>
          <w:szCs w:val="32"/>
          <w:lang w:val="en-US" w:eastAsia="zh-CN"/>
        </w:rPr>
        <w:t>...........10</w:t>
      </w:r>
    </w:p>
    <w:p w14:paraId="4E25860D">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六、一般公共预算财政拨款基本支出决算情况说明</w:t>
      </w:r>
      <w:r>
        <w:rPr>
          <w:rFonts w:hint="eastAsia" w:eastAsia="仿宋_GB2312" w:cs="仿宋_GB2312"/>
          <w:sz w:val="32"/>
          <w:szCs w:val="32"/>
          <w:lang w:val="en-US" w:eastAsia="zh-CN"/>
        </w:rPr>
        <w:t>...13</w:t>
      </w:r>
    </w:p>
    <w:p w14:paraId="70A50A99">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七、财政拨款“三公”经费支出决算情况说明</w:t>
      </w:r>
      <w:r>
        <w:rPr>
          <w:rFonts w:hint="eastAsia" w:eastAsia="仿宋_GB2312" w:cs="仿宋_GB2312"/>
          <w:sz w:val="32"/>
          <w:szCs w:val="32"/>
          <w:lang w:val="en-US" w:eastAsia="zh-CN"/>
        </w:rPr>
        <w:t>...........13</w:t>
      </w:r>
    </w:p>
    <w:p w14:paraId="596FDB60">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八、政府性基金预算支出决算情况说明</w:t>
      </w:r>
      <w:r>
        <w:rPr>
          <w:rFonts w:hint="eastAsia" w:eastAsia="仿宋_GB2312" w:cs="仿宋_GB2312"/>
          <w:sz w:val="32"/>
          <w:szCs w:val="32"/>
          <w:lang w:val="en-US" w:eastAsia="zh-CN"/>
        </w:rPr>
        <w:t>.......................16</w:t>
      </w:r>
    </w:p>
    <w:p w14:paraId="6B2199AF">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九、国有资本经营预算支出决算情况说明</w:t>
      </w:r>
      <w:r>
        <w:rPr>
          <w:rFonts w:hint="eastAsia" w:eastAsia="仿宋_GB2312" w:cs="仿宋_GB2312"/>
          <w:sz w:val="32"/>
          <w:szCs w:val="32"/>
          <w:lang w:val="en-US" w:eastAsia="zh-CN"/>
        </w:rPr>
        <w:t>...................16</w:t>
      </w:r>
    </w:p>
    <w:p w14:paraId="4E76EEA0">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十、其他重要事项的情况说明</w:t>
      </w:r>
      <w:r>
        <w:rPr>
          <w:rFonts w:hint="eastAsia" w:eastAsia="仿宋_GB2312" w:cs="仿宋_GB2312"/>
          <w:sz w:val="32"/>
          <w:szCs w:val="32"/>
          <w:lang w:val="en-US" w:eastAsia="zh-CN"/>
        </w:rPr>
        <w:t>.......................................16</w:t>
      </w:r>
    </w:p>
    <w:p w14:paraId="70C4450D">
      <w:pPr>
        <w:pStyle w:val="12"/>
        <w:adjustRightInd w:val="0"/>
        <w:snapToGrid w:val="0"/>
        <w:spacing w:before="0" w:line="560" w:lineRule="exact"/>
        <w:jc w:val="left"/>
        <w:rPr>
          <w:rFonts w:hint="default" w:ascii="Times New Roman" w:hAnsi="Times New Roman" w:eastAsia="黑体" w:cs="黑体"/>
          <w:sz w:val="32"/>
          <w:szCs w:val="32"/>
          <w:lang w:val="en-US" w:eastAsia="zh-CN"/>
        </w:rPr>
      </w:pPr>
      <w:r>
        <w:rPr>
          <w:rFonts w:hint="eastAsia" w:ascii="Times New Roman" w:hAnsi="Times New Roman" w:eastAsia="黑体" w:cs="黑体"/>
          <w:sz w:val="32"/>
          <w:szCs w:val="32"/>
        </w:rPr>
        <w:t>第三部分</w:t>
      </w:r>
      <w:r>
        <w:rPr>
          <w:rFonts w:ascii="Times New Roman" w:hAnsi="Times New Roman" w:eastAsia="黑体" w:cs="黑体"/>
          <w:sz w:val="32"/>
          <w:szCs w:val="32"/>
        </w:rPr>
        <w:t xml:space="preserve"> </w:t>
      </w:r>
      <w:r>
        <w:rPr>
          <w:rFonts w:hint="eastAsia" w:ascii="Times New Roman" w:hAnsi="Times New Roman" w:eastAsia="黑体" w:cs="黑体"/>
          <w:sz w:val="32"/>
          <w:szCs w:val="32"/>
        </w:rPr>
        <w:t>名词解释</w:t>
      </w:r>
      <w:r>
        <w:rPr>
          <w:rFonts w:hint="eastAsia" w:ascii="Times New Roman" w:hAnsi="Times New Roman" w:eastAsia="黑体" w:cs="黑体"/>
          <w:sz w:val="32"/>
          <w:szCs w:val="32"/>
          <w:lang w:val="en-US" w:eastAsia="zh-CN"/>
        </w:rPr>
        <w:t>.................................................................18</w:t>
      </w:r>
    </w:p>
    <w:p w14:paraId="7CFFE747">
      <w:pPr>
        <w:pStyle w:val="12"/>
        <w:adjustRightInd w:val="0"/>
        <w:snapToGrid w:val="0"/>
        <w:spacing w:before="0" w:line="560" w:lineRule="exact"/>
        <w:jc w:val="left"/>
        <w:rPr>
          <w:rFonts w:hint="default" w:ascii="Times New Roman" w:hAnsi="Times New Roman" w:eastAsia="黑体" w:cs="黑体"/>
          <w:sz w:val="32"/>
          <w:szCs w:val="32"/>
          <w:lang w:val="en-US" w:eastAsia="zh-CN"/>
        </w:rPr>
      </w:pPr>
      <w:r>
        <w:rPr>
          <w:rFonts w:hint="eastAsia" w:ascii="Times New Roman" w:hAnsi="Times New Roman" w:eastAsia="黑体" w:cs="黑体"/>
          <w:sz w:val="32"/>
          <w:szCs w:val="32"/>
        </w:rPr>
        <w:t>第四部分</w:t>
      </w:r>
      <w:r>
        <w:rPr>
          <w:rFonts w:ascii="Times New Roman" w:hAnsi="Times New Roman" w:eastAsia="黑体" w:cs="黑体"/>
          <w:sz w:val="32"/>
          <w:szCs w:val="32"/>
        </w:rPr>
        <w:t xml:space="preserve"> </w:t>
      </w:r>
      <w:r>
        <w:rPr>
          <w:rFonts w:hint="eastAsia" w:ascii="Times New Roman" w:hAnsi="Times New Roman" w:eastAsia="黑体" w:cs="黑体"/>
          <w:sz w:val="32"/>
          <w:szCs w:val="32"/>
        </w:rPr>
        <w:t>附件</w:t>
      </w:r>
      <w:r>
        <w:rPr>
          <w:rFonts w:hint="eastAsia" w:ascii="Times New Roman" w:hAnsi="Times New Roman" w:eastAsia="黑体" w:cs="黑体"/>
          <w:sz w:val="32"/>
          <w:szCs w:val="32"/>
          <w:lang w:val="en-US" w:eastAsia="zh-CN"/>
        </w:rPr>
        <w:t>.........................................................................21</w:t>
      </w:r>
    </w:p>
    <w:p w14:paraId="7E7ED193">
      <w:pPr>
        <w:pStyle w:val="12"/>
        <w:adjustRightInd w:val="0"/>
        <w:snapToGrid w:val="0"/>
        <w:spacing w:before="0" w:line="560" w:lineRule="exact"/>
        <w:jc w:val="left"/>
        <w:rPr>
          <w:rFonts w:hint="default" w:ascii="Times New Roman" w:hAnsi="Times New Roman" w:eastAsia="黑体" w:cs="黑体"/>
          <w:sz w:val="32"/>
          <w:szCs w:val="32"/>
          <w:lang w:val="en-US" w:eastAsia="zh-CN"/>
        </w:rPr>
      </w:pPr>
      <w:r>
        <w:rPr>
          <w:rFonts w:hint="eastAsia" w:ascii="Times New Roman" w:hAnsi="Times New Roman" w:eastAsia="黑体" w:cs="黑体"/>
          <w:sz w:val="32"/>
          <w:szCs w:val="32"/>
        </w:rPr>
        <w:t>第五部分</w:t>
      </w:r>
      <w:r>
        <w:rPr>
          <w:rFonts w:ascii="Times New Roman" w:hAnsi="Times New Roman" w:eastAsia="黑体" w:cs="黑体"/>
          <w:sz w:val="32"/>
          <w:szCs w:val="32"/>
        </w:rPr>
        <w:t xml:space="preserve"> </w:t>
      </w:r>
      <w:r>
        <w:rPr>
          <w:rFonts w:hint="eastAsia" w:ascii="Times New Roman" w:hAnsi="Times New Roman" w:eastAsia="黑体" w:cs="黑体"/>
          <w:sz w:val="32"/>
          <w:szCs w:val="32"/>
        </w:rPr>
        <w:t>附表</w:t>
      </w:r>
      <w:r>
        <w:rPr>
          <w:rFonts w:hint="eastAsia" w:ascii="Times New Roman" w:hAnsi="Times New Roman" w:eastAsia="黑体" w:cs="黑体"/>
          <w:sz w:val="32"/>
          <w:szCs w:val="32"/>
          <w:lang w:val="en-US" w:eastAsia="zh-CN"/>
        </w:rPr>
        <w:t>.........................................................................22</w:t>
      </w:r>
    </w:p>
    <w:p w14:paraId="0C4463F8">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一、收入支出决算总表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445491EC">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二、收入决算表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1AF64A09">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三、支出决算表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60BA86AF">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四、财政拨款收入支出决算总表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3AC5C614">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五、财政拨款支出决算明细表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6525070B">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六、一般公共预算财政拨款支出决算表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1493A1AA">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七、一般公共预算财政拨款支出决算明细表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3DD56800">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八、一般公共预算财政拨款基本支出决算明细表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6308240A">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九、一般公共预算财政拨款项目支出决算表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4E8867CC">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十、政府性基金预算财政拨款收入支出决算表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5FE76269">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十一、国有资本经营预算财政拨款收入支出决算表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3F3CB5F2">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十二、国有资本经营预算财政拨款支出决算表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2133B451">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十三、财政拨款“三公”经费支出决算表</w:t>
      </w:r>
      <w:r>
        <w:rPr>
          <w:rFonts w:hint="eastAsia" w:eastAsia="仿宋_GB2312" w:cs="仿宋_GB2312"/>
          <w:sz w:val="32"/>
          <w:szCs w:val="32"/>
          <w:lang w:val="en-US" w:eastAsia="zh-CN"/>
        </w:rPr>
        <w:t>...................</w:t>
      </w:r>
      <w:r>
        <w:rPr>
          <w:rFonts w:hint="eastAsia" w:ascii="Times New Roman" w:hAnsi="Times New Roman" w:eastAsia="黑体" w:cs="黑体"/>
          <w:sz w:val="32"/>
          <w:szCs w:val="32"/>
          <w:lang w:val="en-US" w:eastAsia="zh-CN"/>
        </w:rPr>
        <w:t>2</w:t>
      </w:r>
      <w:r>
        <w:rPr>
          <w:rFonts w:hint="eastAsia" w:eastAsia="黑体" w:cs="黑体"/>
          <w:sz w:val="32"/>
          <w:szCs w:val="32"/>
          <w:lang w:val="en-US" w:eastAsia="zh-CN"/>
        </w:rPr>
        <w:t>2</w:t>
      </w:r>
    </w:p>
    <w:p w14:paraId="3094743B">
      <w:pPr>
        <w:widowControl/>
        <w:spacing w:line="560" w:lineRule="exact"/>
        <w:jc w:val="left"/>
        <w:rPr>
          <w:rFonts w:eastAsia="仿宋_GB2312" w:cs="仿宋_GB2312"/>
          <w:bCs/>
          <w:kern w:val="44"/>
          <w:sz w:val="32"/>
          <w:szCs w:val="32"/>
        </w:rPr>
      </w:pPr>
      <w:bookmarkStart w:id="12" w:name="_Toc15377196"/>
      <w:bookmarkStart w:id="13" w:name="_Toc15396599"/>
      <w:r>
        <w:rPr>
          <w:rFonts w:hint="eastAsia" w:eastAsia="仿宋_GB2312" w:cs="仿宋_GB2312"/>
          <w:b/>
          <w:sz w:val="32"/>
          <w:szCs w:val="32"/>
        </w:rPr>
        <w:br w:type="page"/>
      </w:r>
    </w:p>
    <w:p w14:paraId="0D5E1DCD">
      <w:pPr>
        <w:pStyle w:val="3"/>
        <w:jc w:val="center"/>
        <w:rPr>
          <w:rStyle w:val="28"/>
          <w:rFonts w:eastAsia="方正小标宋简体" w:cs="方正小标宋简体"/>
          <w:b/>
          <w:bCs w:val="0"/>
        </w:rPr>
      </w:pPr>
      <w:r>
        <w:rPr>
          <w:rFonts w:hint="eastAsia" w:eastAsia="方正小标宋简体" w:cs="方正小标宋简体"/>
          <w:b w:val="0"/>
        </w:rPr>
        <w:t xml:space="preserve">第一部分  </w:t>
      </w:r>
      <w:r>
        <w:rPr>
          <w:rStyle w:val="28"/>
          <w:rFonts w:hint="eastAsia" w:eastAsia="方正小标宋简体" w:cs="方正小标宋简体"/>
          <w:b w:val="0"/>
          <w:bCs w:val="0"/>
        </w:rPr>
        <w:t>部门概况</w:t>
      </w:r>
      <w:bookmarkEnd w:id="12"/>
      <w:bookmarkEnd w:id="13"/>
    </w:p>
    <w:p w14:paraId="2E7202DB">
      <w:pPr>
        <w:widowControl/>
        <w:jc w:val="left"/>
        <w:rPr>
          <w:rFonts w:eastAsia="黑体"/>
          <w:sz w:val="32"/>
          <w:szCs w:val="32"/>
        </w:rPr>
      </w:pPr>
    </w:p>
    <w:p w14:paraId="2FC970B6">
      <w:pPr>
        <w:pStyle w:val="4"/>
        <w:numPr>
          <w:ilvl w:val="0"/>
          <w:numId w:val="1"/>
        </w:numPr>
      </w:pPr>
      <w:r>
        <w:rPr>
          <w:rFonts w:hint="eastAsia" w:ascii="Times New Roman" w:hAnsi="Times New Roman" w:eastAsia="黑体"/>
          <w:b w:val="0"/>
        </w:rPr>
        <w:t>部门职责</w:t>
      </w:r>
    </w:p>
    <w:p w14:paraId="5658CFDB">
      <w:pPr>
        <w:keepNext w:val="0"/>
        <w:keepLines w:val="0"/>
        <w:pageBreakBefore w:val="0"/>
        <w:kinsoku/>
        <w:wordWrap/>
        <w:overflowPunct/>
        <w:topLinePunct w:val="0"/>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sz w:val="32"/>
          <w:szCs w:val="32"/>
          <w:lang w:val="en-US" w:eastAsia="zh-CN"/>
        </w:rPr>
        <w:t>攀枝花市自然资源和规划局仁和区分局</w:t>
      </w:r>
      <w:r>
        <w:rPr>
          <w:rFonts w:hint="eastAsia" w:ascii="仿宋_GB2312" w:hAnsi="仿宋_GB2312" w:eastAsia="仿宋_GB2312" w:cs="仿宋_GB2312"/>
          <w:b w:val="0"/>
          <w:bCs/>
          <w:sz w:val="32"/>
          <w:szCs w:val="32"/>
        </w:rPr>
        <w:t>是主管</w:t>
      </w:r>
      <w:r>
        <w:rPr>
          <w:rFonts w:hint="eastAsia" w:ascii="仿宋_GB2312" w:hAnsi="仿宋_GB2312" w:eastAsia="仿宋_GB2312" w:cs="仿宋_GB2312"/>
          <w:b w:val="0"/>
          <w:bCs/>
          <w:sz w:val="32"/>
          <w:szCs w:val="32"/>
          <w:lang w:val="en-US" w:eastAsia="zh-CN"/>
        </w:rPr>
        <w:t>仁和</w:t>
      </w:r>
      <w:r>
        <w:rPr>
          <w:rFonts w:hint="eastAsia" w:ascii="仿宋_GB2312" w:hAnsi="仿宋_GB2312" w:eastAsia="仿宋_GB2312" w:cs="仿宋_GB2312"/>
          <w:b w:val="0"/>
          <w:bCs/>
          <w:sz w:val="32"/>
          <w:szCs w:val="32"/>
        </w:rPr>
        <w:t>区土地、矿产资源的调查评价、规划、管理、保护与合理利用的市政府工作部门。</w:t>
      </w:r>
      <w:r>
        <w:rPr>
          <w:rFonts w:hint="eastAsia" w:ascii="仿宋_GB2312" w:hAnsi="仿宋_GB2312" w:eastAsia="仿宋_GB2312" w:cs="仿宋_GB2312"/>
          <w:sz w:val="32"/>
          <w:szCs w:val="32"/>
        </w:rPr>
        <w:t>职责定位：</w:t>
      </w:r>
    </w:p>
    <w:p w14:paraId="74D2B3E6">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贯彻执行国家、省、市有关国土资源管理的法律、法规、政策和规章，组织开展国土资源法制宣传教育；</w:t>
      </w:r>
    </w:p>
    <w:p w14:paraId="5B864A58">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负责辖区内矿产资源管理、地质灾害防治与监管工作；</w:t>
      </w:r>
    </w:p>
    <w:p w14:paraId="2B494FAB">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受市局委托，在</w:t>
      </w:r>
      <w:r>
        <w:rPr>
          <w:rFonts w:hint="eastAsia" w:ascii="仿宋_GB2312" w:hAnsi="仿宋_GB2312" w:eastAsia="仿宋_GB2312" w:cs="仿宋_GB2312"/>
          <w:sz w:val="32"/>
          <w:szCs w:val="32"/>
          <w:lang w:val="en-US" w:eastAsia="zh-CN"/>
        </w:rPr>
        <w:t>仁和</w:t>
      </w:r>
      <w:r>
        <w:rPr>
          <w:rFonts w:hint="eastAsia" w:ascii="仿宋_GB2312" w:hAnsi="仿宋_GB2312" w:eastAsia="仿宋_GB2312" w:cs="仿宋_GB2312"/>
          <w:sz w:val="32"/>
          <w:szCs w:val="32"/>
        </w:rPr>
        <w:t>区政府领导下，承担辖区内征地的具体事务(注：主要是开展组织、审查、征收、转用集体土地的报件材料工作)；</w:t>
      </w:r>
    </w:p>
    <w:p w14:paraId="56F93A57">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负责辖区内国有划拨土地使用权出租、租赁等“隐形市场”的管理和划拨土地使用权年租金的收缴工作；</w:t>
      </w:r>
    </w:p>
    <w:p w14:paraId="32517E5F">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负责辖区内村民宅基地和临时用地的审核报件和村民集体建设用地使用权登记发证；</w:t>
      </w:r>
    </w:p>
    <w:p w14:paraId="54A4E66A">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协助市局做好辖区内土地、矿产资源的勘测、规划、调查、登记、发证等工作，依法调解土地、矿产权属纠纷；</w:t>
      </w:r>
    </w:p>
    <w:p w14:paraId="20EE18C8">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协助市局管理辖区内的土地、矿产市场；</w:t>
      </w:r>
    </w:p>
    <w:p w14:paraId="7E556EBA">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协助市局管理辖区内国土资源执法监察、信访和违法案件查处；</w:t>
      </w:r>
    </w:p>
    <w:p w14:paraId="5C838AA3">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负责辖区内基层国土资源管理所的日常管理工作；</w:t>
      </w:r>
      <w:r>
        <w:rPr>
          <w:rFonts w:hint="eastAsia" w:ascii="仿宋_GB2312" w:hAnsi="仿宋_GB2312" w:eastAsia="仿宋_GB2312" w:cs="仿宋_GB2312"/>
          <w:sz w:val="32"/>
          <w:szCs w:val="32"/>
          <w:lang w:val="en-US" w:eastAsia="zh-CN"/>
        </w:rPr>
        <w:t xml:space="preserve">    </w:t>
      </w:r>
    </w:p>
    <w:p w14:paraId="1CC44D9D">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6" w:firstLineChars="177"/>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承办市</w:t>
      </w:r>
      <w:r>
        <w:rPr>
          <w:rFonts w:hint="eastAsia" w:ascii="仿宋_GB2312" w:hAnsi="仿宋_GB2312" w:eastAsia="仿宋_GB2312" w:cs="仿宋_GB2312"/>
          <w:sz w:val="32"/>
          <w:szCs w:val="32"/>
          <w:lang w:val="en-US" w:eastAsia="zh-CN"/>
        </w:rPr>
        <w:t>自然资源和规划</w:t>
      </w:r>
      <w:r>
        <w:rPr>
          <w:rFonts w:hint="eastAsia" w:ascii="仿宋_GB2312" w:hAnsi="仿宋_GB2312" w:eastAsia="仿宋_GB2312" w:cs="仿宋_GB2312"/>
          <w:sz w:val="32"/>
          <w:szCs w:val="32"/>
        </w:rPr>
        <w:t>局</w:t>
      </w:r>
      <w:r>
        <w:rPr>
          <w:rFonts w:hint="eastAsia" w:ascii="仿宋_GB2312" w:hAnsi="仿宋_GB2312" w:eastAsia="仿宋_GB2312" w:cs="仿宋_GB2312"/>
          <w:sz w:val="32"/>
          <w:szCs w:val="32"/>
          <w:lang w:val="en-US" w:eastAsia="zh-CN"/>
        </w:rPr>
        <w:t>以及仁和</w:t>
      </w:r>
      <w:r>
        <w:rPr>
          <w:rFonts w:hint="eastAsia" w:ascii="仿宋_GB2312" w:hAnsi="仿宋_GB2312" w:eastAsia="仿宋_GB2312" w:cs="仿宋_GB2312"/>
          <w:sz w:val="32"/>
          <w:szCs w:val="32"/>
        </w:rPr>
        <w:t>区政府交办的其他事项。</w:t>
      </w:r>
    </w:p>
    <w:p w14:paraId="19AE23AE"/>
    <w:p w14:paraId="05A528C1">
      <w:pPr>
        <w:pStyle w:val="4"/>
        <w:rPr>
          <w:rStyle w:val="29"/>
          <w:rFonts w:ascii="Times New Roman" w:hAnsi="Times New Roman"/>
          <w:b w:val="0"/>
          <w:bCs w:val="0"/>
        </w:rPr>
      </w:pPr>
      <w:bookmarkStart w:id="14" w:name="_Toc15396601"/>
      <w:bookmarkStart w:id="15" w:name="_Toc15377200"/>
      <w:r>
        <w:rPr>
          <w:rFonts w:hint="eastAsia" w:ascii="Times New Roman" w:hAnsi="Times New Roman" w:eastAsia="黑体"/>
          <w:b w:val="0"/>
        </w:rPr>
        <w:t>二、机</w:t>
      </w:r>
      <w:r>
        <w:rPr>
          <w:rStyle w:val="29"/>
          <w:rFonts w:hint="eastAsia" w:ascii="Times New Roman" w:hAnsi="Times New Roman" w:eastAsia="黑体"/>
          <w:b w:val="0"/>
          <w:bCs w:val="0"/>
        </w:rPr>
        <w:t>构设置</w:t>
      </w:r>
      <w:bookmarkEnd w:id="14"/>
      <w:bookmarkEnd w:id="15"/>
    </w:p>
    <w:p w14:paraId="092C365E">
      <w:pPr>
        <w:ind w:firstLine="800" w:firstLineChars="250"/>
        <w:rPr>
          <w:rFonts w:eastAsia="仿宋_GB2312" w:cs="仿宋_GB2312"/>
          <w:sz w:val="32"/>
          <w:szCs w:val="32"/>
        </w:rPr>
      </w:pPr>
      <w:r>
        <w:rPr>
          <w:rFonts w:hint="eastAsia" w:ascii="仿宋_GB2312" w:hAnsi="仿宋_GB2312" w:eastAsia="仿宋_GB2312" w:cs="仿宋_GB2312"/>
          <w:b w:val="0"/>
          <w:bCs/>
          <w:sz w:val="32"/>
          <w:szCs w:val="32"/>
          <w:lang w:val="en-US" w:eastAsia="zh-CN"/>
        </w:rPr>
        <w:t>攀枝花市自然资源和规划局仁和区分局</w:t>
      </w:r>
      <w:r>
        <w:rPr>
          <w:rFonts w:hint="eastAsia" w:ascii="仿宋_GB2312" w:hAnsi="仿宋_GB2312" w:eastAsia="仿宋_GB2312" w:cs="仿宋_GB2312"/>
          <w:sz w:val="32"/>
          <w:szCs w:val="32"/>
          <w:lang w:val="en-US" w:eastAsia="zh-CN"/>
        </w:rPr>
        <w:t>为实施</w:t>
      </w:r>
      <w:r>
        <w:rPr>
          <w:rFonts w:hint="eastAsia" w:ascii="仿宋_GB2312" w:hAnsi="仿宋_GB2312" w:eastAsia="仿宋_GB2312" w:cs="仿宋_GB2312"/>
          <w:sz w:val="32"/>
          <w:szCs w:val="32"/>
        </w:rPr>
        <w:t>独立核算</w:t>
      </w:r>
      <w:r>
        <w:rPr>
          <w:rFonts w:hint="eastAsia" w:ascii="仿宋_GB2312" w:hAnsi="仿宋_GB2312" w:eastAsia="仿宋_GB2312" w:cs="仿宋_GB2312"/>
          <w:sz w:val="32"/>
          <w:szCs w:val="32"/>
          <w:lang w:val="en-US" w:eastAsia="zh-CN"/>
        </w:rPr>
        <w:t>二级预算单位，性质为行政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代管市自然资源和规划局的派出机构13个：</w:t>
      </w:r>
      <w:r>
        <w:rPr>
          <w:rFonts w:hint="eastAsia" w:ascii="仿宋_GB2312" w:hAnsi="仿宋_GB2312" w:eastAsia="仿宋_GB2312" w:cs="仿宋_GB2312"/>
          <w:sz w:val="32"/>
          <w:szCs w:val="32"/>
        </w:rPr>
        <w:t>攀枝花市仁和</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资源所、攀枝花市</w:t>
      </w:r>
      <w:r>
        <w:rPr>
          <w:rFonts w:hint="eastAsia" w:ascii="仿宋_GB2312" w:hAnsi="仿宋_GB2312" w:eastAsia="仿宋_GB2312" w:cs="仿宋_GB2312"/>
          <w:sz w:val="32"/>
          <w:szCs w:val="32"/>
          <w:lang w:eastAsia="zh-CN"/>
        </w:rPr>
        <w:t>大龙潭自然</w:t>
      </w:r>
      <w:r>
        <w:rPr>
          <w:rFonts w:hint="eastAsia" w:ascii="仿宋_GB2312" w:hAnsi="仿宋_GB2312" w:eastAsia="仿宋_GB2312" w:cs="仿宋_GB2312"/>
          <w:sz w:val="32"/>
          <w:szCs w:val="32"/>
        </w:rPr>
        <w:t>资源所、攀枝花市前进</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资源所、攀枝花市</w:t>
      </w:r>
      <w:r>
        <w:rPr>
          <w:rFonts w:hint="eastAsia" w:ascii="仿宋_GB2312" w:hAnsi="仿宋_GB2312" w:eastAsia="仿宋_GB2312" w:cs="仿宋_GB2312"/>
          <w:sz w:val="32"/>
          <w:szCs w:val="32"/>
          <w:lang w:eastAsia="zh-CN"/>
        </w:rPr>
        <w:t>中坝</w:t>
      </w:r>
      <w:r>
        <w:rPr>
          <w:rFonts w:hint="eastAsia" w:ascii="仿宋_GB2312" w:hAnsi="仿宋_GB2312" w:eastAsia="仿宋_GB2312" w:cs="仿宋_GB2312"/>
          <w:sz w:val="32"/>
          <w:szCs w:val="32"/>
        </w:rPr>
        <w:t>资源所、攀枝花市</w:t>
      </w:r>
      <w:r>
        <w:rPr>
          <w:rFonts w:hint="eastAsia" w:ascii="仿宋_GB2312" w:hAnsi="仿宋_GB2312" w:eastAsia="仿宋_GB2312" w:cs="仿宋_GB2312"/>
          <w:sz w:val="32"/>
          <w:szCs w:val="32"/>
          <w:lang w:eastAsia="zh-CN"/>
        </w:rPr>
        <w:t>大田自然</w:t>
      </w:r>
      <w:r>
        <w:rPr>
          <w:rFonts w:hint="eastAsia" w:ascii="仿宋_GB2312" w:hAnsi="仿宋_GB2312" w:eastAsia="仿宋_GB2312" w:cs="仿宋_GB2312"/>
          <w:sz w:val="32"/>
          <w:szCs w:val="32"/>
        </w:rPr>
        <w:t>资源所、攀枝花市</w:t>
      </w:r>
      <w:r>
        <w:rPr>
          <w:rFonts w:hint="eastAsia" w:ascii="仿宋_GB2312" w:hAnsi="仿宋_GB2312" w:eastAsia="仿宋_GB2312" w:cs="仿宋_GB2312"/>
          <w:sz w:val="32"/>
          <w:szCs w:val="32"/>
          <w:lang w:eastAsia="zh-CN"/>
        </w:rPr>
        <w:t>福田自然</w:t>
      </w:r>
      <w:r>
        <w:rPr>
          <w:rFonts w:hint="eastAsia" w:ascii="仿宋_GB2312" w:hAnsi="仿宋_GB2312" w:eastAsia="仿宋_GB2312" w:cs="仿宋_GB2312"/>
          <w:sz w:val="32"/>
          <w:szCs w:val="32"/>
        </w:rPr>
        <w:t>资源所、攀枝花市布德</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资源所、攀枝花市太平</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资源所、攀枝花市金江</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资源所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攀枝花市</w:t>
      </w:r>
      <w:r>
        <w:rPr>
          <w:rFonts w:hint="eastAsia" w:ascii="仿宋_GB2312" w:hAnsi="仿宋_GB2312" w:eastAsia="仿宋_GB2312" w:cs="仿宋_GB2312"/>
          <w:sz w:val="32"/>
          <w:szCs w:val="32"/>
          <w:lang w:eastAsia="zh-CN"/>
        </w:rPr>
        <w:t>平地自然</w:t>
      </w:r>
      <w:r>
        <w:rPr>
          <w:rFonts w:hint="eastAsia" w:ascii="仿宋_GB2312" w:hAnsi="仿宋_GB2312" w:eastAsia="仿宋_GB2312" w:cs="仿宋_GB2312"/>
          <w:sz w:val="32"/>
          <w:szCs w:val="32"/>
        </w:rPr>
        <w:t>资源所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攀枝花市</w:t>
      </w:r>
      <w:r>
        <w:rPr>
          <w:rFonts w:hint="eastAsia" w:ascii="仿宋_GB2312" w:hAnsi="仿宋_GB2312" w:eastAsia="仿宋_GB2312" w:cs="仿宋_GB2312"/>
          <w:sz w:val="32"/>
          <w:szCs w:val="32"/>
          <w:lang w:eastAsia="zh-CN"/>
        </w:rPr>
        <w:t>务本自然</w:t>
      </w:r>
      <w:r>
        <w:rPr>
          <w:rFonts w:hint="eastAsia" w:ascii="仿宋_GB2312" w:hAnsi="仿宋_GB2312" w:eastAsia="仿宋_GB2312" w:cs="仿宋_GB2312"/>
          <w:sz w:val="32"/>
          <w:szCs w:val="32"/>
        </w:rPr>
        <w:t>资源所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攀枝花市</w:t>
      </w:r>
      <w:r>
        <w:rPr>
          <w:rFonts w:hint="eastAsia" w:ascii="仿宋_GB2312" w:hAnsi="仿宋_GB2312" w:eastAsia="仿宋_GB2312" w:cs="仿宋_GB2312"/>
          <w:sz w:val="32"/>
          <w:szCs w:val="32"/>
          <w:lang w:val="en-US" w:eastAsia="zh-CN"/>
        </w:rPr>
        <w:t>啊喇</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资源所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攀枝花市</w:t>
      </w:r>
      <w:r>
        <w:rPr>
          <w:rFonts w:hint="eastAsia" w:ascii="仿宋_GB2312" w:hAnsi="仿宋_GB2312" w:eastAsia="仿宋_GB2312" w:cs="仿宋_GB2312"/>
          <w:sz w:val="32"/>
          <w:szCs w:val="32"/>
          <w:lang w:val="en-US" w:eastAsia="zh-CN"/>
        </w:rPr>
        <w:t>同德</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资源所</w:t>
      </w:r>
      <w:r>
        <w:rPr>
          <w:rFonts w:hint="eastAsia" w:ascii="仿宋_GB2312" w:hAnsi="仿宋_GB2312" w:eastAsia="仿宋_GB2312" w:cs="仿宋_GB2312"/>
          <w:sz w:val="32"/>
          <w:szCs w:val="32"/>
          <w:lang w:val="en-US" w:eastAsia="zh-CN"/>
        </w:rPr>
        <w:t>。</w:t>
      </w:r>
    </w:p>
    <w:p w14:paraId="1797EE06">
      <w:pPr>
        <w:widowControl/>
        <w:jc w:val="left"/>
        <w:rPr>
          <w:rFonts w:eastAsia="仿宋"/>
          <w:kern w:val="0"/>
          <w:sz w:val="32"/>
          <w:szCs w:val="32"/>
        </w:rPr>
      </w:pPr>
      <w:r>
        <w:rPr>
          <w:rFonts w:eastAsia="仿宋"/>
          <w:sz w:val="32"/>
          <w:szCs w:val="32"/>
        </w:rPr>
        <w:br w:type="page"/>
      </w:r>
    </w:p>
    <w:p w14:paraId="6991299B">
      <w:pPr>
        <w:pStyle w:val="3"/>
        <w:jc w:val="center"/>
        <w:rPr>
          <w:rFonts w:eastAsia="方正小标宋简体" w:cs="方正小标宋简体"/>
          <w:b w:val="0"/>
        </w:rPr>
      </w:pPr>
      <w:bookmarkStart w:id="16" w:name="_Toc15377204"/>
      <w:bookmarkStart w:id="17" w:name="_Toc15396602"/>
      <w:r>
        <w:rPr>
          <w:rFonts w:hint="eastAsia" w:eastAsia="方正小标宋简体" w:cs="方正小标宋简体"/>
          <w:b w:val="0"/>
        </w:rPr>
        <w:t>第二部分  2025年度部门决算情况说明</w:t>
      </w:r>
      <w:bookmarkEnd w:id="16"/>
      <w:bookmarkEnd w:id="17"/>
    </w:p>
    <w:p w14:paraId="7916103B"/>
    <w:p w14:paraId="328733A4">
      <w:pPr>
        <w:pStyle w:val="27"/>
        <w:spacing w:line="600" w:lineRule="exact"/>
        <w:ind w:firstLine="640"/>
        <w:outlineLvl w:val="1"/>
        <w:rPr>
          <w:rStyle w:val="29"/>
          <w:rFonts w:ascii="Times New Roman" w:hAnsi="Times New Roman" w:eastAsia="黑体"/>
          <w:b w:val="0"/>
        </w:rPr>
      </w:pPr>
      <w:bookmarkStart w:id="18" w:name="_Toc15396603"/>
      <w:bookmarkStart w:id="19" w:name="_Toc15377205"/>
      <w:r>
        <w:rPr>
          <w:rFonts w:hint="eastAsia" w:eastAsia="黑体"/>
          <w:sz w:val="32"/>
          <w:szCs w:val="32"/>
        </w:rPr>
        <w:t>一、收</w:t>
      </w:r>
      <w:r>
        <w:rPr>
          <w:rStyle w:val="29"/>
          <w:rFonts w:hint="eastAsia" w:ascii="Times New Roman" w:hAnsi="Times New Roman" w:eastAsia="黑体"/>
          <w:b w:val="0"/>
        </w:rPr>
        <w:t>入支出决算总体情况说明</w:t>
      </w:r>
      <w:bookmarkEnd w:id="18"/>
      <w:bookmarkEnd w:id="19"/>
    </w:p>
    <w:p w14:paraId="6728EB5E">
      <w:pPr>
        <w:pStyle w:val="27"/>
        <w:spacing w:line="600" w:lineRule="exact"/>
        <w:ind w:firstLine="640"/>
        <w:outlineLvl w:val="1"/>
        <w:rPr>
          <w:rFonts w:hint="eastAsia" w:eastAsia="仿宋_GB2312" w:cs="仿宋_GB2312"/>
          <w:sz w:val="32"/>
          <w:szCs w:val="32"/>
          <w:lang w:eastAsia="zh-CN"/>
        </w:rPr>
      </w:pPr>
      <w:r>
        <w:rPr>
          <w:rFonts w:hint="eastAsia" w:eastAsia="仿宋_GB2312" w:cs="仿宋_GB2312"/>
          <w:sz w:val="32"/>
          <w:szCs w:val="32"/>
        </w:rPr>
        <w:t>2025年度收入、支出总计均为</w:t>
      </w:r>
      <w:r>
        <w:rPr>
          <w:rFonts w:hint="eastAsia" w:eastAsia="仿宋_GB2312" w:cs="仿宋_GB2312"/>
          <w:sz w:val="32"/>
          <w:szCs w:val="32"/>
          <w:lang w:val="en-US" w:eastAsia="zh-CN"/>
        </w:rPr>
        <w:t>2536.98</w:t>
      </w:r>
      <w:r>
        <w:rPr>
          <w:rFonts w:hint="eastAsia" w:eastAsia="仿宋_GB2312" w:cs="仿宋_GB2312"/>
          <w:sz w:val="32"/>
          <w:szCs w:val="32"/>
        </w:rPr>
        <w:t>万元。与上年度相比，收入、支出总计各减少</w:t>
      </w:r>
      <w:r>
        <w:rPr>
          <w:rFonts w:hint="eastAsia" w:eastAsia="仿宋_GB2312" w:cs="仿宋_GB2312"/>
          <w:sz w:val="32"/>
          <w:szCs w:val="32"/>
          <w:lang w:val="en-US" w:eastAsia="zh-CN"/>
        </w:rPr>
        <w:t>1781.48</w:t>
      </w:r>
      <w:r>
        <w:rPr>
          <w:rFonts w:hint="eastAsia" w:eastAsia="仿宋_GB2312" w:cs="仿宋_GB2312"/>
          <w:sz w:val="32"/>
          <w:szCs w:val="32"/>
        </w:rPr>
        <w:t>万元，下降</w:t>
      </w:r>
      <w:r>
        <w:rPr>
          <w:rFonts w:hint="eastAsia" w:eastAsia="仿宋_GB2312" w:cs="仿宋_GB2312"/>
          <w:sz w:val="32"/>
          <w:szCs w:val="32"/>
          <w:lang w:val="en-US" w:eastAsia="zh-CN"/>
        </w:rPr>
        <w:t>70.2</w:t>
      </w:r>
      <w:r>
        <w:rPr>
          <w:rFonts w:hint="eastAsia" w:eastAsia="仿宋_GB2312" w:cs="仿宋_GB2312"/>
          <w:sz w:val="32"/>
          <w:szCs w:val="32"/>
        </w:rPr>
        <w:t>%。主要变动原因是</w:t>
      </w:r>
      <w:r>
        <w:rPr>
          <w:rFonts w:hint="eastAsia" w:eastAsia="仿宋_GB2312" w:cs="仿宋_GB2312"/>
          <w:sz w:val="32"/>
          <w:szCs w:val="32"/>
          <w:lang w:eastAsia="zh-CN"/>
        </w:rPr>
        <w:t>仁和区财政减少地质灾害防治资金。</w:t>
      </w:r>
    </w:p>
    <w:p w14:paraId="350B5C13">
      <w:pPr>
        <w:pStyle w:val="27"/>
        <w:spacing w:line="600" w:lineRule="exact"/>
        <w:ind w:firstLine="640"/>
        <w:outlineLvl w:val="1"/>
        <w:rPr>
          <w:rFonts w:hint="eastAsia" w:eastAsia="仿宋_GB2312" w:cs="仿宋_GB2312"/>
          <w:sz w:val="32"/>
          <w:szCs w:val="32"/>
          <w:lang w:eastAsia="zh-CN"/>
        </w:rPr>
      </w:pPr>
    </w:p>
    <w:p w14:paraId="34392967">
      <w:pPr>
        <w:pStyle w:val="27"/>
        <w:spacing w:line="600" w:lineRule="exact"/>
        <w:ind w:firstLine="640"/>
        <w:outlineLvl w:val="1"/>
        <w:rPr>
          <w:rFonts w:hint="eastAsia" w:eastAsia="仿宋_GB2312" w:cs="仿宋_GB2312"/>
          <w:sz w:val="32"/>
          <w:szCs w:val="32"/>
          <w:lang w:eastAsia="zh-CN"/>
        </w:rPr>
      </w:pPr>
    </w:p>
    <w:p w14:paraId="54050611">
      <w:pPr>
        <w:pStyle w:val="27"/>
        <w:spacing w:line="600" w:lineRule="exact"/>
        <w:ind w:firstLine="640"/>
        <w:outlineLvl w:val="1"/>
        <w:rPr>
          <w:rFonts w:hint="eastAsia" w:eastAsia="仿宋_GB2312" w:cs="仿宋_GB2312"/>
          <w:sz w:val="32"/>
          <w:szCs w:val="32"/>
          <w:lang w:eastAsia="zh-CN"/>
        </w:rPr>
      </w:pPr>
    </w:p>
    <w:p w14:paraId="20EDCE77">
      <w:pPr>
        <w:pStyle w:val="27"/>
        <w:spacing w:line="600" w:lineRule="exact"/>
        <w:ind w:firstLine="640"/>
        <w:outlineLvl w:val="1"/>
        <w:rPr>
          <w:rFonts w:hint="eastAsia" w:eastAsia="仿宋_GB2312" w:cs="仿宋_GB2312"/>
          <w:sz w:val="32"/>
          <w:szCs w:val="32"/>
          <w:lang w:eastAsia="zh-CN"/>
        </w:rPr>
      </w:pPr>
    </w:p>
    <w:p w14:paraId="0D5E799A">
      <w:pPr>
        <w:pStyle w:val="27"/>
        <w:spacing w:line="600" w:lineRule="exact"/>
        <w:ind w:firstLine="640"/>
        <w:outlineLvl w:val="1"/>
        <w:rPr>
          <w:rFonts w:hint="eastAsia" w:eastAsia="仿宋_GB2312" w:cs="仿宋_GB2312"/>
          <w:sz w:val="32"/>
          <w:szCs w:val="32"/>
          <w:lang w:eastAsia="zh-CN"/>
        </w:rPr>
      </w:pPr>
    </w:p>
    <w:p w14:paraId="618F2E4B">
      <w:pPr>
        <w:pStyle w:val="27"/>
        <w:spacing w:line="600" w:lineRule="exact"/>
        <w:ind w:firstLine="640"/>
        <w:outlineLvl w:val="1"/>
        <w:rPr>
          <w:rFonts w:hint="eastAsia" w:eastAsia="仿宋_GB2312" w:cs="仿宋_GB2312"/>
          <w:sz w:val="32"/>
          <w:szCs w:val="32"/>
          <w:lang w:eastAsia="zh-CN"/>
        </w:rPr>
      </w:pPr>
    </w:p>
    <w:p w14:paraId="069326C9">
      <w:pPr>
        <w:pStyle w:val="27"/>
        <w:spacing w:line="600" w:lineRule="exact"/>
        <w:ind w:firstLine="640"/>
        <w:outlineLvl w:val="1"/>
        <w:rPr>
          <w:rFonts w:hint="eastAsia" w:eastAsia="仿宋_GB2312" w:cs="仿宋_GB2312"/>
          <w:sz w:val="32"/>
          <w:szCs w:val="32"/>
          <w:lang w:eastAsia="zh-CN"/>
        </w:rPr>
      </w:pPr>
    </w:p>
    <w:p w14:paraId="3A6AFD94">
      <w:pPr>
        <w:pStyle w:val="27"/>
        <w:spacing w:line="600" w:lineRule="exact"/>
        <w:ind w:firstLine="640"/>
        <w:outlineLvl w:val="1"/>
        <w:rPr>
          <w:rFonts w:hint="eastAsia" w:eastAsia="仿宋_GB2312" w:cs="仿宋_GB2312"/>
          <w:sz w:val="32"/>
          <w:szCs w:val="32"/>
          <w:lang w:eastAsia="zh-CN"/>
        </w:rPr>
      </w:pPr>
    </w:p>
    <w:p w14:paraId="5787C479">
      <w:pPr>
        <w:pStyle w:val="27"/>
        <w:spacing w:line="600" w:lineRule="exact"/>
        <w:ind w:firstLine="640"/>
        <w:outlineLvl w:val="1"/>
        <w:rPr>
          <w:rFonts w:hint="eastAsia" w:eastAsia="仿宋_GB2312" w:cs="仿宋_GB2312"/>
          <w:sz w:val="32"/>
          <w:szCs w:val="32"/>
          <w:lang w:eastAsia="zh-CN"/>
        </w:rPr>
      </w:pPr>
      <w:r>
        <w:rPr>
          <w:rFonts w:hint="eastAsia" w:eastAsia="仿宋_GB2312" w:cs="仿宋_GB2312"/>
          <w:sz w:val="32"/>
          <w:szCs w:val="32"/>
          <w:lang w:eastAsia="zh-CN"/>
        </w:rPr>
        <w:drawing>
          <wp:anchor distT="0" distB="0" distL="114300" distR="114300" simplePos="0" relativeHeight="251659264" behindDoc="1" locked="0" layoutInCell="1" allowOverlap="1">
            <wp:simplePos x="0" y="0"/>
            <wp:positionH relativeFrom="column">
              <wp:posOffset>411480</wp:posOffset>
            </wp:positionH>
            <wp:positionV relativeFrom="paragraph">
              <wp:posOffset>-2700655</wp:posOffset>
            </wp:positionV>
            <wp:extent cx="5256530" cy="2988310"/>
            <wp:effectExtent l="5080" t="4445" r="15240" b="17145"/>
            <wp:wrapNone/>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668792D0">
      <w:pPr>
        <w:pStyle w:val="27"/>
        <w:spacing w:line="600" w:lineRule="exact"/>
        <w:ind w:firstLine="640"/>
        <w:outlineLvl w:val="1"/>
        <w:rPr>
          <w:rFonts w:hint="eastAsia" w:eastAsia="仿宋_GB2312" w:cs="仿宋_GB2312"/>
          <w:sz w:val="32"/>
          <w:szCs w:val="32"/>
        </w:rPr>
      </w:pPr>
      <w:r>
        <w:rPr>
          <w:rFonts w:hint="eastAsia" w:eastAsia="仿宋_GB2312" w:cs="仿宋_GB2312"/>
          <w:sz w:val="32"/>
          <w:szCs w:val="32"/>
        </w:rPr>
        <w:t>（图1：收入、支出决算总计变动情况图）</w:t>
      </w:r>
    </w:p>
    <w:p w14:paraId="784D66AD">
      <w:pPr>
        <w:pStyle w:val="27"/>
        <w:spacing w:line="600" w:lineRule="exact"/>
        <w:ind w:firstLine="640"/>
        <w:outlineLvl w:val="1"/>
        <w:rPr>
          <w:rFonts w:hint="eastAsia" w:eastAsia="仿宋_GB2312" w:cs="仿宋_GB2312"/>
          <w:sz w:val="32"/>
          <w:szCs w:val="32"/>
        </w:rPr>
      </w:pPr>
    </w:p>
    <w:p w14:paraId="42A4BBDE">
      <w:pPr>
        <w:pStyle w:val="27"/>
        <w:spacing w:line="600" w:lineRule="exact"/>
        <w:ind w:firstLine="640"/>
        <w:outlineLvl w:val="1"/>
        <w:rPr>
          <w:rFonts w:eastAsia="黑体"/>
          <w:sz w:val="32"/>
          <w:szCs w:val="32"/>
        </w:rPr>
      </w:pPr>
      <w:bookmarkStart w:id="20" w:name="_Toc15377206"/>
      <w:bookmarkStart w:id="21" w:name="_Toc15396604"/>
      <w:r>
        <w:rPr>
          <w:rFonts w:hint="eastAsia" w:eastAsia="黑体"/>
          <w:sz w:val="32"/>
          <w:szCs w:val="32"/>
        </w:rPr>
        <w:t>二、收入决算情况说明</w:t>
      </w:r>
      <w:bookmarkEnd w:id="20"/>
      <w:bookmarkEnd w:id="21"/>
    </w:p>
    <w:p w14:paraId="52C663D8">
      <w:pPr>
        <w:pStyle w:val="27"/>
        <w:spacing w:line="600" w:lineRule="exact"/>
        <w:ind w:firstLine="640"/>
        <w:outlineLvl w:val="1"/>
        <w:rPr>
          <w:rFonts w:hint="eastAsia" w:eastAsia="仿宋_GB2312" w:cs="仿宋_GB2312"/>
          <w:sz w:val="32"/>
          <w:szCs w:val="32"/>
        </w:rPr>
      </w:pPr>
      <w:r>
        <w:rPr>
          <w:rFonts w:hint="eastAsia" w:eastAsia="仿宋_GB2312" w:cs="仿宋_GB2312"/>
          <w:sz w:val="32"/>
          <w:szCs w:val="32"/>
        </w:rPr>
        <w:t>2025年度本年收入合计</w:t>
      </w:r>
      <w:r>
        <w:rPr>
          <w:rFonts w:hint="eastAsia" w:eastAsia="仿宋_GB2312" w:cs="仿宋_GB2312"/>
          <w:sz w:val="32"/>
          <w:szCs w:val="32"/>
          <w:lang w:val="en-US" w:eastAsia="zh-CN"/>
        </w:rPr>
        <w:t>2476.77</w:t>
      </w:r>
      <w:r>
        <w:rPr>
          <w:rFonts w:hint="eastAsia" w:eastAsia="仿宋_GB2312" w:cs="仿宋_GB2312"/>
          <w:sz w:val="32"/>
          <w:szCs w:val="32"/>
        </w:rPr>
        <w:t>万元，其中：一般公共预算财政拨款收入</w:t>
      </w:r>
      <w:r>
        <w:rPr>
          <w:rFonts w:hint="eastAsia" w:eastAsia="仿宋_GB2312" w:cs="仿宋_GB2312"/>
          <w:sz w:val="32"/>
          <w:szCs w:val="32"/>
          <w:lang w:val="en-US" w:eastAsia="zh-CN"/>
        </w:rPr>
        <w:t>1424.12</w:t>
      </w:r>
      <w:r>
        <w:rPr>
          <w:rFonts w:hint="eastAsia" w:eastAsia="仿宋_GB2312" w:cs="仿宋_GB2312"/>
          <w:sz w:val="32"/>
          <w:szCs w:val="32"/>
        </w:rPr>
        <w:t>万元，占</w:t>
      </w:r>
      <w:r>
        <w:rPr>
          <w:rFonts w:hint="eastAsia" w:eastAsia="仿宋_GB2312" w:cs="仿宋_GB2312"/>
          <w:sz w:val="32"/>
          <w:szCs w:val="32"/>
          <w:lang w:val="en-US" w:eastAsia="zh-CN"/>
        </w:rPr>
        <w:t>57.5</w:t>
      </w:r>
      <w:r>
        <w:rPr>
          <w:rFonts w:hint="eastAsia" w:eastAsia="仿宋_GB2312" w:cs="仿宋_GB2312"/>
          <w:sz w:val="32"/>
          <w:szCs w:val="32"/>
        </w:rPr>
        <w:t>%；政府性基金预算财政拨款收入</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%；国有资本经营预算财政拨款收入</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%；上级补助收入</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%；事业收入</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%；经营收入</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%；附属单位上缴收入</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%；其他收入</w:t>
      </w:r>
      <w:r>
        <w:rPr>
          <w:rFonts w:hint="eastAsia" w:eastAsia="仿宋_GB2312" w:cs="仿宋_GB2312"/>
          <w:sz w:val="32"/>
          <w:szCs w:val="32"/>
          <w:lang w:val="en-US" w:eastAsia="zh-CN"/>
        </w:rPr>
        <w:t>1052.64</w:t>
      </w:r>
      <w:r>
        <w:rPr>
          <w:rFonts w:hint="eastAsia" w:eastAsia="仿宋_GB2312" w:cs="仿宋_GB2312"/>
          <w:sz w:val="32"/>
          <w:szCs w:val="32"/>
        </w:rPr>
        <w:t>万元，占</w:t>
      </w:r>
      <w:r>
        <w:rPr>
          <w:rFonts w:hint="eastAsia" w:eastAsia="仿宋_GB2312" w:cs="仿宋_GB2312"/>
          <w:sz w:val="32"/>
          <w:szCs w:val="32"/>
          <w:lang w:val="en-US" w:eastAsia="zh-CN"/>
        </w:rPr>
        <w:t>42.5</w:t>
      </w:r>
      <w:r>
        <w:rPr>
          <w:rFonts w:hint="eastAsia" w:eastAsia="仿宋_GB2312" w:cs="仿宋_GB2312"/>
          <w:sz w:val="32"/>
          <w:szCs w:val="32"/>
        </w:rPr>
        <w:t>%。</w:t>
      </w:r>
    </w:p>
    <w:p w14:paraId="5C47FD26">
      <w:pPr>
        <w:pStyle w:val="27"/>
        <w:spacing w:line="600" w:lineRule="exact"/>
        <w:ind w:firstLine="640"/>
        <w:outlineLvl w:val="1"/>
        <w:rPr>
          <w:rFonts w:hint="eastAsia" w:eastAsia="仿宋_GB2312" w:cs="仿宋_GB2312"/>
          <w:sz w:val="32"/>
          <w:szCs w:val="32"/>
          <w:lang w:eastAsia="zh-CN"/>
        </w:rPr>
      </w:pPr>
    </w:p>
    <w:p w14:paraId="70D6991A">
      <w:pPr>
        <w:pStyle w:val="27"/>
        <w:spacing w:line="600" w:lineRule="exact"/>
        <w:ind w:firstLine="640"/>
        <w:outlineLvl w:val="1"/>
        <w:rPr>
          <w:rFonts w:hint="eastAsia" w:eastAsia="仿宋_GB2312" w:cs="仿宋_GB2312"/>
          <w:b/>
          <w:bCs/>
          <w:sz w:val="32"/>
          <w:szCs w:val="32"/>
        </w:rPr>
      </w:pPr>
    </w:p>
    <w:p w14:paraId="56E07B69">
      <w:pPr>
        <w:pStyle w:val="27"/>
        <w:spacing w:line="600" w:lineRule="exact"/>
        <w:ind w:firstLine="640"/>
        <w:outlineLvl w:val="1"/>
        <w:rPr>
          <w:rFonts w:hint="eastAsia" w:eastAsia="仿宋_GB2312" w:cs="仿宋_GB2312"/>
          <w:b/>
          <w:bCs/>
          <w:sz w:val="32"/>
          <w:szCs w:val="32"/>
        </w:rPr>
      </w:pPr>
    </w:p>
    <w:p w14:paraId="040DDE61">
      <w:pPr>
        <w:pStyle w:val="27"/>
        <w:spacing w:line="600" w:lineRule="exact"/>
        <w:ind w:firstLine="640"/>
        <w:outlineLvl w:val="1"/>
        <w:rPr>
          <w:rFonts w:hint="eastAsia" w:eastAsia="仿宋_GB2312" w:cs="仿宋_GB2312"/>
          <w:b/>
          <w:bCs/>
          <w:sz w:val="32"/>
          <w:szCs w:val="32"/>
        </w:rPr>
      </w:pPr>
    </w:p>
    <w:p w14:paraId="51D52A08">
      <w:pPr>
        <w:pStyle w:val="27"/>
        <w:spacing w:line="600" w:lineRule="exact"/>
        <w:ind w:firstLine="640"/>
        <w:outlineLvl w:val="1"/>
        <w:rPr>
          <w:rFonts w:hint="eastAsia" w:eastAsia="仿宋_GB2312" w:cs="仿宋_GB2312"/>
          <w:b/>
          <w:bCs/>
          <w:sz w:val="32"/>
          <w:szCs w:val="32"/>
        </w:rPr>
      </w:pPr>
    </w:p>
    <w:p w14:paraId="5129AB13">
      <w:pPr>
        <w:pStyle w:val="27"/>
        <w:spacing w:line="600" w:lineRule="exact"/>
        <w:ind w:firstLine="640"/>
        <w:outlineLvl w:val="1"/>
        <w:rPr>
          <w:rFonts w:hint="eastAsia" w:eastAsia="仿宋_GB2312" w:cs="仿宋_GB2312"/>
          <w:b/>
          <w:bCs/>
          <w:sz w:val="32"/>
          <w:szCs w:val="32"/>
        </w:rPr>
      </w:pPr>
    </w:p>
    <w:p w14:paraId="1628167E">
      <w:pPr>
        <w:pStyle w:val="27"/>
        <w:spacing w:line="600" w:lineRule="exact"/>
        <w:ind w:firstLine="640"/>
        <w:outlineLvl w:val="1"/>
        <w:rPr>
          <w:rFonts w:hint="eastAsia" w:eastAsia="仿宋_GB2312" w:cs="仿宋_GB2312"/>
          <w:b/>
          <w:bCs/>
          <w:sz w:val="32"/>
          <w:szCs w:val="32"/>
        </w:rPr>
      </w:pPr>
    </w:p>
    <w:p w14:paraId="403225B0">
      <w:pPr>
        <w:pStyle w:val="27"/>
        <w:spacing w:line="600" w:lineRule="exact"/>
        <w:ind w:firstLine="640"/>
        <w:outlineLvl w:val="1"/>
        <w:rPr>
          <w:rFonts w:hint="eastAsia" w:eastAsia="仿宋_GB2312" w:cs="仿宋_GB2312"/>
          <w:b/>
          <w:bCs/>
          <w:sz w:val="32"/>
          <w:szCs w:val="32"/>
        </w:rPr>
      </w:pPr>
    </w:p>
    <w:p w14:paraId="1A757BAD">
      <w:pPr>
        <w:pStyle w:val="27"/>
        <w:spacing w:line="600" w:lineRule="exact"/>
        <w:ind w:firstLine="640"/>
        <w:outlineLvl w:val="1"/>
        <w:rPr>
          <w:rFonts w:hint="eastAsia" w:eastAsia="仿宋_GB2312" w:cs="仿宋_GB2312"/>
          <w:b/>
          <w:bCs/>
          <w:sz w:val="32"/>
          <w:szCs w:val="32"/>
        </w:rPr>
      </w:pPr>
      <w:r>
        <w:rPr>
          <w:rFonts w:hint="eastAsia" w:eastAsia="仿宋_GB2312" w:cs="仿宋_GB2312"/>
          <w:b/>
          <w:bCs/>
          <w:sz w:val="32"/>
          <w:szCs w:val="32"/>
          <w:lang w:eastAsia="zh-CN"/>
        </w:rPr>
        <w:drawing>
          <wp:anchor distT="0" distB="0" distL="114300" distR="114300" simplePos="0" relativeHeight="251660288" behindDoc="1" locked="0" layoutInCell="1" allowOverlap="1">
            <wp:simplePos x="0" y="0"/>
            <wp:positionH relativeFrom="column">
              <wp:posOffset>411480</wp:posOffset>
            </wp:positionH>
            <wp:positionV relativeFrom="paragraph">
              <wp:posOffset>-2700655</wp:posOffset>
            </wp:positionV>
            <wp:extent cx="5256530" cy="2988310"/>
            <wp:effectExtent l="5080" t="4445" r="15240" b="17145"/>
            <wp:wrapNone/>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33CB37D0">
      <w:pPr>
        <w:pStyle w:val="27"/>
        <w:spacing w:line="600" w:lineRule="exact"/>
        <w:ind w:firstLine="640"/>
        <w:outlineLvl w:val="1"/>
        <w:rPr>
          <w:rFonts w:hint="eastAsia" w:eastAsia="仿宋_GB2312" w:cs="仿宋_GB2312"/>
          <w:sz w:val="32"/>
          <w:szCs w:val="32"/>
        </w:rPr>
      </w:pPr>
      <w:r>
        <w:rPr>
          <w:rFonts w:hint="eastAsia" w:eastAsia="仿宋_GB2312" w:cs="仿宋_GB2312"/>
          <w:sz w:val="32"/>
          <w:szCs w:val="32"/>
        </w:rPr>
        <w:t>（图2：收入决算结构图）</w:t>
      </w:r>
    </w:p>
    <w:p w14:paraId="74653F4A">
      <w:pPr>
        <w:pStyle w:val="27"/>
        <w:spacing w:line="600" w:lineRule="exact"/>
        <w:ind w:firstLine="640"/>
        <w:outlineLvl w:val="1"/>
        <w:rPr>
          <w:rFonts w:hint="eastAsia" w:eastAsia="仿宋_GB2312" w:cs="仿宋_GB2312"/>
          <w:sz w:val="32"/>
          <w:szCs w:val="32"/>
        </w:rPr>
      </w:pPr>
    </w:p>
    <w:p w14:paraId="4B3708CD">
      <w:pPr>
        <w:pStyle w:val="27"/>
        <w:spacing w:line="600" w:lineRule="exact"/>
        <w:ind w:firstLine="640"/>
        <w:outlineLvl w:val="1"/>
        <w:rPr>
          <w:rStyle w:val="29"/>
          <w:rFonts w:ascii="Times New Roman" w:hAnsi="Times New Roman" w:eastAsia="黑体"/>
          <w:b w:val="0"/>
        </w:rPr>
      </w:pPr>
      <w:bookmarkStart w:id="22" w:name="_Toc15377207"/>
      <w:bookmarkStart w:id="23" w:name="_Toc15396605"/>
      <w:r>
        <w:rPr>
          <w:rFonts w:hint="eastAsia" w:eastAsia="黑体"/>
          <w:sz w:val="32"/>
          <w:szCs w:val="32"/>
        </w:rPr>
        <w:t>三、支</w:t>
      </w:r>
      <w:r>
        <w:rPr>
          <w:rStyle w:val="29"/>
          <w:rFonts w:hint="eastAsia" w:ascii="Times New Roman" w:hAnsi="Times New Roman" w:eastAsia="黑体"/>
          <w:b w:val="0"/>
        </w:rPr>
        <w:t>出决算情况说明</w:t>
      </w:r>
      <w:bookmarkEnd w:id="22"/>
      <w:bookmarkEnd w:id="23"/>
    </w:p>
    <w:p w14:paraId="61E702CA">
      <w:pPr>
        <w:pStyle w:val="27"/>
        <w:spacing w:line="600" w:lineRule="exact"/>
        <w:ind w:firstLine="640"/>
        <w:outlineLvl w:val="1"/>
        <w:rPr>
          <w:rFonts w:hint="eastAsia" w:eastAsia="仿宋_GB2312" w:cs="仿宋_GB2312"/>
          <w:sz w:val="32"/>
          <w:szCs w:val="32"/>
        </w:rPr>
      </w:pPr>
      <w:r>
        <w:rPr>
          <w:rFonts w:hint="eastAsia" w:eastAsia="仿宋_GB2312" w:cs="仿宋_GB2312"/>
          <w:sz w:val="32"/>
          <w:szCs w:val="32"/>
        </w:rPr>
        <w:t>2025年度本年支出合计</w:t>
      </w:r>
      <w:r>
        <w:rPr>
          <w:rFonts w:hint="eastAsia" w:eastAsia="仿宋_GB2312" w:cs="仿宋_GB2312"/>
          <w:sz w:val="32"/>
          <w:szCs w:val="32"/>
          <w:lang w:val="en-US" w:eastAsia="zh-CN"/>
        </w:rPr>
        <w:t>2504.77</w:t>
      </w:r>
      <w:r>
        <w:rPr>
          <w:rFonts w:hint="eastAsia" w:eastAsia="仿宋_GB2312" w:cs="仿宋_GB2312"/>
          <w:sz w:val="32"/>
          <w:szCs w:val="32"/>
        </w:rPr>
        <w:t>万元，其中：基本支出</w:t>
      </w:r>
      <w:r>
        <w:rPr>
          <w:rFonts w:hint="eastAsia" w:eastAsia="仿宋_GB2312" w:cs="仿宋_GB2312"/>
          <w:sz w:val="32"/>
          <w:szCs w:val="32"/>
          <w:lang w:val="en-US" w:eastAsia="zh-CN"/>
        </w:rPr>
        <w:t>542.95</w:t>
      </w:r>
      <w:r>
        <w:rPr>
          <w:rFonts w:hint="eastAsia" w:eastAsia="仿宋_GB2312" w:cs="仿宋_GB2312"/>
          <w:sz w:val="32"/>
          <w:szCs w:val="32"/>
        </w:rPr>
        <w:t>万元，占</w:t>
      </w:r>
      <w:r>
        <w:rPr>
          <w:rFonts w:hint="eastAsia" w:eastAsia="仿宋_GB2312" w:cs="仿宋_GB2312"/>
          <w:sz w:val="32"/>
          <w:szCs w:val="32"/>
          <w:lang w:val="en-US" w:eastAsia="zh-CN"/>
        </w:rPr>
        <w:t>21.7</w:t>
      </w:r>
      <w:r>
        <w:rPr>
          <w:rFonts w:hint="eastAsia" w:eastAsia="仿宋_GB2312" w:cs="仿宋_GB2312"/>
          <w:sz w:val="32"/>
          <w:szCs w:val="32"/>
        </w:rPr>
        <w:t>%；项目支出</w:t>
      </w:r>
      <w:r>
        <w:rPr>
          <w:rFonts w:hint="eastAsia" w:eastAsia="仿宋_GB2312" w:cs="仿宋_GB2312"/>
          <w:sz w:val="32"/>
          <w:szCs w:val="32"/>
          <w:lang w:val="en-US" w:eastAsia="zh-CN"/>
        </w:rPr>
        <w:t>1961.82</w:t>
      </w:r>
      <w:r>
        <w:rPr>
          <w:rFonts w:hint="eastAsia" w:eastAsia="仿宋_GB2312" w:cs="仿宋_GB2312"/>
          <w:sz w:val="32"/>
          <w:szCs w:val="32"/>
        </w:rPr>
        <w:t>万元，占</w:t>
      </w:r>
      <w:r>
        <w:rPr>
          <w:rFonts w:hint="eastAsia" w:eastAsia="仿宋_GB2312" w:cs="仿宋_GB2312"/>
          <w:sz w:val="32"/>
          <w:szCs w:val="32"/>
          <w:lang w:val="en-US" w:eastAsia="zh-CN"/>
        </w:rPr>
        <w:t>78.3</w:t>
      </w:r>
      <w:r>
        <w:rPr>
          <w:rFonts w:hint="eastAsia" w:eastAsia="仿宋_GB2312" w:cs="仿宋_GB2312"/>
          <w:sz w:val="32"/>
          <w:szCs w:val="32"/>
        </w:rPr>
        <w:t>%；上缴上级支出</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%；经营支出</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%；对附属单位补助支出</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w:t>
      </w:r>
    </w:p>
    <w:p w14:paraId="4599DD39">
      <w:pPr>
        <w:ind w:firstLine="800" w:firstLineChars="250"/>
        <w:rPr>
          <w:rFonts w:hint="eastAsia" w:eastAsia="仿宋_GB2312" w:cs="仿宋_GB2312"/>
          <w:sz w:val="32"/>
          <w:szCs w:val="32"/>
          <w:lang w:eastAsia="zh-CN"/>
        </w:rPr>
      </w:pPr>
      <w:r>
        <w:rPr>
          <w:rFonts w:hint="eastAsia" w:eastAsia="仿宋_GB2312" w:cs="仿宋_GB2312"/>
          <w:sz w:val="32"/>
          <w:szCs w:val="32"/>
          <w:lang w:eastAsia="zh-CN"/>
        </w:rPr>
        <w:drawing>
          <wp:inline distT="0" distB="0" distL="114300" distR="114300">
            <wp:extent cx="4822190" cy="2757170"/>
            <wp:effectExtent l="4445" t="4445" r="12065" b="1968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31F7148">
      <w:pPr>
        <w:pStyle w:val="27"/>
        <w:spacing w:line="600" w:lineRule="exact"/>
        <w:ind w:firstLine="640"/>
        <w:outlineLvl w:val="1"/>
        <w:rPr>
          <w:rFonts w:eastAsia="仿宋_GB2312" w:cs="仿宋_GB2312"/>
          <w:sz w:val="32"/>
          <w:szCs w:val="32"/>
        </w:rPr>
      </w:pPr>
      <w:r>
        <w:rPr>
          <w:rFonts w:hint="eastAsia" w:eastAsia="仿宋_GB2312" w:cs="仿宋_GB2312"/>
          <w:sz w:val="32"/>
          <w:szCs w:val="32"/>
        </w:rPr>
        <w:t>（图3：支出决算结构图）</w:t>
      </w:r>
    </w:p>
    <w:p w14:paraId="705FFE8C">
      <w:pPr>
        <w:pStyle w:val="2"/>
      </w:pPr>
    </w:p>
    <w:p w14:paraId="0FFC1667">
      <w:pPr>
        <w:spacing w:line="600" w:lineRule="exact"/>
        <w:ind w:firstLine="640" w:firstLineChars="200"/>
        <w:outlineLvl w:val="1"/>
        <w:rPr>
          <w:rStyle w:val="29"/>
          <w:rFonts w:ascii="Times New Roman" w:hAnsi="Times New Roman" w:eastAsia="黑体"/>
          <w:b w:val="0"/>
        </w:rPr>
      </w:pPr>
      <w:bookmarkStart w:id="24" w:name="_Toc15396606"/>
      <w:bookmarkStart w:id="25" w:name="_Toc15377208"/>
      <w:r>
        <w:rPr>
          <w:rFonts w:hint="eastAsia" w:eastAsia="黑体"/>
          <w:sz w:val="32"/>
          <w:szCs w:val="32"/>
        </w:rPr>
        <w:t>四、财</w:t>
      </w:r>
      <w:r>
        <w:rPr>
          <w:rStyle w:val="29"/>
          <w:rFonts w:hint="eastAsia" w:ascii="Times New Roman" w:hAnsi="Times New Roman" w:eastAsia="黑体"/>
          <w:b w:val="0"/>
        </w:rPr>
        <w:t>政拨款收入支出决算总体情况说明</w:t>
      </w:r>
      <w:bookmarkEnd w:id="24"/>
      <w:bookmarkEnd w:id="25"/>
    </w:p>
    <w:p w14:paraId="45AC3019">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2025年度财政拨款收入、支出总计均为</w:t>
      </w:r>
      <w:r>
        <w:rPr>
          <w:rFonts w:hint="eastAsia" w:eastAsia="仿宋_GB2312" w:cs="仿宋_GB2312"/>
          <w:sz w:val="32"/>
          <w:szCs w:val="32"/>
          <w:lang w:val="en-US" w:eastAsia="zh-CN"/>
        </w:rPr>
        <w:t>1424.12</w:t>
      </w:r>
      <w:r>
        <w:rPr>
          <w:rFonts w:hint="eastAsia" w:eastAsia="仿宋_GB2312" w:cs="仿宋_GB2312"/>
          <w:sz w:val="32"/>
          <w:szCs w:val="32"/>
        </w:rPr>
        <w:t>万元。与上年度相比，财政拨款收入、支出总计各增加</w:t>
      </w:r>
      <w:r>
        <w:rPr>
          <w:rFonts w:hint="eastAsia" w:eastAsia="仿宋_GB2312" w:cs="仿宋_GB2312"/>
          <w:sz w:val="32"/>
          <w:szCs w:val="32"/>
          <w:lang w:val="en-US" w:eastAsia="zh-CN"/>
        </w:rPr>
        <w:t>254.55</w:t>
      </w:r>
      <w:r>
        <w:rPr>
          <w:rFonts w:hint="eastAsia" w:eastAsia="仿宋_GB2312" w:cs="仿宋_GB2312"/>
          <w:sz w:val="32"/>
          <w:szCs w:val="32"/>
        </w:rPr>
        <w:t>万元，增长</w:t>
      </w:r>
      <w:r>
        <w:rPr>
          <w:rFonts w:hint="eastAsia" w:eastAsia="仿宋_GB2312" w:cs="仿宋_GB2312"/>
          <w:sz w:val="32"/>
          <w:szCs w:val="32"/>
          <w:lang w:val="en-US" w:eastAsia="zh-CN"/>
        </w:rPr>
        <w:t>17.9</w:t>
      </w:r>
      <w:r>
        <w:rPr>
          <w:rFonts w:hint="eastAsia" w:eastAsia="仿宋_GB2312" w:cs="仿宋_GB2312"/>
          <w:sz w:val="32"/>
          <w:szCs w:val="32"/>
        </w:rPr>
        <w:t>%。主要变动原因是</w:t>
      </w:r>
      <w:r>
        <w:rPr>
          <w:rFonts w:hint="eastAsia" w:eastAsia="仿宋_GB2312" w:cs="仿宋_GB2312"/>
          <w:sz w:val="32"/>
          <w:szCs w:val="32"/>
          <w:lang w:eastAsia="zh-CN"/>
        </w:rPr>
        <w:t>财政增加地质灾害防治资金。</w:t>
      </w:r>
    </w:p>
    <w:p w14:paraId="0A222ACB">
      <w:pPr>
        <w:pStyle w:val="2"/>
        <w:rPr>
          <w:rFonts w:hint="eastAsia" w:eastAsia="仿宋_GB2312" w:cs="仿宋_GB2312"/>
          <w:sz w:val="32"/>
          <w:szCs w:val="32"/>
          <w:lang w:eastAsia="zh-CN"/>
        </w:rPr>
      </w:pPr>
      <w:r>
        <w:rPr>
          <w:rFonts w:hint="eastAsia" w:eastAsia="仿宋_GB2312" w:cs="仿宋_GB2312"/>
          <w:sz w:val="32"/>
          <w:szCs w:val="32"/>
          <w:lang w:eastAsia="zh-CN"/>
        </w:rPr>
        <w:drawing>
          <wp:inline distT="0" distB="0" distL="114300" distR="114300">
            <wp:extent cx="5127625" cy="2767330"/>
            <wp:effectExtent l="4445" t="4445" r="11430" b="952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CC2C4D">
      <w:pPr>
        <w:spacing w:line="600" w:lineRule="exact"/>
        <w:ind w:firstLine="640" w:firstLineChars="200"/>
        <w:rPr>
          <w:rFonts w:eastAsia="仿宋_GB2312" w:cs="仿宋_GB2312"/>
          <w:sz w:val="32"/>
          <w:szCs w:val="32"/>
        </w:rPr>
      </w:pPr>
      <w:r>
        <w:rPr>
          <w:rFonts w:hint="eastAsia" w:eastAsia="仿宋_GB2312" w:cs="仿宋_GB2312"/>
          <w:sz w:val="32"/>
          <w:szCs w:val="32"/>
        </w:rPr>
        <w:t>（图4：财政拨款收、支决算总计变动情况）</w:t>
      </w:r>
    </w:p>
    <w:p w14:paraId="3E26CA97">
      <w:pPr>
        <w:spacing w:line="600" w:lineRule="exact"/>
        <w:ind w:firstLine="640"/>
        <w:rPr>
          <w:rFonts w:eastAsia="仿宋_GB2312" w:cs="仿宋_GB2312"/>
          <w:sz w:val="32"/>
          <w:szCs w:val="32"/>
        </w:rPr>
      </w:pPr>
    </w:p>
    <w:p w14:paraId="7C94C1B8">
      <w:pPr>
        <w:spacing w:line="600" w:lineRule="exact"/>
        <w:ind w:firstLine="640" w:firstLineChars="200"/>
        <w:outlineLvl w:val="1"/>
        <w:rPr>
          <w:rStyle w:val="29"/>
          <w:rFonts w:ascii="Times New Roman" w:hAnsi="Times New Roman" w:eastAsia="黑体"/>
          <w:b w:val="0"/>
        </w:rPr>
      </w:pPr>
      <w:bookmarkStart w:id="26" w:name="_Toc15396607"/>
      <w:bookmarkStart w:id="27" w:name="_Toc15377209"/>
      <w:r>
        <w:rPr>
          <w:rFonts w:hint="eastAsia" w:eastAsia="黑体"/>
          <w:sz w:val="32"/>
          <w:szCs w:val="32"/>
        </w:rPr>
        <w:t>五、</w:t>
      </w:r>
      <w:r>
        <w:rPr>
          <w:rFonts w:hint="eastAsia" w:eastAsia="黑体"/>
          <w:b/>
          <w:sz w:val="32"/>
          <w:szCs w:val="32"/>
        </w:rPr>
        <w:t>一</w:t>
      </w:r>
      <w:r>
        <w:rPr>
          <w:rStyle w:val="29"/>
          <w:rFonts w:hint="eastAsia" w:ascii="Times New Roman" w:hAnsi="Times New Roman" w:eastAsia="黑体"/>
          <w:b w:val="0"/>
        </w:rPr>
        <w:t>般公共预算财政拨款支出决算情况说明</w:t>
      </w:r>
      <w:bookmarkEnd w:id="26"/>
      <w:bookmarkEnd w:id="27"/>
    </w:p>
    <w:p w14:paraId="69339DB9">
      <w:pPr>
        <w:spacing w:line="600" w:lineRule="exact"/>
        <w:ind w:firstLine="643" w:firstLineChars="200"/>
        <w:outlineLvl w:val="2"/>
        <w:rPr>
          <w:rFonts w:eastAsia="楷体_GB2312" w:cs="楷体_GB2312"/>
          <w:b/>
          <w:sz w:val="32"/>
          <w:szCs w:val="32"/>
        </w:rPr>
      </w:pPr>
      <w:bookmarkStart w:id="28" w:name="_Toc15377210"/>
      <w:r>
        <w:rPr>
          <w:rFonts w:hint="eastAsia" w:eastAsia="楷体_GB2312" w:cs="楷体_GB2312"/>
          <w:b/>
          <w:sz w:val="32"/>
          <w:szCs w:val="32"/>
        </w:rPr>
        <w:t>（一）一般公共预算财政拨款支出决算总体情况</w:t>
      </w:r>
      <w:bookmarkEnd w:id="28"/>
    </w:p>
    <w:p w14:paraId="01545BA6">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2025年度一般公共预算财政拨款支出</w:t>
      </w:r>
      <w:r>
        <w:rPr>
          <w:rFonts w:hint="eastAsia" w:eastAsia="仿宋_GB2312" w:cs="仿宋_GB2312"/>
          <w:sz w:val="32"/>
          <w:szCs w:val="32"/>
          <w:lang w:val="en-US" w:eastAsia="zh-CN"/>
        </w:rPr>
        <w:t>1424.12</w:t>
      </w:r>
      <w:r>
        <w:rPr>
          <w:rFonts w:hint="eastAsia" w:eastAsia="仿宋_GB2312" w:cs="仿宋_GB2312"/>
          <w:sz w:val="32"/>
          <w:szCs w:val="32"/>
        </w:rPr>
        <w:t>万元，占本年支出合计的</w:t>
      </w:r>
      <w:r>
        <w:rPr>
          <w:rFonts w:hint="eastAsia" w:eastAsia="仿宋_GB2312" w:cs="仿宋_GB2312"/>
          <w:sz w:val="32"/>
          <w:szCs w:val="32"/>
          <w:lang w:val="en-US" w:eastAsia="zh-CN"/>
        </w:rPr>
        <w:t>56.9</w:t>
      </w:r>
      <w:r>
        <w:rPr>
          <w:rFonts w:hint="eastAsia" w:eastAsia="仿宋_GB2312" w:cs="仿宋_GB2312"/>
          <w:sz w:val="32"/>
          <w:szCs w:val="32"/>
        </w:rPr>
        <w:t>%。与上年度相比，一般公共预算财政拨款支出增加</w:t>
      </w:r>
      <w:r>
        <w:rPr>
          <w:rFonts w:hint="eastAsia" w:eastAsia="仿宋_GB2312" w:cs="仿宋_GB2312"/>
          <w:sz w:val="32"/>
          <w:szCs w:val="32"/>
          <w:lang w:val="en-US" w:eastAsia="zh-CN"/>
        </w:rPr>
        <w:t>398.11</w:t>
      </w:r>
      <w:r>
        <w:rPr>
          <w:rFonts w:hint="eastAsia" w:eastAsia="仿宋_GB2312" w:cs="仿宋_GB2312"/>
          <w:sz w:val="32"/>
          <w:szCs w:val="32"/>
        </w:rPr>
        <w:t>万元，增长</w:t>
      </w:r>
      <w:r>
        <w:rPr>
          <w:rFonts w:hint="eastAsia" w:eastAsia="仿宋_GB2312" w:cs="仿宋_GB2312"/>
          <w:sz w:val="32"/>
          <w:szCs w:val="32"/>
          <w:lang w:val="en-US" w:eastAsia="zh-CN"/>
        </w:rPr>
        <w:t>27</w:t>
      </w:r>
      <w:r>
        <w:rPr>
          <w:rFonts w:hint="eastAsia" w:eastAsia="仿宋_GB2312" w:cs="仿宋_GB2312"/>
          <w:sz w:val="32"/>
          <w:szCs w:val="32"/>
        </w:rPr>
        <w:t>%。主要变动原因是</w:t>
      </w:r>
      <w:r>
        <w:rPr>
          <w:rFonts w:hint="eastAsia" w:eastAsia="仿宋_GB2312" w:cs="仿宋_GB2312"/>
          <w:sz w:val="32"/>
          <w:szCs w:val="32"/>
          <w:lang w:eastAsia="zh-CN"/>
        </w:rPr>
        <w:t>财政增加地质灾害防治资金。</w:t>
      </w:r>
    </w:p>
    <w:p w14:paraId="760292F3">
      <w:pPr>
        <w:pStyle w:val="2"/>
        <w:rPr>
          <w:rFonts w:hint="eastAsia" w:eastAsia="仿宋_GB2312" w:cs="仿宋_GB2312"/>
          <w:sz w:val="32"/>
          <w:szCs w:val="32"/>
          <w:lang w:eastAsia="zh-CN"/>
        </w:rPr>
      </w:pPr>
      <w:r>
        <w:rPr>
          <w:rFonts w:hint="eastAsia" w:eastAsia="仿宋_GB2312" w:cs="仿宋_GB2312"/>
          <w:sz w:val="32"/>
          <w:szCs w:val="32"/>
          <w:lang w:eastAsia="zh-CN"/>
        </w:rPr>
        <w:drawing>
          <wp:inline distT="0" distB="0" distL="114300" distR="114300">
            <wp:extent cx="5256530" cy="2988310"/>
            <wp:effectExtent l="5080" t="4445" r="15240" b="17145"/>
            <wp:docPr id="13" name="图表 13" descr="7b0a202020202263686172745265734964223a202234363130333534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7FD851">
      <w:pPr>
        <w:spacing w:line="600" w:lineRule="exact"/>
        <w:ind w:firstLine="640"/>
        <w:rPr>
          <w:rFonts w:eastAsia="仿宋_GB2312" w:cs="仿宋_GB2312"/>
          <w:sz w:val="32"/>
          <w:szCs w:val="32"/>
        </w:rPr>
      </w:pPr>
      <w:r>
        <w:rPr>
          <w:rFonts w:hint="eastAsia" w:eastAsia="仿宋_GB2312" w:cs="仿宋_GB2312"/>
          <w:sz w:val="32"/>
          <w:szCs w:val="32"/>
        </w:rPr>
        <w:t>（图5：一般公共预算财政拨款支出决算变动情况）</w:t>
      </w:r>
    </w:p>
    <w:p w14:paraId="598DB94B">
      <w:pPr>
        <w:spacing w:line="600" w:lineRule="exact"/>
        <w:ind w:firstLine="643" w:firstLineChars="200"/>
        <w:outlineLvl w:val="2"/>
        <w:rPr>
          <w:rFonts w:eastAsia="楷体_GB2312" w:cs="楷体_GB2312"/>
          <w:b/>
          <w:sz w:val="32"/>
          <w:szCs w:val="32"/>
        </w:rPr>
      </w:pPr>
      <w:bookmarkStart w:id="29" w:name="_Toc15377211"/>
      <w:r>
        <w:rPr>
          <w:rFonts w:hint="eastAsia" w:eastAsia="楷体_GB2312" w:cs="楷体_GB2312"/>
          <w:b/>
          <w:sz w:val="32"/>
          <w:szCs w:val="32"/>
        </w:rPr>
        <w:t>（二）一般公共预算财政拨款支出决算结构情况</w:t>
      </w:r>
      <w:bookmarkEnd w:id="29"/>
    </w:p>
    <w:p w14:paraId="2F700508">
      <w:pPr>
        <w:spacing w:line="600" w:lineRule="exact"/>
        <w:ind w:firstLine="640"/>
        <w:rPr>
          <w:rFonts w:hint="eastAsia" w:eastAsia="仿宋_GB2312" w:cs="仿宋_GB2312"/>
          <w:b/>
          <w:bCs/>
          <w:sz w:val="32"/>
          <w:szCs w:val="32"/>
        </w:rPr>
      </w:pPr>
      <w:r>
        <w:rPr>
          <w:rFonts w:hint="eastAsia" w:eastAsia="仿宋_GB2312" w:cs="仿宋_GB2312"/>
          <w:sz w:val="32"/>
          <w:szCs w:val="32"/>
        </w:rPr>
        <w:t>2025年度一般公共预算财政拨款支出</w:t>
      </w:r>
      <w:r>
        <w:rPr>
          <w:rFonts w:hint="eastAsia" w:eastAsia="仿宋_GB2312" w:cs="仿宋_GB2312"/>
          <w:sz w:val="32"/>
          <w:szCs w:val="32"/>
          <w:lang w:val="en-US" w:eastAsia="zh-CN"/>
        </w:rPr>
        <w:t>1424.12</w:t>
      </w:r>
      <w:r>
        <w:rPr>
          <w:rFonts w:hint="eastAsia" w:eastAsia="仿宋_GB2312" w:cs="仿宋_GB2312"/>
          <w:sz w:val="32"/>
          <w:szCs w:val="32"/>
        </w:rPr>
        <w:t>万元，主要用于以下方面：社会保障和就业支出</w:t>
      </w:r>
      <w:r>
        <w:rPr>
          <w:rFonts w:hint="eastAsia" w:eastAsia="仿宋_GB2312" w:cs="仿宋_GB2312"/>
          <w:sz w:val="32"/>
          <w:szCs w:val="32"/>
          <w:lang w:val="en-US" w:eastAsia="zh-CN"/>
        </w:rPr>
        <w:t>49.89</w:t>
      </w:r>
      <w:r>
        <w:rPr>
          <w:rFonts w:hint="eastAsia" w:eastAsia="仿宋_GB2312" w:cs="仿宋_GB2312"/>
          <w:sz w:val="32"/>
          <w:szCs w:val="32"/>
        </w:rPr>
        <w:t>万元，占</w:t>
      </w:r>
      <w:r>
        <w:rPr>
          <w:rFonts w:hint="eastAsia" w:eastAsia="仿宋_GB2312" w:cs="仿宋_GB2312"/>
          <w:sz w:val="32"/>
          <w:szCs w:val="32"/>
          <w:lang w:val="en-US" w:eastAsia="zh-CN"/>
        </w:rPr>
        <w:t>3.5</w:t>
      </w:r>
      <w:r>
        <w:rPr>
          <w:rFonts w:eastAsia="仿宋_GB2312" w:cs="仿宋_GB2312"/>
          <w:sz w:val="32"/>
          <w:szCs w:val="32"/>
        </w:rPr>
        <w:t>%</w:t>
      </w:r>
      <w:r>
        <w:rPr>
          <w:rFonts w:hint="eastAsia" w:eastAsia="仿宋_GB2312" w:cs="仿宋_GB2312"/>
          <w:sz w:val="32"/>
          <w:szCs w:val="32"/>
        </w:rPr>
        <w:t>；卫生健康支出</w:t>
      </w:r>
      <w:r>
        <w:rPr>
          <w:rFonts w:hint="eastAsia" w:eastAsia="仿宋_GB2312" w:cs="仿宋_GB2312"/>
          <w:sz w:val="32"/>
          <w:szCs w:val="32"/>
          <w:lang w:val="en-US" w:eastAsia="zh-CN"/>
        </w:rPr>
        <w:t>27.82</w:t>
      </w:r>
      <w:r>
        <w:rPr>
          <w:rFonts w:hint="eastAsia" w:eastAsia="仿宋_GB2312" w:cs="仿宋_GB2312"/>
          <w:sz w:val="32"/>
          <w:szCs w:val="32"/>
        </w:rPr>
        <w:t>万元，占</w:t>
      </w:r>
      <w:r>
        <w:rPr>
          <w:rFonts w:hint="eastAsia" w:eastAsia="仿宋_GB2312" w:cs="仿宋_GB2312"/>
          <w:sz w:val="32"/>
          <w:szCs w:val="32"/>
          <w:lang w:val="en-US" w:eastAsia="zh-CN"/>
        </w:rPr>
        <w:t>2</w:t>
      </w:r>
      <w:r>
        <w:rPr>
          <w:rFonts w:eastAsia="仿宋_GB2312" w:cs="仿宋_GB2312"/>
          <w:sz w:val="32"/>
          <w:szCs w:val="32"/>
        </w:rPr>
        <w:t>%</w:t>
      </w:r>
      <w:r>
        <w:rPr>
          <w:rFonts w:hint="eastAsia" w:eastAsia="仿宋_GB2312" w:cs="仿宋_GB2312"/>
          <w:sz w:val="32"/>
          <w:szCs w:val="32"/>
        </w:rPr>
        <w:t>；住房保障支出</w:t>
      </w:r>
      <w:r>
        <w:rPr>
          <w:rFonts w:hint="eastAsia" w:eastAsia="仿宋_GB2312" w:cs="仿宋_GB2312"/>
          <w:sz w:val="32"/>
          <w:szCs w:val="32"/>
          <w:lang w:val="en-US" w:eastAsia="zh-CN"/>
        </w:rPr>
        <w:t>35.94</w:t>
      </w:r>
      <w:r>
        <w:rPr>
          <w:rFonts w:hint="eastAsia" w:eastAsia="仿宋_GB2312" w:cs="仿宋_GB2312"/>
          <w:sz w:val="32"/>
          <w:szCs w:val="32"/>
        </w:rPr>
        <w:t>万元，占</w:t>
      </w:r>
      <w:r>
        <w:rPr>
          <w:rFonts w:hint="eastAsia" w:eastAsia="仿宋_GB2312" w:cs="仿宋_GB2312"/>
          <w:sz w:val="32"/>
          <w:szCs w:val="32"/>
          <w:lang w:val="en-US" w:eastAsia="zh-CN"/>
        </w:rPr>
        <w:t>2.5</w:t>
      </w:r>
      <w:r>
        <w:rPr>
          <w:rFonts w:eastAsia="仿宋_GB2312" w:cs="仿宋_GB2312"/>
          <w:sz w:val="32"/>
          <w:szCs w:val="32"/>
        </w:rPr>
        <w:t>%</w:t>
      </w:r>
      <w:r>
        <w:rPr>
          <w:rFonts w:hint="eastAsia" w:eastAsia="仿宋_GB2312" w:cs="仿宋_GB2312"/>
          <w:sz w:val="32"/>
          <w:szCs w:val="32"/>
        </w:rPr>
        <w:t>；</w:t>
      </w:r>
      <w:r>
        <w:rPr>
          <w:rFonts w:hint="eastAsia" w:ascii="Times New Roman" w:hAnsi="Times New Roman" w:eastAsia="仿宋_GB2312" w:cs="仿宋_GB2312"/>
          <w:sz w:val="32"/>
          <w:szCs w:val="32"/>
          <w:lang w:eastAsia="zh-CN"/>
        </w:rPr>
        <w:t>自然资源海洋气象等支出</w:t>
      </w:r>
      <w:r>
        <w:rPr>
          <w:rFonts w:hint="eastAsia" w:eastAsia="仿宋_GB2312" w:cs="仿宋_GB2312"/>
          <w:sz w:val="32"/>
          <w:szCs w:val="32"/>
          <w:lang w:val="en-US" w:eastAsia="zh-CN"/>
        </w:rPr>
        <w:t>896.74</w:t>
      </w:r>
      <w:r>
        <w:rPr>
          <w:rFonts w:hint="eastAsia" w:ascii="Times New Roman" w:hAnsi="Times New Roman" w:eastAsia="仿宋_GB2312" w:cs="仿宋_GB2312"/>
          <w:sz w:val="32"/>
          <w:szCs w:val="32"/>
          <w:lang w:val="en-US" w:eastAsia="zh-CN"/>
        </w:rPr>
        <w:t>，占</w:t>
      </w:r>
      <w:r>
        <w:rPr>
          <w:rFonts w:hint="eastAsia" w:eastAsia="仿宋_GB2312" w:cs="仿宋_GB2312"/>
          <w:sz w:val="32"/>
          <w:szCs w:val="32"/>
          <w:lang w:val="en-US" w:eastAsia="zh-CN"/>
        </w:rPr>
        <w:t>63</w:t>
      </w:r>
      <w:r>
        <w:rPr>
          <w:rFonts w:hint="eastAsia" w:ascii="Times New Roman" w:hAnsi="Times New Roman" w:eastAsia="仿宋_GB2312" w:cs="仿宋_GB2312"/>
          <w:sz w:val="32"/>
          <w:szCs w:val="32"/>
          <w:lang w:val="en-US" w:eastAsia="zh-CN"/>
        </w:rPr>
        <w:t>%；灾害防治及应急管理支出</w:t>
      </w:r>
      <w:r>
        <w:rPr>
          <w:rFonts w:hint="eastAsia" w:ascii="仿宋" w:hAnsi="仿宋" w:eastAsia="仿宋"/>
          <w:b w:val="0"/>
          <w:bCs w:val="0"/>
          <w:sz w:val="32"/>
          <w:szCs w:val="32"/>
          <w:lang w:val="en-US" w:eastAsia="zh-CN"/>
        </w:rPr>
        <w:t>413.74万元，占29%</w:t>
      </w:r>
      <w:r>
        <w:rPr>
          <w:rFonts w:hint="eastAsia" w:ascii="仿宋" w:hAnsi="仿宋" w:eastAsia="仿宋"/>
          <w:b w:val="0"/>
          <w:bCs w:val="0"/>
          <w:sz w:val="32"/>
          <w:szCs w:val="32"/>
        </w:rPr>
        <w:t>。</w:t>
      </w:r>
    </w:p>
    <w:p w14:paraId="049165E9">
      <w:pPr>
        <w:pStyle w:val="2"/>
        <w:jc w:val="center"/>
        <w:rPr>
          <w:rFonts w:hint="eastAsia" w:eastAsia="仿宋_GB2312" w:cs="仿宋_GB2312"/>
          <w:b/>
          <w:bCs/>
          <w:sz w:val="32"/>
          <w:szCs w:val="32"/>
        </w:rPr>
      </w:pPr>
      <w:r>
        <w:rPr>
          <w:rFonts w:hint="eastAsia" w:eastAsia="仿宋_GB2312"/>
          <w:lang w:eastAsia="zh-CN"/>
        </w:rPr>
        <w:object>
          <v:shape id="_x0000_i1025" o:spt="75" type="#_x0000_t75" style="height:222.75pt;width:387pt;" o:ole="t" filled="f" o:preferrelative="t" stroked="f" coordsize="21600,21600">
            <v:path/>
            <v:fill on="f" focussize="0,0"/>
            <v:stroke on="f"/>
            <v:imagedata r:id="rId17" o:title=""/>
            <o:lock v:ext="edit" aspectratio="t"/>
            <w10:wrap type="none"/>
            <w10:anchorlock/>
          </v:shape>
          <o:OLEObject Type="Embed" ProgID="Excel.Chart.8" ShapeID="_x0000_i1025" DrawAspect="Content" ObjectID="_1468075725" r:id="rId16">
            <o:LockedField>false</o:LockedField>
          </o:OLEObject>
        </w:object>
      </w:r>
    </w:p>
    <w:p w14:paraId="3010E263">
      <w:pPr>
        <w:spacing w:line="600" w:lineRule="exact"/>
        <w:ind w:firstLine="640"/>
        <w:rPr>
          <w:rFonts w:hint="eastAsia" w:eastAsia="仿宋_GB2312" w:cs="仿宋_GB2312"/>
          <w:sz w:val="32"/>
          <w:szCs w:val="32"/>
        </w:rPr>
      </w:pPr>
      <w:r>
        <w:rPr>
          <w:rFonts w:hint="eastAsia" w:eastAsia="仿宋_GB2312" w:cs="仿宋_GB2312"/>
          <w:sz w:val="32"/>
          <w:szCs w:val="32"/>
        </w:rPr>
        <w:t>（图6：一般公共预算财政拨款支出决算结构）</w:t>
      </w:r>
    </w:p>
    <w:p w14:paraId="4D1B061E">
      <w:pPr>
        <w:pStyle w:val="2"/>
      </w:pPr>
    </w:p>
    <w:p w14:paraId="05DB3114">
      <w:pPr>
        <w:spacing w:line="600" w:lineRule="exact"/>
        <w:ind w:firstLine="643" w:firstLineChars="200"/>
        <w:outlineLvl w:val="2"/>
        <w:rPr>
          <w:rFonts w:eastAsia="楷体_GB2312" w:cs="楷体_GB2312"/>
          <w:b/>
          <w:sz w:val="32"/>
          <w:szCs w:val="32"/>
        </w:rPr>
      </w:pPr>
      <w:bookmarkStart w:id="30" w:name="_Toc15377212"/>
      <w:r>
        <w:rPr>
          <w:rFonts w:hint="eastAsia" w:eastAsia="楷体_GB2312" w:cs="楷体_GB2312"/>
          <w:b/>
          <w:sz w:val="32"/>
          <w:szCs w:val="32"/>
        </w:rPr>
        <w:t>（三）一般公共预算财政拨款支出决算具体情况</w:t>
      </w:r>
      <w:bookmarkEnd w:id="30"/>
    </w:p>
    <w:p w14:paraId="655F80D2">
      <w:pPr>
        <w:spacing w:line="600" w:lineRule="exact"/>
        <w:ind w:firstLine="640"/>
        <w:rPr>
          <w:rFonts w:eastAsia="仿宋_GB2312" w:cs="仿宋_GB2312"/>
          <w:sz w:val="32"/>
          <w:szCs w:val="32"/>
        </w:rPr>
      </w:pPr>
      <w:bookmarkStart w:id="31" w:name="_Toc15377213"/>
      <w:bookmarkStart w:id="32" w:name="_Toc15377444"/>
      <w:bookmarkStart w:id="33" w:name="_Toc15378460"/>
      <w:r>
        <w:rPr>
          <w:rFonts w:hint="eastAsia" w:eastAsia="仿宋_GB2312" w:cs="仿宋_GB2312"/>
          <w:sz w:val="32"/>
          <w:szCs w:val="32"/>
        </w:rPr>
        <w:t>2025年度一般公共预算支出决算数为</w:t>
      </w:r>
      <w:r>
        <w:rPr>
          <w:rFonts w:hint="eastAsia" w:eastAsia="仿宋_GB2312" w:cs="仿宋_GB2312"/>
          <w:sz w:val="32"/>
          <w:szCs w:val="32"/>
          <w:lang w:val="en-US" w:eastAsia="zh-CN"/>
        </w:rPr>
        <w:t>1424.12</w:t>
      </w:r>
      <w:r>
        <w:rPr>
          <w:rFonts w:hint="eastAsia" w:eastAsia="仿宋_GB2312" w:cs="仿宋_GB2312"/>
          <w:sz w:val="32"/>
          <w:szCs w:val="32"/>
        </w:rPr>
        <w:t>，完成预算</w:t>
      </w:r>
      <w:r>
        <w:rPr>
          <w:rFonts w:hint="eastAsia" w:eastAsia="仿宋_GB2312" w:cs="仿宋_GB2312"/>
          <w:sz w:val="32"/>
          <w:szCs w:val="32"/>
          <w:lang w:val="en-US" w:eastAsia="zh-CN"/>
        </w:rPr>
        <w:t>100</w:t>
      </w:r>
      <w:r>
        <w:rPr>
          <w:rFonts w:hint="eastAsia" w:eastAsia="仿宋_GB2312" w:cs="仿宋_GB2312"/>
          <w:sz w:val="32"/>
          <w:szCs w:val="32"/>
        </w:rPr>
        <w:t>%。其中：</w:t>
      </w:r>
      <w:bookmarkEnd w:id="31"/>
      <w:bookmarkEnd w:id="32"/>
      <w:bookmarkEnd w:id="33"/>
    </w:p>
    <w:p w14:paraId="63486CD9">
      <w:pPr>
        <w:spacing w:line="600" w:lineRule="exact"/>
        <w:ind w:firstLine="640"/>
        <w:rPr>
          <w:rFonts w:hint="eastAsia" w:ascii="Times New Roman" w:hAnsi="Times New Roman" w:eastAsia="仿宋_GB2312" w:cs="仿宋_GB2312"/>
          <w:sz w:val="32"/>
          <w:szCs w:val="32"/>
        </w:rPr>
      </w:pPr>
      <w:r>
        <w:rPr>
          <w:rFonts w:hint="eastAsia" w:eastAsia="仿宋_GB2312" w:cs="仿宋_GB2312"/>
          <w:sz w:val="32"/>
          <w:szCs w:val="32"/>
          <w:lang w:val="en-US" w:eastAsia="zh-CN"/>
        </w:rPr>
        <w:t>1</w:t>
      </w:r>
      <w:r>
        <w:rPr>
          <w:rFonts w:hint="eastAsia" w:ascii="Times New Roman" w:hAnsi="Times New Roman" w:eastAsia="仿宋_GB2312" w:cs="仿宋_GB2312"/>
          <w:sz w:val="32"/>
          <w:szCs w:val="32"/>
          <w:lang w:val="en-US" w:eastAsia="zh-CN"/>
        </w:rPr>
        <w:t>.</w:t>
      </w:r>
      <w:r>
        <w:rPr>
          <w:rFonts w:hint="eastAsia" w:ascii="Times New Roman" w:hAnsi="Times New Roman" w:eastAsia="仿宋_GB2312" w:cs="仿宋_GB2312"/>
          <w:sz w:val="32"/>
          <w:szCs w:val="32"/>
        </w:rPr>
        <w:t>社会保障和就业（类）</w:t>
      </w:r>
      <w:r>
        <w:rPr>
          <w:rFonts w:hint="eastAsia" w:ascii="Times New Roman" w:hAnsi="Times New Roman" w:eastAsia="仿宋_GB2312" w:cs="仿宋_GB2312"/>
          <w:sz w:val="32"/>
          <w:szCs w:val="32"/>
          <w:lang w:val="en-US" w:eastAsia="zh-CN"/>
        </w:rPr>
        <w:t>社会保障和就业支出</w:t>
      </w:r>
      <w:r>
        <w:rPr>
          <w:rFonts w:hint="eastAsia" w:ascii="Times New Roman" w:hAnsi="Times New Roman" w:eastAsia="仿宋_GB2312" w:cs="仿宋_GB2312"/>
          <w:sz w:val="32"/>
          <w:szCs w:val="32"/>
        </w:rPr>
        <w:t>（款）</w:t>
      </w:r>
      <w:r>
        <w:rPr>
          <w:rFonts w:hint="eastAsia" w:ascii="Times New Roman" w:hAnsi="Times New Roman" w:eastAsia="仿宋_GB2312" w:cs="仿宋_GB2312"/>
          <w:sz w:val="32"/>
          <w:szCs w:val="32"/>
          <w:lang w:val="en-US" w:eastAsia="zh-CN"/>
        </w:rPr>
        <w:t>行政事业单位养老支出</w:t>
      </w:r>
      <w:r>
        <w:rPr>
          <w:rFonts w:hint="eastAsia" w:ascii="Times New Roman" w:hAnsi="Times New Roman" w:eastAsia="仿宋_GB2312" w:cs="仿宋_GB2312"/>
          <w:sz w:val="32"/>
          <w:szCs w:val="32"/>
        </w:rPr>
        <w:t>（项）</w:t>
      </w:r>
      <w:r>
        <w:rPr>
          <w:rFonts w:hint="eastAsia" w:ascii="Times New Roman" w:hAnsi="Times New Roman" w:eastAsia="仿宋_GB2312" w:cs="仿宋_GB2312"/>
          <w:sz w:val="32"/>
          <w:szCs w:val="32"/>
          <w:lang w:val="en-US" w:eastAsia="zh-CN"/>
        </w:rPr>
        <w:t>行政单位离退休</w:t>
      </w:r>
      <w:r>
        <w:rPr>
          <w:rFonts w:hint="eastAsia" w:ascii="Times New Roman" w:hAnsi="Times New Roman" w:eastAsia="仿宋_GB2312" w:cs="仿宋_GB2312"/>
          <w:sz w:val="32"/>
          <w:szCs w:val="32"/>
        </w:rPr>
        <w:t>支出决算为</w:t>
      </w:r>
      <w:r>
        <w:rPr>
          <w:rFonts w:hint="eastAsia" w:eastAsia="仿宋_GB2312" w:cs="仿宋_GB2312"/>
          <w:sz w:val="32"/>
          <w:szCs w:val="32"/>
          <w:lang w:val="en-US" w:eastAsia="zh-CN"/>
        </w:rPr>
        <w:t>2.68</w:t>
      </w:r>
      <w:r>
        <w:rPr>
          <w:rFonts w:hint="eastAsia" w:ascii="Times New Roman" w:hAnsi="Times New Roman" w:eastAsia="仿宋_GB2312" w:cs="仿宋_GB2312"/>
          <w:sz w:val="32"/>
          <w:szCs w:val="32"/>
        </w:rPr>
        <w:t>万元，完成预算</w:t>
      </w:r>
      <w:r>
        <w:rPr>
          <w:rFonts w:hint="eastAsia" w:ascii="Times New Roman" w:hAnsi="Times New Roman" w:eastAsia="仿宋_GB2312" w:cs="仿宋_GB2312"/>
          <w:sz w:val="32"/>
          <w:szCs w:val="32"/>
          <w:lang w:val="en-US" w:eastAsia="zh-CN"/>
        </w:rPr>
        <w:t>100</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w:t>
      </w:r>
    </w:p>
    <w:p w14:paraId="19CC3F72">
      <w:pPr>
        <w:spacing w:line="600" w:lineRule="exact"/>
        <w:ind w:firstLine="640"/>
        <w:rPr>
          <w:rFonts w:hint="eastAsia" w:ascii="Times New Roman" w:hAnsi="Times New Roman" w:eastAsia="仿宋_GB2312" w:cs="仿宋_GB2312"/>
          <w:sz w:val="32"/>
          <w:szCs w:val="32"/>
          <w:lang w:val="en-US" w:eastAsia="zh-CN"/>
        </w:rPr>
      </w:pPr>
      <w:r>
        <w:rPr>
          <w:rFonts w:hint="eastAsia" w:eastAsia="仿宋_GB2312" w:cs="仿宋_GB2312"/>
          <w:sz w:val="32"/>
          <w:szCs w:val="32"/>
          <w:lang w:val="en-US" w:eastAsia="zh-CN"/>
        </w:rPr>
        <w:t>2</w:t>
      </w:r>
      <w:r>
        <w:rPr>
          <w:rFonts w:hint="eastAsia" w:ascii="Times New Roman" w:hAnsi="Times New Roman" w:eastAsia="仿宋_GB2312" w:cs="仿宋_GB2312"/>
          <w:sz w:val="32"/>
          <w:szCs w:val="32"/>
          <w:lang w:val="en-US" w:eastAsia="zh-CN"/>
        </w:rPr>
        <w:t>.</w:t>
      </w:r>
      <w:r>
        <w:rPr>
          <w:rFonts w:hint="eastAsia" w:ascii="Times New Roman" w:hAnsi="Times New Roman" w:eastAsia="仿宋_GB2312" w:cs="仿宋_GB2312"/>
          <w:sz w:val="32"/>
          <w:szCs w:val="32"/>
        </w:rPr>
        <w:t>社会保障和就业（类）</w:t>
      </w:r>
      <w:r>
        <w:rPr>
          <w:rFonts w:hint="eastAsia" w:ascii="Times New Roman" w:hAnsi="Times New Roman" w:eastAsia="仿宋_GB2312" w:cs="仿宋_GB2312"/>
          <w:sz w:val="32"/>
          <w:szCs w:val="32"/>
          <w:lang w:val="en-US" w:eastAsia="zh-CN"/>
        </w:rPr>
        <w:t>社会保障和就业支出</w:t>
      </w:r>
      <w:r>
        <w:rPr>
          <w:rFonts w:hint="eastAsia" w:ascii="Times New Roman" w:hAnsi="Times New Roman" w:eastAsia="仿宋_GB2312" w:cs="仿宋_GB2312"/>
          <w:sz w:val="32"/>
          <w:szCs w:val="32"/>
        </w:rPr>
        <w:t>（款）</w:t>
      </w:r>
      <w:r>
        <w:rPr>
          <w:rFonts w:hint="eastAsia" w:ascii="Times New Roman" w:hAnsi="Times New Roman" w:eastAsia="仿宋_GB2312" w:cs="仿宋_GB2312"/>
          <w:sz w:val="32"/>
          <w:szCs w:val="32"/>
          <w:lang w:val="en-US" w:eastAsia="zh-CN"/>
        </w:rPr>
        <w:t>行政事业单位养老支出</w:t>
      </w:r>
      <w:r>
        <w:rPr>
          <w:rFonts w:hint="eastAsia" w:ascii="Times New Roman" w:hAnsi="Times New Roman" w:eastAsia="仿宋_GB2312" w:cs="仿宋_GB2312"/>
          <w:sz w:val="32"/>
          <w:szCs w:val="32"/>
        </w:rPr>
        <w:t>（项）</w:t>
      </w:r>
      <w:r>
        <w:rPr>
          <w:rFonts w:hint="eastAsia" w:ascii="Times New Roman" w:hAnsi="Times New Roman" w:eastAsia="仿宋_GB2312" w:cs="仿宋_GB2312"/>
          <w:sz w:val="32"/>
          <w:szCs w:val="32"/>
          <w:lang w:val="en-US" w:eastAsia="zh-CN"/>
        </w:rPr>
        <w:t>机关事业单位基本养老保险缴费支出决算为</w:t>
      </w:r>
      <w:r>
        <w:rPr>
          <w:rFonts w:hint="eastAsia" w:eastAsia="仿宋_GB2312" w:cs="仿宋_GB2312"/>
          <w:sz w:val="32"/>
          <w:szCs w:val="32"/>
          <w:lang w:val="en-US" w:eastAsia="zh-CN"/>
        </w:rPr>
        <w:t>47.22</w:t>
      </w:r>
      <w:r>
        <w:rPr>
          <w:rFonts w:hint="eastAsia" w:ascii="Times New Roman" w:hAnsi="Times New Roman" w:eastAsia="仿宋_GB2312" w:cs="仿宋_GB2312"/>
          <w:sz w:val="32"/>
          <w:szCs w:val="32"/>
          <w:lang w:val="en-US" w:eastAsia="zh-CN"/>
        </w:rPr>
        <w:t>万元，完成预算数100%</w:t>
      </w:r>
      <w:r>
        <w:rPr>
          <w:rFonts w:hint="eastAsia" w:ascii="Times New Roman" w:hAnsi="Times New Roman" w:eastAsia="仿宋_GB2312" w:cs="仿宋_GB2312"/>
          <w:sz w:val="32"/>
          <w:szCs w:val="32"/>
        </w:rPr>
        <w:t>。</w:t>
      </w:r>
    </w:p>
    <w:p w14:paraId="77FC9F90">
      <w:pPr>
        <w:spacing w:line="600" w:lineRule="exact"/>
        <w:ind w:firstLine="640"/>
        <w:rPr>
          <w:rFonts w:hint="eastAsia" w:ascii="Times New Roman" w:hAnsi="Times New Roman" w:eastAsia="仿宋_GB2312" w:cs="仿宋_GB2312"/>
          <w:sz w:val="32"/>
          <w:szCs w:val="32"/>
          <w:lang w:val="en-US" w:eastAsia="zh-CN"/>
        </w:rPr>
      </w:pPr>
      <w:bookmarkStart w:id="34" w:name="OLE_LINK4"/>
      <w:r>
        <w:rPr>
          <w:rFonts w:hint="eastAsia" w:eastAsia="仿宋_GB2312" w:cs="仿宋_GB2312"/>
          <w:sz w:val="32"/>
          <w:szCs w:val="32"/>
          <w:lang w:val="en-US" w:eastAsia="zh-CN"/>
        </w:rPr>
        <w:t>3</w:t>
      </w:r>
      <w:r>
        <w:rPr>
          <w:rFonts w:hint="eastAsia" w:ascii="Times New Roman" w:hAnsi="Times New Roman" w:eastAsia="仿宋_GB2312" w:cs="仿宋_GB2312"/>
          <w:sz w:val="32"/>
          <w:szCs w:val="32"/>
          <w:lang w:val="en-US" w:eastAsia="zh-CN"/>
        </w:rPr>
        <w:t>.卫生健康支出（类）行政事业单位医疗（款）（项）行政单位医疗支出结算为</w:t>
      </w:r>
      <w:r>
        <w:rPr>
          <w:rFonts w:hint="eastAsia" w:eastAsia="仿宋_GB2312" w:cs="仿宋_GB2312"/>
          <w:sz w:val="32"/>
          <w:szCs w:val="32"/>
          <w:lang w:val="en-US" w:eastAsia="zh-CN"/>
        </w:rPr>
        <w:t>4.3</w:t>
      </w:r>
      <w:r>
        <w:rPr>
          <w:rFonts w:hint="eastAsia" w:ascii="Times New Roman" w:hAnsi="Times New Roman" w:eastAsia="仿宋_GB2312" w:cs="仿宋_GB2312"/>
          <w:sz w:val="32"/>
          <w:szCs w:val="32"/>
          <w:lang w:val="en-US" w:eastAsia="zh-CN"/>
        </w:rPr>
        <w:t>万元</w:t>
      </w:r>
      <w:bookmarkStart w:id="35" w:name="OLE_LINK6"/>
      <w:r>
        <w:rPr>
          <w:rFonts w:hint="eastAsia" w:ascii="Times New Roman" w:hAnsi="Times New Roman" w:eastAsia="仿宋_GB2312" w:cs="仿宋_GB2312"/>
          <w:sz w:val="32"/>
          <w:szCs w:val="32"/>
          <w:lang w:val="en-US" w:eastAsia="zh-CN"/>
        </w:rPr>
        <w:t>，完成预算数100%</w:t>
      </w:r>
      <w:bookmarkEnd w:id="35"/>
      <w:r>
        <w:rPr>
          <w:rFonts w:hint="eastAsia" w:ascii="Times New Roman" w:hAnsi="Times New Roman" w:eastAsia="仿宋_GB2312" w:cs="仿宋_GB2312"/>
          <w:sz w:val="32"/>
          <w:szCs w:val="32"/>
          <w:lang w:val="en-US" w:eastAsia="zh-CN"/>
        </w:rPr>
        <w:t>。</w:t>
      </w:r>
      <w:bookmarkEnd w:id="34"/>
    </w:p>
    <w:p w14:paraId="2C202D41">
      <w:pPr>
        <w:spacing w:line="600" w:lineRule="exact"/>
        <w:ind w:firstLine="640"/>
        <w:rPr>
          <w:rFonts w:hint="eastAsia" w:ascii="Times New Roman" w:hAnsi="Times New Roman" w:eastAsia="仿宋_GB2312" w:cs="仿宋_GB2312"/>
          <w:sz w:val="32"/>
          <w:szCs w:val="32"/>
          <w:lang w:val="en-US" w:eastAsia="zh-CN"/>
        </w:rPr>
      </w:pPr>
      <w:r>
        <w:rPr>
          <w:rFonts w:hint="eastAsia" w:eastAsia="仿宋_GB2312" w:cs="仿宋_GB2312"/>
          <w:sz w:val="32"/>
          <w:szCs w:val="32"/>
          <w:lang w:val="en-US" w:eastAsia="zh-CN"/>
        </w:rPr>
        <w:t>4</w:t>
      </w:r>
      <w:r>
        <w:rPr>
          <w:rFonts w:hint="eastAsia" w:ascii="Times New Roman" w:hAnsi="Times New Roman" w:eastAsia="仿宋_GB2312" w:cs="仿宋_GB2312"/>
          <w:sz w:val="32"/>
          <w:szCs w:val="32"/>
          <w:lang w:val="en-US" w:eastAsia="zh-CN"/>
        </w:rPr>
        <w:t>.卫生健康支出（类）行政事业单位医疗（款）（项）事业单位医疗支出结算为</w:t>
      </w:r>
      <w:r>
        <w:rPr>
          <w:rFonts w:hint="eastAsia" w:eastAsia="仿宋_GB2312" w:cs="仿宋_GB2312"/>
          <w:sz w:val="32"/>
          <w:szCs w:val="32"/>
          <w:lang w:val="en-US" w:eastAsia="zh-CN"/>
        </w:rPr>
        <w:t>20.07</w:t>
      </w:r>
      <w:r>
        <w:rPr>
          <w:rFonts w:hint="eastAsia" w:ascii="Times New Roman" w:hAnsi="Times New Roman" w:eastAsia="仿宋_GB2312" w:cs="仿宋_GB2312"/>
          <w:sz w:val="32"/>
          <w:szCs w:val="32"/>
          <w:lang w:val="en-US" w:eastAsia="zh-CN"/>
        </w:rPr>
        <w:t>万元，完成预算数100%。</w:t>
      </w:r>
    </w:p>
    <w:p w14:paraId="299E7DB1">
      <w:pPr>
        <w:spacing w:line="600" w:lineRule="exact"/>
        <w:ind w:firstLine="640"/>
        <w:rPr>
          <w:rFonts w:hint="eastAsia" w:ascii="Times New Roman" w:hAnsi="Times New Roman" w:eastAsia="仿宋_GB2312" w:cs="仿宋_GB2312"/>
          <w:sz w:val="32"/>
          <w:szCs w:val="32"/>
          <w:lang w:val="en-US" w:eastAsia="zh-CN"/>
        </w:rPr>
      </w:pPr>
      <w:bookmarkStart w:id="36" w:name="OLE_LINK7"/>
      <w:r>
        <w:rPr>
          <w:rFonts w:hint="eastAsia" w:eastAsia="仿宋_GB2312" w:cs="仿宋_GB2312"/>
          <w:sz w:val="32"/>
          <w:szCs w:val="32"/>
          <w:lang w:val="en-US" w:eastAsia="zh-CN"/>
        </w:rPr>
        <w:t>5</w:t>
      </w:r>
      <w:r>
        <w:rPr>
          <w:rFonts w:hint="eastAsia" w:ascii="Times New Roman" w:hAnsi="Times New Roman" w:eastAsia="仿宋_GB2312" w:cs="仿宋_GB2312"/>
          <w:sz w:val="32"/>
          <w:szCs w:val="32"/>
          <w:lang w:val="en-US" w:eastAsia="zh-CN"/>
        </w:rPr>
        <w:t>.卫生健康支出（类）行政事业单位医疗（款）（项）公务员医疗补助支出结算为</w:t>
      </w:r>
      <w:r>
        <w:rPr>
          <w:rFonts w:hint="eastAsia" w:eastAsia="仿宋_GB2312" w:cs="仿宋_GB2312"/>
          <w:sz w:val="32"/>
          <w:szCs w:val="32"/>
          <w:lang w:val="en-US" w:eastAsia="zh-CN"/>
        </w:rPr>
        <w:t>3.45</w:t>
      </w:r>
      <w:r>
        <w:rPr>
          <w:rFonts w:hint="eastAsia" w:ascii="Times New Roman" w:hAnsi="Times New Roman" w:eastAsia="仿宋_GB2312" w:cs="仿宋_GB2312"/>
          <w:sz w:val="32"/>
          <w:szCs w:val="32"/>
          <w:lang w:val="en-US" w:eastAsia="zh-CN"/>
        </w:rPr>
        <w:t>万元，完成预算数100%。</w:t>
      </w:r>
    </w:p>
    <w:bookmarkEnd w:id="36"/>
    <w:p w14:paraId="1121EB58">
      <w:pPr>
        <w:spacing w:line="600" w:lineRule="exact"/>
        <w:ind w:firstLine="640"/>
        <w:rPr>
          <w:rFonts w:hint="eastAsia" w:ascii="Times New Roman" w:hAnsi="Times New Roman" w:eastAsia="仿宋_GB2312" w:cs="仿宋_GB2312"/>
          <w:sz w:val="32"/>
          <w:szCs w:val="32"/>
        </w:rPr>
      </w:pPr>
      <w:r>
        <w:rPr>
          <w:rFonts w:hint="eastAsia" w:eastAsia="仿宋_GB2312" w:cs="仿宋_GB2312"/>
          <w:sz w:val="32"/>
          <w:szCs w:val="32"/>
          <w:lang w:val="en-US" w:eastAsia="zh-CN"/>
        </w:rPr>
        <w:t>6</w:t>
      </w:r>
      <w:r>
        <w:rPr>
          <w:rFonts w:hint="eastAsia" w:ascii="Times New Roman" w:hAnsi="Times New Roman" w:eastAsia="仿宋_GB2312" w:cs="仿宋_GB2312"/>
          <w:sz w:val="32"/>
          <w:szCs w:val="32"/>
          <w:lang w:val="en-US" w:eastAsia="zh-CN"/>
        </w:rPr>
        <w:t>.自然资源海洋气象</w:t>
      </w:r>
      <w:r>
        <w:rPr>
          <w:rFonts w:hint="eastAsia" w:ascii="Times New Roman" w:hAnsi="Times New Roman" w:eastAsia="仿宋_GB2312" w:cs="仿宋_GB2312"/>
          <w:sz w:val="32"/>
          <w:szCs w:val="32"/>
        </w:rPr>
        <w:t>（类）</w:t>
      </w:r>
      <w:r>
        <w:rPr>
          <w:rFonts w:hint="eastAsia" w:ascii="Times New Roman" w:hAnsi="Times New Roman" w:eastAsia="仿宋_GB2312" w:cs="仿宋_GB2312"/>
          <w:sz w:val="32"/>
          <w:szCs w:val="32"/>
          <w:lang w:eastAsia="zh-CN"/>
        </w:rPr>
        <w:t>自然资源海洋气象等支出</w:t>
      </w:r>
      <w:r>
        <w:rPr>
          <w:rFonts w:hint="eastAsia" w:ascii="Times New Roman" w:hAnsi="Times New Roman" w:eastAsia="仿宋_GB2312" w:cs="仿宋_GB2312"/>
          <w:sz w:val="32"/>
          <w:szCs w:val="32"/>
        </w:rPr>
        <w:t>（款）</w:t>
      </w:r>
      <w:r>
        <w:rPr>
          <w:rFonts w:hint="eastAsia" w:ascii="Times New Roman" w:hAnsi="Times New Roman" w:eastAsia="仿宋_GB2312" w:cs="仿宋_GB2312"/>
          <w:sz w:val="32"/>
          <w:szCs w:val="32"/>
          <w:lang w:eastAsia="zh-CN"/>
        </w:rPr>
        <w:t>自然资源事务</w:t>
      </w:r>
      <w:r>
        <w:rPr>
          <w:rFonts w:hint="eastAsia" w:ascii="Times New Roman" w:hAnsi="Times New Roman" w:eastAsia="仿宋_GB2312" w:cs="仿宋_GB2312"/>
          <w:sz w:val="32"/>
          <w:szCs w:val="32"/>
        </w:rPr>
        <w:t>（项）</w:t>
      </w:r>
      <w:r>
        <w:rPr>
          <w:rFonts w:hint="eastAsia" w:ascii="Times New Roman" w:hAnsi="Times New Roman" w:eastAsia="仿宋_GB2312" w:cs="仿宋_GB2312"/>
          <w:sz w:val="32"/>
          <w:szCs w:val="32"/>
          <w:lang w:val="en-US" w:eastAsia="zh-CN"/>
        </w:rPr>
        <w:t>行政运行</w:t>
      </w:r>
      <w:r>
        <w:rPr>
          <w:rFonts w:hint="eastAsia" w:ascii="Times New Roman" w:hAnsi="Times New Roman" w:eastAsia="仿宋_GB2312" w:cs="仿宋_GB2312"/>
          <w:sz w:val="32"/>
          <w:szCs w:val="32"/>
        </w:rPr>
        <w:t>支出决算为</w:t>
      </w:r>
      <w:r>
        <w:rPr>
          <w:rFonts w:hint="eastAsia" w:eastAsia="仿宋_GB2312" w:cs="仿宋_GB2312"/>
          <w:sz w:val="32"/>
          <w:szCs w:val="32"/>
          <w:lang w:val="en-US" w:eastAsia="zh-CN"/>
        </w:rPr>
        <w:t>91.4</w:t>
      </w:r>
      <w:r>
        <w:rPr>
          <w:rFonts w:hint="eastAsia" w:ascii="Times New Roman" w:hAnsi="Times New Roman" w:eastAsia="仿宋_GB2312" w:cs="仿宋_GB2312"/>
          <w:sz w:val="32"/>
          <w:szCs w:val="32"/>
        </w:rPr>
        <w:t>万元，完成预算</w:t>
      </w:r>
      <w:r>
        <w:rPr>
          <w:rFonts w:hint="eastAsia" w:ascii="Times New Roman" w:hAnsi="Times New Roman" w:eastAsia="仿宋_GB2312" w:cs="仿宋_GB2312"/>
          <w:sz w:val="32"/>
          <w:szCs w:val="32"/>
          <w:lang w:val="en-US" w:eastAsia="zh-CN"/>
        </w:rPr>
        <w:t>100%</w:t>
      </w:r>
    </w:p>
    <w:p w14:paraId="70F2F1D6">
      <w:pPr>
        <w:spacing w:line="600" w:lineRule="exact"/>
        <w:ind w:firstLine="640"/>
        <w:rPr>
          <w:rFonts w:hint="eastAsia" w:ascii="Times New Roman" w:hAnsi="Times New Roman" w:eastAsia="仿宋_GB2312" w:cs="仿宋_GB2312"/>
          <w:sz w:val="32"/>
          <w:szCs w:val="32"/>
        </w:rPr>
      </w:pPr>
      <w:r>
        <w:rPr>
          <w:rFonts w:hint="eastAsia" w:eastAsia="仿宋_GB2312" w:cs="仿宋_GB2312"/>
          <w:sz w:val="32"/>
          <w:szCs w:val="32"/>
          <w:lang w:val="en-US" w:eastAsia="zh-CN"/>
        </w:rPr>
        <w:t>7</w:t>
      </w:r>
      <w:r>
        <w:rPr>
          <w:rFonts w:hint="eastAsia" w:ascii="Times New Roman" w:hAnsi="Times New Roman" w:eastAsia="仿宋_GB2312" w:cs="仿宋_GB2312"/>
          <w:sz w:val="32"/>
          <w:szCs w:val="32"/>
          <w:lang w:val="en-US" w:eastAsia="zh-CN"/>
        </w:rPr>
        <w:t>.自然资源海洋气象</w:t>
      </w:r>
      <w:r>
        <w:rPr>
          <w:rFonts w:hint="eastAsia" w:ascii="Times New Roman" w:hAnsi="Times New Roman" w:eastAsia="仿宋_GB2312" w:cs="仿宋_GB2312"/>
          <w:sz w:val="32"/>
          <w:szCs w:val="32"/>
        </w:rPr>
        <w:t>（类）</w:t>
      </w:r>
      <w:r>
        <w:rPr>
          <w:rFonts w:hint="eastAsia" w:ascii="Times New Roman" w:hAnsi="Times New Roman" w:eastAsia="仿宋_GB2312" w:cs="仿宋_GB2312"/>
          <w:sz w:val="32"/>
          <w:szCs w:val="32"/>
          <w:lang w:eastAsia="zh-CN"/>
        </w:rPr>
        <w:t>自然资源海洋气象等支出</w:t>
      </w:r>
      <w:r>
        <w:rPr>
          <w:rFonts w:hint="eastAsia" w:ascii="Times New Roman" w:hAnsi="Times New Roman" w:eastAsia="仿宋_GB2312" w:cs="仿宋_GB2312"/>
          <w:sz w:val="32"/>
          <w:szCs w:val="32"/>
        </w:rPr>
        <w:t>（款）</w:t>
      </w:r>
      <w:r>
        <w:rPr>
          <w:rFonts w:hint="eastAsia" w:ascii="Times New Roman" w:hAnsi="Times New Roman" w:eastAsia="仿宋_GB2312" w:cs="仿宋_GB2312"/>
          <w:sz w:val="32"/>
          <w:szCs w:val="32"/>
          <w:lang w:eastAsia="zh-CN"/>
        </w:rPr>
        <w:t>自然资源事务</w:t>
      </w:r>
      <w:r>
        <w:rPr>
          <w:rFonts w:hint="eastAsia" w:ascii="Times New Roman" w:hAnsi="Times New Roman" w:eastAsia="仿宋_GB2312" w:cs="仿宋_GB2312"/>
          <w:sz w:val="32"/>
          <w:szCs w:val="32"/>
        </w:rPr>
        <w:t>（项）</w:t>
      </w:r>
      <w:r>
        <w:rPr>
          <w:rFonts w:hint="eastAsia" w:ascii="Times New Roman" w:hAnsi="Times New Roman" w:eastAsia="仿宋_GB2312" w:cs="仿宋_GB2312"/>
          <w:sz w:val="32"/>
          <w:szCs w:val="32"/>
          <w:lang w:val="en-US" w:eastAsia="zh-CN"/>
        </w:rPr>
        <w:t>事业运行支出决算为</w:t>
      </w:r>
      <w:r>
        <w:rPr>
          <w:rFonts w:hint="eastAsia" w:eastAsia="仿宋_GB2312" w:cs="仿宋_GB2312"/>
          <w:sz w:val="32"/>
          <w:szCs w:val="32"/>
          <w:lang w:val="en-US" w:eastAsia="zh-CN"/>
        </w:rPr>
        <w:t>337.9</w:t>
      </w:r>
      <w:r>
        <w:rPr>
          <w:rFonts w:hint="eastAsia" w:ascii="Times New Roman" w:hAnsi="Times New Roman" w:eastAsia="仿宋_GB2312" w:cs="仿宋_GB2312"/>
          <w:sz w:val="32"/>
          <w:szCs w:val="32"/>
          <w:lang w:val="en-US" w:eastAsia="zh-CN"/>
        </w:rPr>
        <w:t>万元，完成预算100%</w:t>
      </w:r>
      <w:r>
        <w:rPr>
          <w:rFonts w:hint="eastAsia" w:ascii="Times New Roman" w:hAnsi="Times New Roman" w:eastAsia="仿宋_GB2312" w:cs="仿宋_GB2312"/>
          <w:sz w:val="32"/>
          <w:szCs w:val="32"/>
        </w:rPr>
        <w:t>。</w:t>
      </w:r>
    </w:p>
    <w:p w14:paraId="674F5BCD">
      <w:pPr>
        <w:pStyle w:val="2"/>
        <w:ind w:firstLine="640" w:firstLineChars="200"/>
        <w:rPr>
          <w:rFonts w:hint="eastAsia" w:ascii="Times New Roman" w:cs="仿宋_GB2312"/>
          <w:sz w:val="32"/>
          <w:szCs w:val="32"/>
          <w:lang w:val="en-US" w:eastAsia="zh-CN"/>
        </w:rPr>
      </w:pPr>
      <w:r>
        <w:rPr>
          <w:rFonts w:hint="eastAsia" w:cs="仿宋_GB2312"/>
          <w:sz w:val="32"/>
          <w:szCs w:val="32"/>
          <w:lang w:val="en-US" w:eastAsia="zh-CN"/>
        </w:rPr>
        <w:t>8</w:t>
      </w:r>
      <w:r>
        <w:rPr>
          <w:rFonts w:hint="eastAsia" w:ascii="Times New Roman" w:hAnsi="Times New Roman" w:eastAsia="仿宋_GB2312" w:cs="仿宋_GB2312"/>
          <w:sz w:val="32"/>
          <w:szCs w:val="32"/>
          <w:lang w:val="en-US" w:eastAsia="zh-CN"/>
        </w:rPr>
        <w:t>.自然资源海洋气象</w:t>
      </w:r>
      <w:r>
        <w:rPr>
          <w:rFonts w:hint="eastAsia" w:ascii="Times New Roman" w:hAnsi="Times New Roman" w:eastAsia="仿宋_GB2312" w:cs="仿宋_GB2312"/>
          <w:sz w:val="32"/>
          <w:szCs w:val="32"/>
        </w:rPr>
        <w:t>（类）</w:t>
      </w:r>
      <w:r>
        <w:rPr>
          <w:rFonts w:hint="eastAsia" w:ascii="Times New Roman" w:hAnsi="Times New Roman" w:eastAsia="仿宋_GB2312" w:cs="仿宋_GB2312"/>
          <w:sz w:val="32"/>
          <w:szCs w:val="32"/>
          <w:lang w:eastAsia="zh-CN"/>
        </w:rPr>
        <w:t>自然资源海洋气象等支出</w:t>
      </w:r>
      <w:r>
        <w:rPr>
          <w:rFonts w:hint="eastAsia" w:ascii="Times New Roman" w:hAnsi="Times New Roman" w:eastAsia="仿宋_GB2312" w:cs="仿宋_GB2312"/>
          <w:sz w:val="32"/>
          <w:szCs w:val="32"/>
        </w:rPr>
        <w:t>（款）</w:t>
      </w:r>
      <w:r>
        <w:rPr>
          <w:rFonts w:hint="eastAsia" w:ascii="Times New Roman" w:hAnsi="Times New Roman" w:eastAsia="仿宋_GB2312" w:cs="仿宋_GB2312"/>
          <w:sz w:val="32"/>
          <w:szCs w:val="32"/>
          <w:lang w:eastAsia="zh-CN"/>
        </w:rPr>
        <w:t>自然资源事务</w:t>
      </w:r>
      <w:r>
        <w:rPr>
          <w:rFonts w:hint="eastAsia" w:ascii="Times New Roman" w:hAnsi="Times New Roman" w:eastAsia="仿宋_GB2312" w:cs="仿宋_GB2312"/>
          <w:sz w:val="32"/>
          <w:szCs w:val="32"/>
        </w:rPr>
        <w:t>（项）</w:t>
      </w:r>
      <w:r>
        <w:rPr>
          <w:rFonts w:hint="eastAsia" w:ascii="Times New Roman" w:cs="仿宋_GB2312"/>
          <w:sz w:val="32"/>
          <w:szCs w:val="32"/>
          <w:lang w:val="en-US" w:eastAsia="zh-CN"/>
        </w:rPr>
        <w:t>一般行政管理事务</w:t>
      </w:r>
      <w:r>
        <w:rPr>
          <w:rFonts w:hint="eastAsia" w:ascii="Times New Roman" w:hAnsi="Times New Roman" w:eastAsia="仿宋_GB2312" w:cs="仿宋_GB2312"/>
          <w:sz w:val="32"/>
          <w:szCs w:val="32"/>
          <w:lang w:val="en-US" w:eastAsia="zh-CN"/>
        </w:rPr>
        <w:t>支出决算为</w:t>
      </w:r>
      <w:r>
        <w:rPr>
          <w:rFonts w:hint="eastAsia" w:ascii="Times New Roman" w:cs="仿宋_GB2312"/>
          <w:sz w:val="32"/>
          <w:szCs w:val="32"/>
          <w:lang w:val="en-US" w:eastAsia="zh-CN"/>
        </w:rPr>
        <w:t>9.15万元，完成预算100%。</w:t>
      </w:r>
    </w:p>
    <w:p w14:paraId="71B11460">
      <w:pPr>
        <w:pStyle w:val="2"/>
        <w:ind w:firstLine="640" w:firstLineChars="200"/>
        <w:rPr>
          <w:rFonts w:hint="default" w:ascii="Times New Roman" w:cs="仿宋_GB2312"/>
          <w:sz w:val="32"/>
          <w:szCs w:val="32"/>
          <w:lang w:val="en-US" w:eastAsia="zh-CN"/>
        </w:rPr>
      </w:pPr>
      <w:r>
        <w:rPr>
          <w:rFonts w:hint="eastAsia" w:cs="仿宋_GB2312"/>
          <w:sz w:val="32"/>
          <w:szCs w:val="32"/>
          <w:lang w:val="en-US" w:eastAsia="zh-CN"/>
        </w:rPr>
        <w:t>9</w:t>
      </w:r>
      <w:r>
        <w:rPr>
          <w:rFonts w:hint="eastAsia" w:ascii="Times New Roman" w:hAnsi="Times New Roman" w:eastAsia="仿宋_GB2312" w:cs="仿宋_GB2312"/>
          <w:sz w:val="32"/>
          <w:szCs w:val="32"/>
          <w:lang w:val="en-US" w:eastAsia="zh-CN"/>
        </w:rPr>
        <w:t>.自然资源海洋气象</w:t>
      </w:r>
      <w:r>
        <w:rPr>
          <w:rFonts w:hint="eastAsia" w:ascii="Times New Roman" w:hAnsi="Times New Roman" w:eastAsia="仿宋_GB2312" w:cs="仿宋_GB2312"/>
          <w:sz w:val="32"/>
          <w:szCs w:val="32"/>
        </w:rPr>
        <w:t>（类）</w:t>
      </w:r>
      <w:r>
        <w:rPr>
          <w:rFonts w:hint="eastAsia" w:ascii="Times New Roman" w:hAnsi="Times New Roman" w:eastAsia="仿宋_GB2312" w:cs="仿宋_GB2312"/>
          <w:sz w:val="32"/>
          <w:szCs w:val="32"/>
          <w:lang w:eastAsia="zh-CN"/>
        </w:rPr>
        <w:t>自然资源海洋气象等支出</w:t>
      </w:r>
      <w:r>
        <w:rPr>
          <w:rFonts w:hint="eastAsia" w:ascii="Times New Roman" w:hAnsi="Times New Roman" w:eastAsia="仿宋_GB2312" w:cs="仿宋_GB2312"/>
          <w:sz w:val="32"/>
          <w:szCs w:val="32"/>
        </w:rPr>
        <w:t>（款）</w:t>
      </w:r>
      <w:r>
        <w:rPr>
          <w:rFonts w:hint="eastAsia" w:ascii="Times New Roman" w:hAnsi="Times New Roman" w:eastAsia="仿宋_GB2312" w:cs="仿宋_GB2312"/>
          <w:sz w:val="32"/>
          <w:szCs w:val="32"/>
          <w:lang w:eastAsia="zh-CN"/>
        </w:rPr>
        <w:t>自然资源事务</w:t>
      </w:r>
      <w:r>
        <w:rPr>
          <w:rFonts w:hint="eastAsia" w:ascii="Times New Roman" w:hAnsi="Times New Roman" w:eastAsia="仿宋_GB2312" w:cs="仿宋_GB2312"/>
          <w:sz w:val="32"/>
          <w:szCs w:val="32"/>
        </w:rPr>
        <w:t>（项）</w:t>
      </w:r>
      <w:r>
        <w:rPr>
          <w:rFonts w:hint="eastAsia" w:ascii="Times New Roman" w:cs="仿宋_GB2312"/>
          <w:sz w:val="32"/>
          <w:szCs w:val="32"/>
          <w:lang w:val="en-US" w:eastAsia="zh-CN"/>
        </w:rPr>
        <w:t>自然资源行业业务管理</w:t>
      </w:r>
      <w:r>
        <w:rPr>
          <w:rFonts w:hint="eastAsia" w:ascii="Times New Roman" w:hAnsi="Times New Roman" w:eastAsia="仿宋_GB2312" w:cs="仿宋_GB2312"/>
          <w:sz w:val="32"/>
          <w:szCs w:val="32"/>
          <w:lang w:val="en-US" w:eastAsia="zh-CN"/>
        </w:rPr>
        <w:t>支出决算为</w:t>
      </w:r>
      <w:r>
        <w:rPr>
          <w:rFonts w:hint="eastAsia" w:ascii="Times New Roman" w:cs="仿宋_GB2312"/>
          <w:sz w:val="32"/>
          <w:szCs w:val="32"/>
          <w:lang w:val="en-US" w:eastAsia="zh-CN"/>
        </w:rPr>
        <w:t>458.29万元，完成预算100%。</w:t>
      </w:r>
    </w:p>
    <w:p w14:paraId="1E2E2ED9">
      <w:pPr>
        <w:spacing w:line="600" w:lineRule="exact"/>
        <w:ind w:firstLine="640"/>
        <w:rPr>
          <w:rFonts w:hint="eastAsia" w:ascii="Times New Roman" w:hAnsi="Times New Roman" w:eastAsia="仿宋_GB2312" w:cs="仿宋_GB2312"/>
          <w:sz w:val="32"/>
          <w:szCs w:val="32"/>
          <w:lang w:val="en-US" w:eastAsia="zh-CN"/>
        </w:rPr>
      </w:pPr>
      <w:r>
        <w:rPr>
          <w:rFonts w:hint="eastAsia" w:eastAsia="仿宋_GB2312" w:cs="仿宋_GB2312"/>
          <w:sz w:val="32"/>
          <w:szCs w:val="32"/>
          <w:lang w:val="en-US" w:eastAsia="zh-CN"/>
        </w:rPr>
        <w:t>10.</w:t>
      </w:r>
      <w:r>
        <w:rPr>
          <w:rFonts w:hint="eastAsia" w:ascii="Times New Roman" w:hAnsi="Times New Roman" w:eastAsia="仿宋_GB2312" w:cs="仿宋_GB2312"/>
          <w:sz w:val="32"/>
          <w:szCs w:val="32"/>
          <w:lang w:val="en-US" w:eastAsia="zh-CN"/>
        </w:rPr>
        <w:t>住房保障（类）住房保障支出（款）住房改革支出（项)住房公积金支出决算为</w:t>
      </w:r>
      <w:r>
        <w:rPr>
          <w:rFonts w:hint="eastAsia" w:eastAsia="仿宋_GB2312" w:cs="仿宋_GB2312"/>
          <w:sz w:val="32"/>
          <w:szCs w:val="32"/>
          <w:lang w:val="en-US" w:eastAsia="zh-CN"/>
        </w:rPr>
        <w:t>35.94</w:t>
      </w:r>
      <w:r>
        <w:rPr>
          <w:rFonts w:hint="eastAsia" w:ascii="Times New Roman" w:hAnsi="Times New Roman" w:eastAsia="仿宋_GB2312" w:cs="仿宋_GB2312"/>
          <w:sz w:val="32"/>
          <w:szCs w:val="32"/>
          <w:lang w:val="en-US" w:eastAsia="zh-CN"/>
        </w:rPr>
        <w:t>万元，完成预算100%。</w:t>
      </w:r>
    </w:p>
    <w:p w14:paraId="79418476">
      <w:pPr>
        <w:spacing w:line="600" w:lineRule="exact"/>
        <w:ind w:firstLine="640"/>
        <w:rPr>
          <w:rFonts w:hint="eastAsia" w:eastAsia="仿宋_GB2312" w:cs="仿宋_GB2312"/>
          <w:sz w:val="32"/>
          <w:szCs w:val="32"/>
          <w:lang w:val="en-US" w:eastAsia="zh-CN"/>
        </w:rPr>
      </w:pPr>
      <w:r>
        <w:rPr>
          <w:rFonts w:hint="eastAsia" w:eastAsia="仿宋_GB2312" w:cs="仿宋_GB2312"/>
          <w:sz w:val="32"/>
          <w:szCs w:val="32"/>
          <w:lang w:val="en-US" w:eastAsia="zh-CN"/>
        </w:rPr>
        <w:t>9.</w:t>
      </w:r>
      <w:r>
        <w:rPr>
          <w:rFonts w:hint="eastAsia" w:ascii="Times New Roman" w:hAnsi="Times New Roman" w:eastAsia="仿宋_GB2312" w:cs="仿宋_GB2312"/>
          <w:sz w:val="32"/>
          <w:szCs w:val="32"/>
          <w:lang w:val="en-US" w:eastAsia="zh-CN"/>
        </w:rPr>
        <w:t>灾害防治及应急管理（类）灾害防治及应急管理支出（款）自然灾害防治（项）地质灾害防治支出决算为</w:t>
      </w:r>
      <w:r>
        <w:rPr>
          <w:rFonts w:hint="eastAsia" w:eastAsia="仿宋_GB2312" w:cs="仿宋_GB2312"/>
          <w:sz w:val="32"/>
          <w:szCs w:val="32"/>
          <w:lang w:val="en-US" w:eastAsia="zh-CN"/>
        </w:rPr>
        <w:t>413.74万元，完成预算100%。</w:t>
      </w:r>
    </w:p>
    <w:p w14:paraId="50D71500">
      <w:pPr>
        <w:spacing w:line="600" w:lineRule="exact"/>
        <w:ind w:firstLine="640"/>
        <w:rPr>
          <w:rFonts w:eastAsia="仿宋_GB2312" w:cs="仿宋_GB2312"/>
          <w:sz w:val="32"/>
          <w:szCs w:val="32"/>
        </w:rPr>
      </w:pPr>
    </w:p>
    <w:p w14:paraId="1211050F">
      <w:pPr>
        <w:tabs>
          <w:tab w:val="right" w:pos="8306"/>
        </w:tabs>
        <w:spacing w:line="600" w:lineRule="exact"/>
        <w:ind w:firstLine="640"/>
        <w:outlineLvl w:val="1"/>
        <w:rPr>
          <w:rStyle w:val="29"/>
          <w:rFonts w:ascii="Times New Roman" w:hAnsi="Times New Roman"/>
        </w:rPr>
      </w:pPr>
      <w:bookmarkStart w:id="37" w:name="_Toc15396608"/>
      <w:bookmarkStart w:id="38" w:name="_Toc15377214"/>
      <w:r>
        <w:rPr>
          <w:rFonts w:hint="eastAsia" w:eastAsia="黑体"/>
          <w:sz w:val="32"/>
          <w:szCs w:val="32"/>
        </w:rPr>
        <w:t>六</w:t>
      </w:r>
      <w:r>
        <w:rPr>
          <w:rFonts w:hint="eastAsia" w:eastAsia="黑体"/>
          <w:b/>
          <w:sz w:val="32"/>
          <w:szCs w:val="32"/>
        </w:rPr>
        <w:t>、一</w:t>
      </w:r>
      <w:r>
        <w:rPr>
          <w:rStyle w:val="29"/>
          <w:rFonts w:hint="eastAsia" w:ascii="Times New Roman" w:hAnsi="Times New Roman" w:eastAsia="黑体"/>
          <w:b w:val="0"/>
        </w:rPr>
        <w:t>般公共预算财政拨款基本支出决算情况说明</w:t>
      </w:r>
      <w:bookmarkEnd w:id="37"/>
      <w:bookmarkEnd w:id="38"/>
      <w:r>
        <w:rPr>
          <w:rStyle w:val="29"/>
          <w:rFonts w:ascii="Times New Roman" w:hAnsi="Times New Roman" w:eastAsia="黑体"/>
          <w:b w:val="0"/>
        </w:rPr>
        <w:tab/>
      </w:r>
    </w:p>
    <w:p w14:paraId="62C49E18">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2025年度一般公共预算财政拨款基本支出</w:t>
      </w:r>
      <w:r>
        <w:rPr>
          <w:rFonts w:hint="eastAsia" w:eastAsia="仿宋_GB2312" w:cs="仿宋_GB2312"/>
          <w:sz w:val="32"/>
          <w:szCs w:val="32"/>
          <w:lang w:val="en-US" w:eastAsia="zh-CN"/>
        </w:rPr>
        <w:t>542.95</w:t>
      </w:r>
      <w:r>
        <w:rPr>
          <w:rFonts w:hint="eastAsia" w:eastAsia="仿宋_GB2312" w:cs="仿宋_GB2312"/>
          <w:sz w:val="32"/>
          <w:szCs w:val="32"/>
        </w:rPr>
        <w:t>万元，其中：</w:t>
      </w:r>
    </w:p>
    <w:p w14:paraId="38E21638">
      <w:pPr>
        <w:spacing w:line="600" w:lineRule="exact"/>
        <w:ind w:firstLine="640"/>
        <w:rPr>
          <w:rFonts w:eastAsia="仿宋_GB2312" w:cs="仿宋_GB2312"/>
          <w:sz w:val="32"/>
          <w:szCs w:val="32"/>
        </w:rPr>
      </w:pPr>
      <w:r>
        <w:rPr>
          <w:rFonts w:hint="eastAsia" w:eastAsia="仿宋_GB2312" w:cs="仿宋_GB2312"/>
          <w:sz w:val="32"/>
          <w:szCs w:val="32"/>
        </w:rPr>
        <w:t>人员经费</w:t>
      </w:r>
      <w:r>
        <w:rPr>
          <w:rFonts w:hint="eastAsia" w:eastAsia="仿宋_GB2312" w:cs="仿宋_GB2312"/>
          <w:sz w:val="32"/>
          <w:szCs w:val="32"/>
          <w:lang w:val="en-US" w:eastAsia="zh-CN"/>
        </w:rPr>
        <w:t>468.7</w:t>
      </w:r>
      <w:r>
        <w:rPr>
          <w:rFonts w:hint="eastAsia" w:eastAsia="仿宋_GB2312" w:cs="仿宋_GB2312"/>
          <w:sz w:val="32"/>
          <w:szCs w:val="32"/>
        </w:rPr>
        <w:t>万元，主要包括：基本工资、津贴补贴、奖金、绩效工资、机关事业单位基本养老保险缴费、其他社会保障缴费、其他工资福利支出、离休费、退休费、生活补助、医疗费补助、奖励金、住房公积金、其他对个人和家庭的补助支出等。</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eastAsia="仿宋_GB2312" w:cs="仿宋_GB2312"/>
          <w:sz w:val="32"/>
          <w:szCs w:val="32"/>
          <w:lang w:val="en-US" w:eastAsia="zh-CN"/>
        </w:rPr>
        <w:t>74.25</w:t>
      </w:r>
      <w:r>
        <w:rPr>
          <w:rFonts w:hint="eastAsia" w:eastAsia="仿宋_GB2312" w:cs="仿宋_GB2312"/>
          <w:sz w:val="32"/>
          <w:szCs w:val="32"/>
        </w:rPr>
        <w:t>万元，主要包括：办公费、手续费、水费、电费、邮电费、差旅费、维修（护）费、会议费、培训费、公务接待费、工会经费、福利费、公务用车运行维护费、其他交通费、其他商品和服务支出等。</w:t>
      </w:r>
    </w:p>
    <w:p w14:paraId="443D36C6">
      <w:pPr>
        <w:spacing w:line="600" w:lineRule="exact"/>
        <w:ind w:firstLine="640"/>
        <w:outlineLvl w:val="1"/>
        <w:rPr>
          <w:rStyle w:val="29"/>
          <w:rFonts w:ascii="Times New Roman" w:hAnsi="Times New Roman" w:eastAsia="黑体"/>
          <w:b w:val="0"/>
        </w:rPr>
      </w:pPr>
      <w:bookmarkStart w:id="39" w:name="_Toc15377215"/>
      <w:bookmarkStart w:id="40" w:name="_Toc15396609"/>
      <w:r>
        <w:rPr>
          <w:rFonts w:hint="eastAsia" w:eastAsia="黑体"/>
          <w:sz w:val="32"/>
          <w:szCs w:val="32"/>
        </w:rPr>
        <w:t>七、</w:t>
      </w:r>
      <w:r>
        <w:rPr>
          <w:rStyle w:val="29"/>
          <w:rFonts w:hint="eastAsia" w:ascii="Times New Roman" w:hAnsi="Times New Roman" w:eastAsia="黑体"/>
          <w:b w:val="0"/>
        </w:rPr>
        <w:t>财政拨款</w:t>
      </w:r>
      <w:r>
        <w:rPr>
          <w:rStyle w:val="29"/>
          <w:rFonts w:hint="eastAsia" w:ascii="Times New Roman" w:hAnsi="Times New Roman" w:eastAsia="黑体"/>
        </w:rPr>
        <w:t>“</w:t>
      </w:r>
      <w:r>
        <w:rPr>
          <w:rStyle w:val="29"/>
          <w:rFonts w:hint="eastAsia" w:ascii="Times New Roman" w:hAnsi="Times New Roman" w:eastAsia="黑体"/>
          <w:b w:val="0"/>
        </w:rPr>
        <w:t>三公”经费支出决算情况说明</w:t>
      </w:r>
      <w:bookmarkEnd w:id="39"/>
      <w:bookmarkEnd w:id="40"/>
    </w:p>
    <w:p w14:paraId="7406EBA0">
      <w:pPr>
        <w:spacing w:line="600" w:lineRule="exact"/>
        <w:ind w:firstLine="643" w:firstLineChars="200"/>
        <w:outlineLvl w:val="2"/>
        <w:rPr>
          <w:rFonts w:eastAsia="楷体_GB2312" w:cs="楷体_GB2312"/>
          <w:b/>
          <w:sz w:val="32"/>
          <w:szCs w:val="32"/>
        </w:rPr>
      </w:pPr>
      <w:bookmarkStart w:id="41" w:name="_Toc15377216"/>
      <w:r>
        <w:rPr>
          <w:rFonts w:hint="eastAsia" w:eastAsia="楷体_GB2312" w:cs="楷体_GB2312"/>
          <w:b/>
          <w:sz w:val="32"/>
          <w:szCs w:val="32"/>
        </w:rPr>
        <w:t>（一）财政拨款“三公”经费支出决算总体情况说明</w:t>
      </w:r>
      <w:bookmarkEnd w:id="41"/>
    </w:p>
    <w:p w14:paraId="0B9380EF">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2025年度财政拨款“三公”经费支出决算为</w:t>
      </w:r>
      <w:r>
        <w:rPr>
          <w:rFonts w:hint="eastAsia" w:eastAsia="仿宋_GB2312" w:cs="仿宋_GB2312"/>
          <w:sz w:val="32"/>
          <w:szCs w:val="32"/>
          <w:lang w:val="en-US" w:eastAsia="zh-CN"/>
        </w:rPr>
        <w:t>24.91</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%，较上年度减少</w:t>
      </w:r>
      <w:r>
        <w:rPr>
          <w:rFonts w:hint="eastAsia" w:eastAsia="仿宋_GB2312" w:cs="仿宋_GB2312"/>
          <w:sz w:val="32"/>
          <w:szCs w:val="32"/>
          <w:lang w:val="en-US" w:eastAsia="zh-CN"/>
        </w:rPr>
        <w:t>1.74</w:t>
      </w:r>
      <w:r>
        <w:rPr>
          <w:rFonts w:hint="eastAsia" w:eastAsia="仿宋_GB2312" w:cs="仿宋_GB2312"/>
          <w:sz w:val="32"/>
          <w:szCs w:val="32"/>
        </w:rPr>
        <w:t>万元，下降</w:t>
      </w:r>
      <w:r>
        <w:rPr>
          <w:rFonts w:hint="eastAsia" w:eastAsia="仿宋_GB2312" w:cs="仿宋_GB2312"/>
          <w:sz w:val="32"/>
          <w:szCs w:val="32"/>
          <w:lang w:val="en-US" w:eastAsia="zh-CN"/>
        </w:rPr>
        <w:t>7</w:t>
      </w:r>
      <w:r>
        <w:rPr>
          <w:rFonts w:hint="eastAsia" w:eastAsia="仿宋_GB2312" w:cs="仿宋_GB2312"/>
          <w:sz w:val="32"/>
          <w:szCs w:val="32"/>
        </w:rPr>
        <w:t>%。主要原因是</w:t>
      </w:r>
      <w:r>
        <w:rPr>
          <w:rFonts w:hint="eastAsia" w:eastAsia="仿宋_GB2312" w:cs="仿宋_GB2312"/>
          <w:sz w:val="32"/>
          <w:szCs w:val="32"/>
          <w:lang w:eastAsia="zh-CN"/>
        </w:rPr>
        <w:t>财政减少预算。</w:t>
      </w:r>
    </w:p>
    <w:p w14:paraId="05DBCDD2">
      <w:pPr>
        <w:spacing w:line="600" w:lineRule="exact"/>
        <w:ind w:firstLine="643" w:firstLineChars="200"/>
        <w:outlineLvl w:val="2"/>
        <w:rPr>
          <w:rFonts w:eastAsia="楷体_GB2312" w:cs="楷体_GB2312"/>
          <w:b/>
          <w:sz w:val="32"/>
          <w:szCs w:val="32"/>
        </w:rPr>
      </w:pPr>
      <w:bookmarkStart w:id="42" w:name="_Toc15377217"/>
      <w:r>
        <w:rPr>
          <w:rFonts w:hint="eastAsia" w:eastAsia="楷体_GB2312" w:cs="楷体_GB2312"/>
          <w:b/>
          <w:sz w:val="32"/>
          <w:szCs w:val="32"/>
        </w:rPr>
        <w:t>（二）财政拨款“三公”经费支出决算具体情况说明</w:t>
      </w:r>
      <w:bookmarkEnd w:id="42"/>
    </w:p>
    <w:p w14:paraId="72AA65BC">
      <w:pPr>
        <w:spacing w:line="600" w:lineRule="exact"/>
        <w:ind w:firstLine="640"/>
        <w:rPr>
          <w:rFonts w:hint="eastAsia" w:eastAsia="仿宋_GB2312" w:cs="仿宋_GB2312"/>
          <w:sz w:val="32"/>
          <w:szCs w:val="32"/>
        </w:rPr>
      </w:pPr>
      <w:r>
        <w:rPr>
          <w:rFonts w:hint="eastAsia" w:eastAsia="仿宋_GB2312" w:cs="仿宋_GB2312"/>
          <w:sz w:val="32"/>
          <w:szCs w:val="32"/>
        </w:rPr>
        <w:t>2025年度财政拨款“三公”经费支出决算中，因公出国（境）费支出决算</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%；公务用车购置及运行维护费支出决算</w:t>
      </w:r>
      <w:r>
        <w:rPr>
          <w:rFonts w:hint="eastAsia" w:eastAsia="仿宋_GB2312" w:cs="仿宋_GB2312"/>
          <w:sz w:val="32"/>
          <w:szCs w:val="32"/>
          <w:lang w:val="en-US" w:eastAsia="zh-CN"/>
        </w:rPr>
        <w:t>24.32</w:t>
      </w:r>
      <w:r>
        <w:rPr>
          <w:rFonts w:hint="eastAsia" w:eastAsia="仿宋_GB2312" w:cs="仿宋_GB2312"/>
          <w:sz w:val="32"/>
          <w:szCs w:val="32"/>
        </w:rPr>
        <w:t>万元，占</w:t>
      </w:r>
      <w:r>
        <w:rPr>
          <w:rFonts w:hint="eastAsia" w:eastAsia="仿宋_GB2312" w:cs="仿宋_GB2312"/>
          <w:sz w:val="32"/>
          <w:szCs w:val="32"/>
          <w:lang w:val="en-US" w:eastAsia="zh-CN"/>
        </w:rPr>
        <w:t>97.6</w:t>
      </w:r>
      <w:r>
        <w:rPr>
          <w:rFonts w:hint="eastAsia" w:eastAsia="仿宋_GB2312" w:cs="仿宋_GB2312"/>
          <w:sz w:val="32"/>
          <w:szCs w:val="32"/>
        </w:rPr>
        <w:t>%；公务接待费支出决算</w:t>
      </w:r>
      <w:r>
        <w:rPr>
          <w:rFonts w:hint="eastAsia" w:eastAsia="仿宋_GB2312" w:cs="仿宋_GB2312"/>
          <w:sz w:val="32"/>
          <w:szCs w:val="32"/>
          <w:lang w:val="en-US" w:eastAsia="zh-CN"/>
        </w:rPr>
        <w:t>0.6</w:t>
      </w:r>
      <w:r>
        <w:rPr>
          <w:rFonts w:hint="eastAsia" w:eastAsia="仿宋_GB2312" w:cs="仿宋_GB2312"/>
          <w:sz w:val="32"/>
          <w:szCs w:val="32"/>
        </w:rPr>
        <w:t>万元，占</w:t>
      </w:r>
      <w:r>
        <w:rPr>
          <w:rFonts w:hint="eastAsia" w:eastAsia="仿宋_GB2312" w:cs="仿宋_GB2312"/>
          <w:sz w:val="32"/>
          <w:szCs w:val="32"/>
          <w:lang w:val="en-US" w:eastAsia="zh-CN"/>
        </w:rPr>
        <w:t>2.4</w:t>
      </w:r>
      <w:r>
        <w:rPr>
          <w:rFonts w:hint="eastAsia" w:eastAsia="仿宋_GB2312" w:cs="仿宋_GB2312"/>
          <w:sz w:val="32"/>
          <w:szCs w:val="32"/>
        </w:rPr>
        <w:t>%。具体情况如下：</w:t>
      </w:r>
    </w:p>
    <w:p w14:paraId="6AFE93E3">
      <w:pPr>
        <w:pStyle w:val="2"/>
        <w:rPr>
          <w:rFonts w:hint="eastAsia" w:eastAsia="仿宋_GB2312" w:cs="仿宋_GB2312"/>
          <w:sz w:val="32"/>
          <w:szCs w:val="32"/>
        </w:rPr>
      </w:pPr>
      <w:r>
        <w:rPr>
          <w:rFonts w:hint="eastAsia" w:eastAsia="仿宋_GB2312" w:cs="仿宋_GB2312"/>
          <w:sz w:val="32"/>
          <w:szCs w:val="32"/>
          <w:lang w:eastAsia="zh-CN"/>
        </w:rPr>
        <w:drawing>
          <wp:inline distT="0" distB="0" distL="114300" distR="114300">
            <wp:extent cx="5256530" cy="2988310"/>
            <wp:effectExtent l="5080" t="4445" r="15240" b="1714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39F1D1D">
      <w:pPr>
        <w:spacing w:line="600" w:lineRule="exact"/>
        <w:ind w:firstLine="640"/>
        <w:rPr>
          <w:rFonts w:eastAsia="仿宋_GB2312" w:cs="仿宋_GB2312"/>
          <w:sz w:val="32"/>
          <w:szCs w:val="32"/>
        </w:rPr>
      </w:pPr>
      <w:r>
        <w:rPr>
          <w:rFonts w:hint="eastAsia" w:eastAsia="仿宋_GB2312" w:cs="仿宋_GB2312"/>
          <w:sz w:val="32"/>
          <w:szCs w:val="32"/>
        </w:rPr>
        <w:t>（图7：财政拨款“三公”经费支出结构）</w:t>
      </w:r>
    </w:p>
    <w:p w14:paraId="21B408F1">
      <w:pPr>
        <w:numPr>
          <w:ilvl w:val="0"/>
          <w:numId w:val="3"/>
        </w:numPr>
        <w:spacing w:line="600" w:lineRule="exact"/>
        <w:ind w:firstLine="640"/>
        <w:rPr>
          <w:rFonts w:hint="eastAsia" w:eastAsia="仿宋_GB2312" w:cs="仿宋_GB2312"/>
          <w:sz w:val="32"/>
          <w:szCs w:val="32"/>
          <w:lang w:eastAsia="zh-CN"/>
        </w:rPr>
      </w:pPr>
      <w:r>
        <w:rPr>
          <w:rFonts w:hint="eastAsia" w:eastAsia="仿宋_GB2312" w:cs="仿宋_GB2312"/>
          <w:b/>
          <w:bCs/>
          <w:sz w:val="32"/>
          <w:szCs w:val="32"/>
        </w:rPr>
        <w:t>因公出国（境）经费支出</w:t>
      </w:r>
      <w:r>
        <w:rPr>
          <w:rFonts w:hint="eastAsia" w:eastAsia="仿宋_GB2312" w:cs="仿宋_GB2312"/>
          <w:b/>
          <w:bCs/>
          <w:sz w:val="32"/>
          <w:szCs w:val="32"/>
          <w:lang w:val="en-US" w:eastAsia="zh-CN"/>
        </w:rPr>
        <w:t>0</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全年安排因公出国（境）团组</w:t>
      </w:r>
      <w:r>
        <w:rPr>
          <w:rFonts w:hint="eastAsia" w:eastAsia="仿宋_GB2312" w:cs="仿宋_GB2312"/>
          <w:sz w:val="32"/>
          <w:szCs w:val="32"/>
          <w:lang w:val="en-US" w:eastAsia="zh-CN"/>
        </w:rPr>
        <w:t>0</w:t>
      </w:r>
      <w:r>
        <w:rPr>
          <w:rFonts w:hint="eastAsia" w:eastAsia="仿宋_GB2312" w:cs="仿宋_GB2312"/>
          <w:sz w:val="32"/>
          <w:szCs w:val="32"/>
        </w:rPr>
        <w:t>次，出国（境）</w:t>
      </w:r>
      <w:r>
        <w:rPr>
          <w:rFonts w:hint="eastAsia" w:eastAsia="仿宋_GB2312" w:cs="仿宋_GB2312"/>
          <w:sz w:val="32"/>
          <w:szCs w:val="32"/>
          <w:lang w:val="en-US" w:eastAsia="zh-CN"/>
        </w:rPr>
        <w:t>0</w:t>
      </w:r>
      <w:r>
        <w:rPr>
          <w:rFonts w:hint="eastAsia" w:eastAsia="仿宋_GB2312" w:cs="仿宋_GB2312"/>
          <w:sz w:val="32"/>
          <w:szCs w:val="32"/>
        </w:rPr>
        <w:t>人。主要原因是</w:t>
      </w:r>
      <w:r>
        <w:rPr>
          <w:rFonts w:hint="eastAsia" w:eastAsia="仿宋_GB2312" w:cs="仿宋_GB2312"/>
          <w:sz w:val="32"/>
          <w:szCs w:val="32"/>
          <w:lang w:eastAsia="zh-CN"/>
        </w:rPr>
        <w:t>无出国出境支出。</w:t>
      </w:r>
    </w:p>
    <w:p w14:paraId="2E5EE226">
      <w:pPr>
        <w:spacing w:line="600" w:lineRule="exact"/>
        <w:ind w:firstLine="640"/>
        <w:rPr>
          <w:rFonts w:hint="eastAsia" w:eastAsia="仿宋_GB2312" w:cs="仿宋_GB2312"/>
          <w:sz w:val="32"/>
          <w:szCs w:val="32"/>
          <w:lang w:eastAsia="zh-CN"/>
        </w:rPr>
      </w:pPr>
      <w:r>
        <w:rPr>
          <w:rFonts w:hint="eastAsia" w:eastAsia="仿宋_GB2312" w:cs="仿宋_GB2312"/>
          <w:b/>
          <w:bCs/>
          <w:sz w:val="32"/>
          <w:szCs w:val="32"/>
        </w:rPr>
        <w:t>公务用车购置及运行维护费支出</w:t>
      </w:r>
      <w:r>
        <w:rPr>
          <w:rFonts w:hint="eastAsia" w:eastAsia="仿宋_GB2312" w:cs="仿宋_GB2312"/>
          <w:b/>
          <w:bCs/>
          <w:sz w:val="32"/>
          <w:szCs w:val="32"/>
          <w:lang w:val="en-US" w:eastAsia="zh-CN"/>
        </w:rPr>
        <w:t>24.32</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公务用车购置及运行维护费支出决算比上年度减少</w:t>
      </w:r>
      <w:r>
        <w:rPr>
          <w:rFonts w:hint="eastAsia" w:eastAsia="仿宋_GB2312" w:cs="仿宋_GB2312"/>
          <w:sz w:val="32"/>
          <w:szCs w:val="32"/>
          <w:lang w:val="en-US" w:eastAsia="zh-CN"/>
        </w:rPr>
        <w:t>1.2</w:t>
      </w:r>
      <w:r>
        <w:rPr>
          <w:rFonts w:hint="eastAsia" w:eastAsia="仿宋_GB2312" w:cs="仿宋_GB2312"/>
          <w:sz w:val="32"/>
          <w:szCs w:val="32"/>
        </w:rPr>
        <w:t>万元，下降</w:t>
      </w:r>
      <w:r>
        <w:rPr>
          <w:rFonts w:hint="eastAsia" w:eastAsia="仿宋_GB2312" w:cs="仿宋_GB2312"/>
          <w:sz w:val="32"/>
          <w:szCs w:val="32"/>
          <w:lang w:val="en-US" w:eastAsia="zh-CN"/>
        </w:rPr>
        <w:t>4.9</w:t>
      </w:r>
      <w:r>
        <w:rPr>
          <w:rFonts w:hint="eastAsia" w:eastAsia="仿宋_GB2312" w:cs="仿宋_GB2312"/>
          <w:sz w:val="32"/>
          <w:szCs w:val="32"/>
        </w:rPr>
        <w:t>%。主要原因是</w:t>
      </w:r>
      <w:r>
        <w:rPr>
          <w:rFonts w:hint="eastAsia" w:eastAsia="仿宋_GB2312" w:cs="仿宋_GB2312"/>
          <w:sz w:val="32"/>
          <w:szCs w:val="32"/>
          <w:lang w:eastAsia="zh-CN"/>
        </w:rPr>
        <w:t>财政减少公车运行维护费支出。</w:t>
      </w:r>
    </w:p>
    <w:p w14:paraId="06B68568">
      <w:pPr>
        <w:spacing w:line="600" w:lineRule="exact"/>
        <w:rPr>
          <w:rFonts w:eastAsia="仿宋_GB2312" w:cs="仿宋_GB2312"/>
          <w:sz w:val="32"/>
          <w:szCs w:val="32"/>
        </w:rPr>
      </w:pPr>
      <w:r>
        <w:rPr>
          <w:rFonts w:hint="eastAsia" w:eastAsia="仿宋_GB2312" w:cs="仿宋_GB2312"/>
          <w:sz w:val="32"/>
          <w:szCs w:val="32"/>
        </w:rPr>
        <w:t>其中：公务用车购置支出</w:t>
      </w:r>
      <w:r>
        <w:rPr>
          <w:rFonts w:hint="eastAsia" w:eastAsia="仿宋_GB2312" w:cs="仿宋_GB2312"/>
          <w:sz w:val="32"/>
          <w:szCs w:val="32"/>
          <w:lang w:val="en-US" w:eastAsia="zh-CN"/>
        </w:rPr>
        <w:t>0</w:t>
      </w:r>
      <w:r>
        <w:rPr>
          <w:rFonts w:hint="eastAsia" w:eastAsia="仿宋_GB2312" w:cs="仿宋_GB2312"/>
          <w:sz w:val="32"/>
          <w:szCs w:val="32"/>
        </w:rPr>
        <w:t>万元。全年按规定更新购置公务用车</w:t>
      </w:r>
      <w:r>
        <w:rPr>
          <w:rFonts w:hint="eastAsia" w:eastAsia="仿宋_GB2312" w:cs="仿宋_GB2312"/>
          <w:sz w:val="32"/>
          <w:szCs w:val="32"/>
          <w:lang w:val="en-US" w:eastAsia="zh-CN"/>
        </w:rPr>
        <w:t>0</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万元，越野车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万元，载客汽车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万元。截至2025年12月31日，单位共有公务用车</w:t>
      </w:r>
      <w:r>
        <w:rPr>
          <w:rFonts w:hint="eastAsia" w:eastAsia="仿宋_GB2312" w:cs="仿宋_GB2312"/>
          <w:sz w:val="32"/>
          <w:szCs w:val="32"/>
          <w:lang w:val="en-US" w:eastAsia="zh-CN"/>
        </w:rPr>
        <w:t>9</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辆、越野车</w:t>
      </w:r>
      <w:r>
        <w:rPr>
          <w:rFonts w:hint="eastAsia" w:eastAsia="仿宋_GB2312" w:cs="仿宋_GB2312"/>
          <w:sz w:val="32"/>
          <w:szCs w:val="32"/>
          <w:lang w:val="en-US" w:eastAsia="zh-CN"/>
        </w:rPr>
        <w:t>9</w:t>
      </w:r>
      <w:r>
        <w:rPr>
          <w:rFonts w:hint="eastAsia" w:eastAsia="仿宋_GB2312" w:cs="仿宋_GB2312"/>
          <w:sz w:val="32"/>
          <w:szCs w:val="32"/>
        </w:rPr>
        <w:t>辆、载客汽车</w:t>
      </w:r>
      <w:r>
        <w:rPr>
          <w:rFonts w:hint="eastAsia" w:eastAsia="仿宋_GB2312" w:cs="仿宋_GB2312"/>
          <w:sz w:val="32"/>
          <w:szCs w:val="32"/>
          <w:lang w:val="en-US" w:eastAsia="zh-CN"/>
        </w:rPr>
        <w:t>0</w:t>
      </w:r>
      <w:r>
        <w:rPr>
          <w:rFonts w:hint="eastAsia" w:eastAsia="仿宋_GB2312" w:cs="仿宋_GB2312"/>
          <w:sz w:val="32"/>
          <w:szCs w:val="32"/>
        </w:rPr>
        <w:t>辆。</w:t>
      </w:r>
    </w:p>
    <w:p w14:paraId="25306EAA">
      <w:pPr>
        <w:spacing w:line="600" w:lineRule="exact"/>
        <w:ind w:firstLine="640"/>
        <w:rPr>
          <w:rFonts w:eastAsia="仿宋_GB2312" w:cs="仿宋_GB2312"/>
          <w:sz w:val="32"/>
          <w:szCs w:val="32"/>
        </w:rPr>
      </w:pPr>
      <w:r>
        <w:rPr>
          <w:rFonts w:hint="eastAsia" w:eastAsia="仿宋_GB2312" w:cs="仿宋_GB2312"/>
          <w:sz w:val="32"/>
          <w:szCs w:val="32"/>
        </w:rPr>
        <w:t>公务用车运行维护费支</w:t>
      </w:r>
      <w:r>
        <w:rPr>
          <w:rFonts w:hint="eastAsia" w:ascii="仿宋_GB2312" w:hAnsi="仿宋_GB2312" w:eastAsia="仿宋_GB2312" w:cs="仿宋_GB2312"/>
          <w:sz w:val="32"/>
          <w:szCs w:val="32"/>
        </w:rPr>
        <w:t>出</w:t>
      </w:r>
      <w:r>
        <w:rPr>
          <w:rFonts w:hint="eastAsia" w:ascii="仿宋_GB2312" w:hAnsi="仿宋_GB2312" w:eastAsia="仿宋_GB2312" w:cs="仿宋_GB2312"/>
          <w:sz w:val="32"/>
          <w:szCs w:val="32"/>
          <w:lang w:val="en-US" w:eastAsia="zh-CN"/>
        </w:rPr>
        <w:t>24.32</w:t>
      </w:r>
      <w:r>
        <w:rPr>
          <w:rFonts w:hint="eastAsia" w:eastAsia="仿宋_GB2312" w:cs="仿宋_GB2312"/>
          <w:sz w:val="32"/>
          <w:szCs w:val="32"/>
        </w:rPr>
        <w:t>万元。</w:t>
      </w:r>
      <w:r>
        <w:rPr>
          <w:rFonts w:hint="eastAsia" w:eastAsia="仿宋_GB2312" w:cs="仿宋_GB2312"/>
          <w:sz w:val="32"/>
          <w:szCs w:val="32"/>
          <w:lang w:eastAsia="zh-CN"/>
        </w:rPr>
        <w:t>主要用于</w:t>
      </w:r>
      <w:r>
        <w:rPr>
          <w:rFonts w:hint="eastAsia" w:ascii="仿宋_GB2312" w:eastAsia="仿宋_GB2312"/>
          <w:color w:val="auto"/>
          <w:sz w:val="32"/>
          <w:szCs w:val="32"/>
          <w:highlight w:val="none"/>
          <w:lang w:val="en-US" w:eastAsia="zh-CN"/>
        </w:rPr>
        <w:t>日常土地、矿产资源利用巡查监管、地灾防治、国土空间规划管理</w:t>
      </w:r>
      <w:r>
        <w:rPr>
          <w:rFonts w:hint="eastAsia" w:ascii="仿宋_GB2312" w:eastAsia="仿宋_GB2312"/>
          <w:sz w:val="32"/>
          <w:szCs w:val="32"/>
        </w:rPr>
        <w:t>等</w:t>
      </w:r>
      <w:r>
        <w:rPr>
          <w:rFonts w:hint="eastAsia" w:eastAsia="仿宋_GB2312" w:cs="仿宋_GB2312"/>
          <w:sz w:val="32"/>
          <w:szCs w:val="32"/>
        </w:rPr>
        <w:t>所需的公务用车燃料费、维修费、过路过桥费、保险费等支出。</w:t>
      </w:r>
    </w:p>
    <w:p w14:paraId="6B5A670C">
      <w:pPr>
        <w:spacing w:line="600" w:lineRule="exact"/>
        <w:ind w:firstLine="640"/>
        <w:rPr>
          <w:rFonts w:eastAsia="仿宋_GB2312" w:cs="仿宋_GB2312"/>
          <w:sz w:val="32"/>
          <w:szCs w:val="32"/>
        </w:rPr>
      </w:pPr>
      <w:r>
        <w:rPr>
          <w:rFonts w:hint="eastAsia" w:eastAsia="仿宋_GB2312" w:cs="仿宋_GB2312"/>
          <w:b/>
          <w:bCs/>
          <w:sz w:val="32"/>
          <w:szCs w:val="32"/>
        </w:rPr>
        <w:t>3.公务接待费支出</w:t>
      </w:r>
      <w:r>
        <w:rPr>
          <w:rFonts w:hint="eastAsia" w:eastAsia="仿宋_GB2312" w:cs="仿宋_GB2312"/>
          <w:b/>
          <w:bCs/>
          <w:sz w:val="32"/>
          <w:szCs w:val="32"/>
          <w:lang w:val="en-US" w:eastAsia="zh-CN"/>
        </w:rPr>
        <w:t>0.6</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公务接待费支出决算比上年度减少</w:t>
      </w:r>
      <w:r>
        <w:rPr>
          <w:rFonts w:hint="eastAsia" w:eastAsia="仿宋_GB2312" w:cs="仿宋_GB2312"/>
          <w:sz w:val="32"/>
          <w:szCs w:val="32"/>
          <w:lang w:val="en-US" w:eastAsia="zh-CN"/>
        </w:rPr>
        <w:t>0.54</w:t>
      </w:r>
      <w:r>
        <w:rPr>
          <w:rFonts w:hint="eastAsia" w:eastAsia="仿宋_GB2312" w:cs="仿宋_GB2312"/>
          <w:sz w:val="32"/>
          <w:szCs w:val="32"/>
        </w:rPr>
        <w:t>万元，下降</w:t>
      </w:r>
      <w:r>
        <w:rPr>
          <w:rFonts w:hint="eastAsia" w:eastAsia="仿宋_GB2312" w:cs="仿宋_GB2312"/>
          <w:sz w:val="32"/>
          <w:szCs w:val="32"/>
          <w:lang w:val="en-US" w:eastAsia="zh-CN"/>
        </w:rPr>
        <w:t>90</w:t>
      </w:r>
      <w:r>
        <w:rPr>
          <w:rFonts w:hint="eastAsia" w:eastAsia="仿宋_GB2312" w:cs="仿宋_GB2312"/>
          <w:sz w:val="32"/>
          <w:szCs w:val="32"/>
        </w:rPr>
        <w:t>%。主要原因是</w:t>
      </w:r>
      <w:r>
        <w:rPr>
          <w:rFonts w:hint="eastAsia" w:eastAsia="仿宋_GB2312" w:cs="仿宋_GB2312"/>
          <w:sz w:val="32"/>
          <w:szCs w:val="32"/>
          <w:lang w:val="en-US" w:eastAsia="zh-CN"/>
        </w:rPr>
        <w:t>2024年支付2023年度公务接待费</w:t>
      </w:r>
      <w:r>
        <w:rPr>
          <w:rFonts w:hint="eastAsia" w:eastAsia="仿宋_GB2312" w:cs="仿宋_GB2312"/>
          <w:sz w:val="32"/>
          <w:szCs w:val="32"/>
        </w:rPr>
        <w:t>。其中：</w:t>
      </w:r>
    </w:p>
    <w:p w14:paraId="3951A262">
      <w:pPr>
        <w:spacing w:line="600" w:lineRule="exact"/>
        <w:ind w:firstLine="640"/>
        <w:rPr>
          <w:rFonts w:hint="default" w:eastAsia="仿宋_GB2312" w:cs="仿宋_GB2312"/>
          <w:sz w:val="32"/>
          <w:szCs w:val="32"/>
          <w:lang w:val="en-US"/>
        </w:rPr>
      </w:pPr>
      <w:r>
        <w:rPr>
          <w:rFonts w:hint="eastAsia" w:eastAsia="仿宋_GB2312" w:cs="仿宋_GB2312"/>
          <w:sz w:val="32"/>
          <w:szCs w:val="32"/>
        </w:rPr>
        <w:t>国内公务接待支出</w:t>
      </w:r>
      <w:r>
        <w:rPr>
          <w:rFonts w:hint="eastAsia" w:eastAsia="仿宋_GB2312" w:cs="仿宋_GB2312"/>
          <w:sz w:val="32"/>
          <w:szCs w:val="32"/>
          <w:lang w:val="en-US" w:eastAsia="zh-CN"/>
        </w:rPr>
        <w:t>0.6</w:t>
      </w:r>
      <w:r>
        <w:rPr>
          <w:rFonts w:hint="eastAsia" w:eastAsia="仿宋_GB2312" w:cs="仿宋_GB2312"/>
          <w:sz w:val="32"/>
          <w:szCs w:val="32"/>
        </w:rPr>
        <w:t>万元，主要用于</w:t>
      </w:r>
      <w:r>
        <w:rPr>
          <w:rFonts w:hint="eastAsia" w:eastAsia="仿宋_GB2312" w:cs="仿宋_GB2312"/>
          <w:sz w:val="32"/>
          <w:szCs w:val="32"/>
          <w:lang w:eastAsia="zh-CN"/>
        </w:rPr>
        <w:t>主要用于</w:t>
      </w:r>
      <w:r>
        <w:rPr>
          <w:rFonts w:hint="eastAsia" w:ascii="仿宋_GB2312" w:eastAsia="仿宋_GB2312"/>
          <w:color w:val="auto"/>
          <w:sz w:val="32"/>
          <w:szCs w:val="32"/>
          <w:highlight w:val="none"/>
          <w:lang w:val="en-US" w:eastAsia="zh-CN"/>
        </w:rPr>
        <w:t>土地整理、地质灾害防治、卫片执法、打击私挖盗采、督查工作等工作</w:t>
      </w:r>
      <w:r>
        <w:rPr>
          <w:rFonts w:hint="eastAsia" w:eastAsia="仿宋_GB2312" w:cs="仿宋_GB2312"/>
          <w:sz w:val="32"/>
          <w:szCs w:val="32"/>
        </w:rPr>
        <w:t>（执行公务、开展业务活动开支的交通费、住宿费、用餐费等）。国内公务接待</w:t>
      </w:r>
      <w:r>
        <w:rPr>
          <w:rFonts w:hint="eastAsia" w:eastAsia="仿宋_GB2312" w:cs="仿宋_GB2312"/>
          <w:sz w:val="32"/>
          <w:szCs w:val="32"/>
          <w:lang w:val="en-US" w:eastAsia="zh-CN"/>
        </w:rPr>
        <w:t>8</w:t>
      </w:r>
      <w:r>
        <w:rPr>
          <w:rFonts w:hint="eastAsia" w:eastAsia="仿宋_GB2312" w:cs="仿宋_GB2312"/>
          <w:sz w:val="32"/>
          <w:szCs w:val="32"/>
        </w:rPr>
        <w:t>批次，</w:t>
      </w:r>
      <w:r>
        <w:rPr>
          <w:rFonts w:hint="eastAsia" w:eastAsia="仿宋_GB2312" w:cs="仿宋_GB2312"/>
          <w:sz w:val="32"/>
          <w:szCs w:val="32"/>
          <w:lang w:val="en-US" w:eastAsia="zh-CN"/>
        </w:rPr>
        <w:t>68</w:t>
      </w:r>
      <w:r>
        <w:rPr>
          <w:rFonts w:hint="eastAsia" w:eastAsia="仿宋_GB2312" w:cs="仿宋_GB2312"/>
          <w:sz w:val="32"/>
          <w:szCs w:val="32"/>
        </w:rPr>
        <w:t>人次（不包括陪同人员），共计支出</w:t>
      </w:r>
      <w:r>
        <w:rPr>
          <w:rFonts w:hint="eastAsia" w:eastAsia="仿宋_GB2312" w:cs="仿宋_GB2312"/>
          <w:sz w:val="32"/>
          <w:szCs w:val="32"/>
          <w:lang w:val="en-US" w:eastAsia="zh-CN"/>
        </w:rPr>
        <w:t>0.6</w:t>
      </w:r>
      <w:r>
        <w:rPr>
          <w:rFonts w:hint="eastAsia" w:eastAsia="仿宋_GB2312" w:cs="仿宋_GB2312"/>
          <w:sz w:val="32"/>
          <w:szCs w:val="32"/>
        </w:rPr>
        <w:t>万元，具体内容包括：省自然资源厅仁和区自然资源领域重点违法行为交叉检查接待10人，</w:t>
      </w:r>
      <w:r>
        <w:rPr>
          <w:rFonts w:hint="eastAsia" w:eastAsia="仿宋_GB2312" w:cs="仿宋_GB2312"/>
          <w:sz w:val="32"/>
          <w:szCs w:val="32"/>
          <w:lang w:val="en-US" w:eastAsia="zh-CN"/>
        </w:rPr>
        <w:t>0.11万元；巴中市自然资源局赴攀交流学习12人，0.07万元；省自然资源确权登记局关于协助开展保交房调研工作11人。0.09万元；市局年度规划实施管理监督检查9人，0.05万元；市政府督导检查防汛减灾、地灾防治工作7人，0.1万元；省厅土整中心调研仁和区耕地保护和田长制工作6人，0.04万元；成都督察局赴攀开展问题图斑现场核实4人，0.04万元；省自然资源厅开展自然资源督察工作9人，0.1万元。</w:t>
      </w:r>
    </w:p>
    <w:p w14:paraId="25A2859E">
      <w:pPr>
        <w:spacing w:line="600" w:lineRule="exact"/>
        <w:ind w:firstLine="640"/>
        <w:rPr>
          <w:rFonts w:eastAsia="仿宋_GB2312" w:cs="仿宋_GB2312"/>
          <w:sz w:val="32"/>
          <w:szCs w:val="32"/>
        </w:rPr>
      </w:pPr>
      <w:r>
        <w:rPr>
          <w:rFonts w:hint="eastAsia" w:eastAsia="仿宋_GB2312" w:cs="仿宋_GB2312"/>
          <w:sz w:val="32"/>
          <w:szCs w:val="32"/>
        </w:rPr>
        <w:t>外事接待支出</w:t>
      </w:r>
      <w:r>
        <w:rPr>
          <w:rFonts w:hint="eastAsia" w:eastAsia="仿宋_GB2312" w:cs="仿宋_GB2312"/>
          <w:sz w:val="32"/>
          <w:szCs w:val="32"/>
          <w:lang w:val="en-US" w:eastAsia="zh-CN"/>
        </w:rPr>
        <w:t>0</w:t>
      </w:r>
      <w:r>
        <w:rPr>
          <w:rFonts w:hint="eastAsia" w:eastAsia="仿宋_GB2312" w:cs="仿宋_GB2312"/>
          <w:sz w:val="32"/>
          <w:szCs w:val="32"/>
        </w:rPr>
        <w:t>万元，外事接待</w:t>
      </w:r>
      <w:r>
        <w:rPr>
          <w:rFonts w:hint="eastAsia" w:eastAsia="仿宋_GB2312" w:cs="仿宋_GB2312"/>
          <w:sz w:val="32"/>
          <w:szCs w:val="32"/>
          <w:lang w:val="en-US" w:eastAsia="zh-CN"/>
        </w:rPr>
        <w:t>0</w:t>
      </w:r>
      <w:r>
        <w:rPr>
          <w:rFonts w:hint="eastAsia" w:eastAsia="仿宋_GB2312" w:cs="仿宋_GB2312"/>
          <w:sz w:val="32"/>
          <w:szCs w:val="32"/>
        </w:rPr>
        <w:t>批次，</w:t>
      </w:r>
      <w:r>
        <w:rPr>
          <w:rFonts w:hint="eastAsia" w:eastAsia="仿宋_GB2312" w:cs="仿宋_GB2312"/>
          <w:sz w:val="32"/>
          <w:szCs w:val="32"/>
          <w:lang w:val="en-US" w:eastAsia="zh-CN"/>
        </w:rPr>
        <w:t>0</w:t>
      </w:r>
      <w:r>
        <w:rPr>
          <w:rFonts w:hint="eastAsia" w:eastAsia="仿宋_GB2312" w:cs="仿宋_GB2312"/>
          <w:sz w:val="32"/>
          <w:szCs w:val="32"/>
        </w:rPr>
        <w:t>人次（不包括陪同人员），共计支出</w:t>
      </w:r>
      <w:r>
        <w:rPr>
          <w:rFonts w:hint="eastAsia" w:eastAsia="仿宋_GB2312" w:cs="仿宋_GB2312"/>
          <w:sz w:val="32"/>
          <w:szCs w:val="32"/>
          <w:lang w:val="en-US" w:eastAsia="zh-CN"/>
        </w:rPr>
        <w:t>0</w:t>
      </w:r>
      <w:r>
        <w:rPr>
          <w:rFonts w:hint="eastAsia" w:eastAsia="仿宋_GB2312" w:cs="仿宋_GB2312"/>
          <w:sz w:val="32"/>
          <w:szCs w:val="32"/>
        </w:rPr>
        <w:t>万元。</w:t>
      </w:r>
    </w:p>
    <w:p w14:paraId="4F63E46C">
      <w:pPr>
        <w:spacing w:line="600" w:lineRule="exact"/>
        <w:ind w:firstLine="640"/>
        <w:rPr>
          <w:rFonts w:eastAsia="仿宋_GB2312" w:cs="仿宋_GB2312"/>
          <w:sz w:val="32"/>
          <w:szCs w:val="32"/>
        </w:rPr>
      </w:pPr>
      <w:bookmarkStart w:id="43" w:name="_Toc15377218"/>
      <w:bookmarkStart w:id="44" w:name="_Toc15396610"/>
    </w:p>
    <w:p w14:paraId="0A0F389F">
      <w:pPr>
        <w:spacing w:line="600" w:lineRule="exact"/>
        <w:ind w:firstLine="640"/>
        <w:outlineLvl w:val="1"/>
        <w:rPr>
          <w:rStyle w:val="29"/>
          <w:rFonts w:ascii="Times New Roman" w:hAnsi="Times New Roman" w:eastAsia="黑体"/>
        </w:rPr>
      </w:pPr>
      <w:r>
        <w:rPr>
          <w:rFonts w:hint="eastAsia" w:eastAsia="黑体"/>
          <w:sz w:val="32"/>
          <w:szCs w:val="32"/>
        </w:rPr>
        <w:t>八、</w:t>
      </w:r>
      <w:r>
        <w:rPr>
          <w:rStyle w:val="29"/>
          <w:rFonts w:hint="eastAsia" w:ascii="Times New Roman" w:hAnsi="Times New Roman" w:eastAsia="黑体"/>
          <w:b w:val="0"/>
        </w:rPr>
        <w:t>政府性基金预算支出决算情况说明</w:t>
      </w:r>
      <w:bookmarkEnd w:id="43"/>
      <w:bookmarkEnd w:id="44"/>
    </w:p>
    <w:p w14:paraId="1CA1EC14">
      <w:pPr>
        <w:spacing w:line="600" w:lineRule="exact"/>
        <w:ind w:firstLine="640"/>
        <w:rPr>
          <w:rFonts w:eastAsia="仿宋_GB2312" w:cs="仿宋_GB2312"/>
          <w:sz w:val="32"/>
          <w:szCs w:val="32"/>
        </w:rPr>
      </w:pPr>
      <w:r>
        <w:rPr>
          <w:rFonts w:hint="eastAsia" w:eastAsia="仿宋_GB2312" w:cs="仿宋_GB2312"/>
          <w:sz w:val="32"/>
          <w:szCs w:val="32"/>
        </w:rPr>
        <w:t>2025年度政府性基金预算财政拨款支出</w:t>
      </w:r>
      <w:r>
        <w:rPr>
          <w:rFonts w:hint="eastAsia" w:eastAsia="仿宋_GB2312" w:cs="仿宋_GB2312"/>
          <w:sz w:val="32"/>
          <w:szCs w:val="32"/>
          <w:lang w:val="en-US" w:eastAsia="zh-CN"/>
        </w:rPr>
        <w:t>0</w:t>
      </w:r>
      <w:r>
        <w:rPr>
          <w:rFonts w:hint="eastAsia" w:eastAsia="仿宋_GB2312" w:cs="仿宋_GB2312"/>
          <w:sz w:val="32"/>
          <w:szCs w:val="32"/>
        </w:rPr>
        <w:t>万元，占本年支出合计的</w:t>
      </w:r>
      <w:r>
        <w:rPr>
          <w:rFonts w:hint="eastAsia" w:eastAsia="仿宋_GB2312" w:cs="仿宋_GB2312"/>
          <w:sz w:val="32"/>
          <w:szCs w:val="32"/>
          <w:lang w:val="en-US" w:eastAsia="zh-CN"/>
        </w:rPr>
        <w:t>0</w:t>
      </w:r>
      <w:r>
        <w:rPr>
          <w:rFonts w:hint="eastAsia" w:eastAsia="仿宋_GB2312" w:cs="仿宋_GB2312"/>
          <w:sz w:val="32"/>
          <w:szCs w:val="32"/>
        </w:rPr>
        <w:t>%。与上年度相比，政府性基金预算财政拨款支出减少</w:t>
      </w:r>
      <w:r>
        <w:rPr>
          <w:rFonts w:hint="eastAsia" w:eastAsia="仿宋_GB2312" w:cs="仿宋_GB2312"/>
          <w:sz w:val="32"/>
          <w:szCs w:val="32"/>
          <w:lang w:val="en-US" w:eastAsia="zh-CN"/>
        </w:rPr>
        <w:t>143.56</w:t>
      </w:r>
      <w:r>
        <w:rPr>
          <w:rFonts w:hint="eastAsia" w:eastAsia="仿宋_GB2312" w:cs="仿宋_GB2312"/>
          <w:sz w:val="32"/>
          <w:szCs w:val="32"/>
        </w:rPr>
        <w:t>万元，下降</w:t>
      </w:r>
      <w:r>
        <w:rPr>
          <w:rFonts w:hint="eastAsia" w:eastAsia="仿宋_GB2312" w:cs="仿宋_GB2312"/>
          <w:sz w:val="32"/>
          <w:szCs w:val="32"/>
          <w:lang w:val="en-US" w:eastAsia="zh-CN"/>
        </w:rPr>
        <w:t>100</w:t>
      </w:r>
      <w:r>
        <w:rPr>
          <w:rFonts w:hint="eastAsia" w:eastAsia="仿宋_GB2312" w:cs="仿宋_GB2312"/>
          <w:sz w:val="32"/>
          <w:szCs w:val="32"/>
        </w:rPr>
        <w:t>%。主要变动原因是</w:t>
      </w:r>
      <w:r>
        <w:rPr>
          <w:rFonts w:hint="eastAsia" w:eastAsia="仿宋_GB2312" w:cs="仿宋_GB2312"/>
          <w:sz w:val="32"/>
          <w:szCs w:val="32"/>
          <w:lang w:eastAsia="zh-CN"/>
        </w:rPr>
        <w:t>财政未下达政府性基金预算。</w:t>
      </w:r>
    </w:p>
    <w:p w14:paraId="36CFE378">
      <w:pPr>
        <w:spacing w:line="600" w:lineRule="exact"/>
        <w:ind w:left="630"/>
        <w:outlineLvl w:val="1"/>
        <w:rPr>
          <w:rStyle w:val="29"/>
          <w:rFonts w:ascii="Times New Roman" w:hAnsi="Times New Roman" w:eastAsia="黑体"/>
          <w:b w:val="0"/>
        </w:rPr>
      </w:pPr>
      <w:bookmarkStart w:id="45" w:name="_Toc15396611"/>
      <w:bookmarkStart w:id="46" w:name="_Toc15377219"/>
      <w:r>
        <w:rPr>
          <w:rStyle w:val="29"/>
          <w:rFonts w:hint="eastAsia" w:ascii="Times New Roman" w:hAnsi="Times New Roman" w:eastAsia="黑体"/>
          <w:b w:val="0"/>
        </w:rPr>
        <w:t>九、国有资本经营预算支出决算情况说明</w:t>
      </w:r>
      <w:bookmarkEnd w:id="45"/>
      <w:bookmarkEnd w:id="46"/>
    </w:p>
    <w:p w14:paraId="610B83FF">
      <w:pPr>
        <w:spacing w:line="600" w:lineRule="exact"/>
        <w:ind w:firstLine="640"/>
        <w:rPr>
          <w:rFonts w:eastAsia="仿宋_GB2312" w:cs="仿宋_GB2312"/>
          <w:sz w:val="32"/>
          <w:szCs w:val="32"/>
        </w:rPr>
      </w:pPr>
      <w:r>
        <w:rPr>
          <w:rFonts w:hint="eastAsia" w:eastAsia="仿宋_GB2312" w:cs="仿宋_GB2312"/>
          <w:sz w:val="32"/>
          <w:szCs w:val="32"/>
        </w:rPr>
        <w:t>2025年度国有资本经营预算财政拨款支出</w:t>
      </w:r>
      <w:r>
        <w:rPr>
          <w:rFonts w:hint="eastAsia" w:eastAsia="仿宋_GB2312" w:cs="仿宋_GB2312"/>
          <w:sz w:val="32"/>
          <w:szCs w:val="32"/>
          <w:lang w:val="en-US" w:eastAsia="zh-CN"/>
        </w:rPr>
        <w:t>0</w:t>
      </w:r>
      <w:r>
        <w:rPr>
          <w:rFonts w:hint="eastAsia" w:eastAsia="仿宋_GB2312" w:cs="仿宋_GB2312"/>
          <w:sz w:val="32"/>
          <w:szCs w:val="32"/>
        </w:rPr>
        <w:t>万元，占本年支出合计的</w:t>
      </w:r>
      <w:r>
        <w:rPr>
          <w:rFonts w:hint="eastAsia" w:eastAsia="仿宋_GB2312" w:cs="仿宋_GB2312"/>
          <w:sz w:val="32"/>
          <w:szCs w:val="32"/>
          <w:lang w:val="en-US" w:eastAsia="zh-CN"/>
        </w:rPr>
        <w:t>0</w:t>
      </w:r>
      <w:r>
        <w:rPr>
          <w:rFonts w:hint="eastAsia" w:eastAsia="仿宋_GB2312" w:cs="仿宋_GB2312"/>
          <w:sz w:val="32"/>
          <w:szCs w:val="32"/>
        </w:rPr>
        <w:t>%。</w:t>
      </w:r>
    </w:p>
    <w:p w14:paraId="18F925BB">
      <w:pPr>
        <w:spacing w:line="600" w:lineRule="exact"/>
        <w:ind w:left="630"/>
        <w:outlineLvl w:val="1"/>
        <w:rPr>
          <w:rStyle w:val="29"/>
          <w:rFonts w:ascii="Times New Roman" w:hAnsi="Times New Roman" w:eastAsia="黑体"/>
          <w:b w:val="0"/>
        </w:rPr>
      </w:pPr>
      <w:bookmarkStart w:id="47" w:name="_Toc15377221"/>
      <w:bookmarkStart w:id="48" w:name="_Toc15396612"/>
      <w:r>
        <w:rPr>
          <w:rStyle w:val="29"/>
          <w:rFonts w:hint="eastAsia" w:ascii="Times New Roman" w:hAnsi="Times New Roman" w:eastAsia="黑体"/>
          <w:b w:val="0"/>
        </w:rPr>
        <w:t>十、其他重要事项的情况说明</w:t>
      </w:r>
      <w:bookmarkEnd w:id="47"/>
      <w:bookmarkEnd w:id="48"/>
    </w:p>
    <w:p w14:paraId="3D76620E">
      <w:pPr>
        <w:spacing w:line="600" w:lineRule="exact"/>
        <w:ind w:firstLine="643" w:firstLineChars="200"/>
        <w:outlineLvl w:val="2"/>
        <w:rPr>
          <w:rFonts w:eastAsia="楷体_GB2312" w:cs="楷体_GB2312"/>
          <w:b/>
          <w:sz w:val="32"/>
          <w:szCs w:val="32"/>
        </w:rPr>
      </w:pPr>
      <w:bookmarkStart w:id="49" w:name="_Toc15377222"/>
      <w:r>
        <w:rPr>
          <w:rFonts w:hint="eastAsia" w:eastAsia="楷体_GB2312" w:cs="楷体_GB2312"/>
          <w:b/>
          <w:sz w:val="32"/>
          <w:szCs w:val="32"/>
        </w:rPr>
        <w:t>（一）机关运行经费支出情况</w:t>
      </w:r>
      <w:bookmarkEnd w:id="49"/>
    </w:p>
    <w:p w14:paraId="7B8E15CA">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攀枝花市自然资源和规划局仁</w:t>
      </w:r>
      <w:r>
        <w:rPr>
          <w:rFonts w:hint="eastAsia" w:ascii="仿宋_GB2312" w:hAnsi="仿宋_GB2312" w:eastAsia="仿宋_GB2312" w:cs="仿宋_GB2312"/>
          <w:sz w:val="32"/>
          <w:szCs w:val="32"/>
          <w:lang w:val="en-US" w:eastAsia="zh-CN"/>
        </w:rPr>
        <w:t>和区</w:t>
      </w:r>
      <w:r>
        <w:rPr>
          <w:rFonts w:hint="eastAsia" w:ascii="仿宋_GB2312" w:hAnsi="仿宋_GB2312" w:eastAsia="仿宋_GB2312" w:cs="仿宋_GB2312"/>
          <w:sz w:val="32"/>
          <w:szCs w:val="32"/>
        </w:rPr>
        <w:t>分局</w:t>
      </w:r>
      <w:r>
        <w:rPr>
          <w:rFonts w:hint="eastAsia" w:eastAsia="仿宋_GB2312" w:cs="仿宋_GB2312"/>
          <w:sz w:val="32"/>
          <w:szCs w:val="32"/>
        </w:rPr>
        <w:t>机关运行经费支出</w:t>
      </w:r>
      <w:r>
        <w:rPr>
          <w:rFonts w:hint="eastAsia" w:eastAsia="仿宋_GB2312" w:cs="仿宋_GB2312"/>
          <w:sz w:val="32"/>
          <w:szCs w:val="32"/>
          <w:lang w:val="en-US" w:eastAsia="zh-CN"/>
        </w:rPr>
        <w:t>74.25</w:t>
      </w:r>
      <w:r>
        <w:rPr>
          <w:rFonts w:hint="eastAsia" w:eastAsia="仿宋_GB2312" w:cs="仿宋_GB2312"/>
          <w:sz w:val="32"/>
          <w:szCs w:val="32"/>
        </w:rPr>
        <w:t>万元，比上年度增加</w:t>
      </w:r>
      <w:r>
        <w:rPr>
          <w:rFonts w:hint="eastAsia" w:eastAsia="仿宋_GB2312" w:cs="仿宋_GB2312"/>
          <w:sz w:val="32"/>
          <w:szCs w:val="32"/>
          <w:lang w:val="en-US" w:eastAsia="zh-CN"/>
        </w:rPr>
        <w:t>3.56</w:t>
      </w:r>
      <w:r>
        <w:rPr>
          <w:rFonts w:hint="eastAsia" w:eastAsia="仿宋_GB2312" w:cs="仿宋_GB2312"/>
          <w:sz w:val="32"/>
          <w:szCs w:val="32"/>
        </w:rPr>
        <w:t>万元，增长</w:t>
      </w:r>
      <w:r>
        <w:rPr>
          <w:rFonts w:hint="eastAsia" w:eastAsia="仿宋_GB2312" w:cs="仿宋_GB2312"/>
          <w:sz w:val="32"/>
          <w:szCs w:val="32"/>
          <w:lang w:val="en-US" w:eastAsia="zh-CN"/>
        </w:rPr>
        <w:t>4.8</w:t>
      </w:r>
      <w:r>
        <w:rPr>
          <w:rFonts w:hint="eastAsia" w:eastAsia="仿宋_GB2312" w:cs="仿宋_GB2312"/>
          <w:sz w:val="32"/>
          <w:szCs w:val="32"/>
        </w:rPr>
        <w:t>%。主要原因是</w:t>
      </w:r>
      <w:r>
        <w:rPr>
          <w:rFonts w:hint="eastAsia" w:eastAsia="仿宋_GB2312" w:cs="仿宋_GB2312"/>
          <w:sz w:val="32"/>
          <w:szCs w:val="32"/>
          <w:lang w:eastAsia="zh-CN"/>
        </w:rPr>
        <w:t>财政支付</w:t>
      </w:r>
      <w:r>
        <w:rPr>
          <w:rFonts w:hint="eastAsia" w:eastAsia="仿宋_GB2312" w:cs="仿宋_GB2312"/>
          <w:sz w:val="32"/>
          <w:szCs w:val="32"/>
          <w:lang w:val="en-US" w:eastAsia="zh-CN"/>
        </w:rPr>
        <w:t>2024年未支付的办公经费。</w:t>
      </w:r>
    </w:p>
    <w:p w14:paraId="6B71323F">
      <w:pPr>
        <w:spacing w:line="600" w:lineRule="exact"/>
        <w:ind w:firstLine="643" w:firstLineChars="200"/>
        <w:outlineLvl w:val="2"/>
        <w:rPr>
          <w:rFonts w:eastAsia="楷体_GB2312" w:cs="楷体_GB2312"/>
          <w:b/>
          <w:sz w:val="32"/>
          <w:szCs w:val="32"/>
        </w:rPr>
      </w:pPr>
      <w:bookmarkStart w:id="50" w:name="_Toc15377223"/>
      <w:r>
        <w:rPr>
          <w:rFonts w:hint="eastAsia" w:eastAsia="楷体_GB2312" w:cs="楷体_GB2312"/>
          <w:b/>
          <w:sz w:val="32"/>
          <w:szCs w:val="32"/>
        </w:rPr>
        <w:t>（二）政府采购支出情况</w:t>
      </w:r>
      <w:bookmarkEnd w:id="50"/>
    </w:p>
    <w:p w14:paraId="7E5D174E">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攀枝花市自然资源和规划局仁和</w:t>
      </w:r>
      <w:r>
        <w:rPr>
          <w:rFonts w:hint="eastAsia"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rPr>
        <w:t>分局</w:t>
      </w:r>
      <w:r>
        <w:rPr>
          <w:rFonts w:hint="eastAsia" w:eastAsia="仿宋_GB2312" w:cs="仿宋_GB2312"/>
          <w:sz w:val="32"/>
          <w:szCs w:val="32"/>
        </w:rPr>
        <w:t>政府采购支出总额</w:t>
      </w:r>
      <w:r>
        <w:rPr>
          <w:rFonts w:hint="eastAsia" w:eastAsia="仿宋_GB2312" w:cs="仿宋_GB2312"/>
          <w:sz w:val="32"/>
          <w:szCs w:val="32"/>
          <w:lang w:val="en-US" w:eastAsia="zh-CN"/>
        </w:rPr>
        <w:t>686.94</w:t>
      </w:r>
      <w:r>
        <w:rPr>
          <w:rFonts w:hint="eastAsia" w:eastAsia="仿宋_GB2312" w:cs="仿宋_GB2312"/>
          <w:sz w:val="32"/>
          <w:szCs w:val="32"/>
        </w:rPr>
        <w:t>万元，其中：政府采购货物支出</w:t>
      </w:r>
      <w:r>
        <w:rPr>
          <w:rFonts w:hint="eastAsia" w:eastAsia="仿宋_GB2312" w:cs="仿宋_GB2312"/>
          <w:sz w:val="32"/>
          <w:szCs w:val="32"/>
          <w:lang w:val="en-US" w:eastAsia="zh-CN"/>
        </w:rPr>
        <w:t>0.23</w:t>
      </w:r>
      <w:r>
        <w:rPr>
          <w:rFonts w:hint="eastAsia" w:eastAsia="仿宋_GB2312" w:cs="仿宋_GB2312"/>
          <w:sz w:val="32"/>
          <w:szCs w:val="32"/>
        </w:rPr>
        <w:t>万元、政府采购工程支出</w:t>
      </w:r>
      <w:r>
        <w:rPr>
          <w:rFonts w:hint="eastAsia" w:eastAsia="仿宋_GB2312" w:cs="仿宋_GB2312"/>
          <w:sz w:val="32"/>
          <w:szCs w:val="32"/>
          <w:lang w:val="en-US" w:eastAsia="zh-CN"/>
        </w:rPr>
        <w:t>130.91</w:t>
      </w:r>
      <w:r>
        <w:rPr>
          <w:rFonts w:hint="eastAsia" w:eastAsia="仿宋_GB2312" w:cs="仿宋_GB2312"/>
          <w:sz w:val="32"/>
          <w:szCs w:val="32"/>
        </w:rPr>
        <w:t>万元、政府采购服务支出</w:t>
      </w:r>
      <w:r>
        <w:rPr>
          <w:rFonts w:hint="eastAsia" w:eastAsia="仿宋_GB2312" w:cs="仿宋_GB2312"/>
          <w:sz w:val="32"/>
          <w:szCs w:val="32"/>
          <w:lang w:val="en-US" w:eastAsia="zh-CN"/>
        </w:rPr>
        <w:t>555.8</w:t>
      </w:r>
      <w:r>
        <w:rPr>
          <w:rFonts w:hint="eastAsia" w:eastAsia="仿宋_GB2312" w:cs="仿宋_GB2312"/>
          <w:sz w:val="32"/>
          <w:szCs w:val="32"/>
        </w:rPr>
        <w:t>万元。主要用于</w:t>
      </w:r>
      <w:r>
        <w:rPr>
          <w:rFonts w:hint="eastAsia" w:ascii="仿宋_GB2312" w:hAnsi="仿宋_GB2312" w:eastAsia="仿宋_GB2312" w:cs="仿宋_GB2312"/>
          <w:sz w:val="32"/>
          <w:szCs w:val="32"/>
        </w:rPr>
        <w:t>主要用于</w:t>
      </w:r>
      <w:r>
        <w:rPr>
          <w:rFonts w:hint="eastAsia" w:ascii="仿宋_GB2312" w:hAnsi="仿宋_GB2312" w:eastAsia="仿宋_GB2312" w:cs="仿宋_GB2312"/>
          <w:sz w:val="32"/>
          <w:szCs w:val="32"/>
          <w:lang w:eastAsia="zh-CN"/>
        </w:rPr>
        <w:t>地质灾害防治、车辆燃油费等</w:t>
      </w:r>
      <w:r>
        <w:rPr>
          <w:rFonts w:hint="eastAsia" w:eastAsia="仿宋_GB2312" w:cs="仿宋_GB2312"/>
          <w:sz w:val="32"/>
          <w:szCs w:val="32"/>
        </w:rPr>
        <w:t>。授予中小企业合同金额</w:t>
      </w:r>
      <w:r>
        <w:rPr>
          <w:rFonts w:hint="eastAsia" w:eastAsia="仿宋_GB2312" w:cs="仿宋_GB2312"/>
          <w:sz w:val="32"/>
          <w:szCs w:val="32"/>
          <w:lang w:val="en-US" w:eastAsia="zh-CN"/>
        </w:rPr>
        <w:t>150.14</w:t>
      </w:r>
      <w:r>
        <w:rPr>
          <w:rFonts w:hint="eastAsia" w:eastAsia="仿宋_GB2312" w:cs="仿宋_GB2312"/>
          <w:sz w:val="32"/>
          <w:szCs w:val="32"/>
        </w:rPr>
        <w:t>万元，占政府采购支出总额的</w:t>
      </w:r>
      <w:r>
        <w:rPr>
          <w:rFonts w:hint="eastAsia" w:eastAsia="仿宋_GB2312" w:cs="仿宋_GB2312"/>
          <w:sz w:val="32"/>
          <w:szCs w:val="32"/>
          <w:lang w:val="en-US" w:eastAsia="zh-CN"/>
        </w:rPr>
        <w:t>21.9</w:t>
      </w:r>
      <w:r>
        <w:rPr>
          <w:rFonts w:hint="eastAsia" w:eastAsia="仿宋_GB2312" w:cs="仿宋_GB2312"/>
          <w:sz w:val="32"/>
          <w:szCs w:val="32"/>
        </w:rPr>
        <w:t>%，其中：授予小微企业合同金额</w:t>
      </w:r>
      <w:r>
        <w:rPr>
          <w:rFonts w:hint="eastAsia" w:eastAsia="仿宋_GB2312" w:cs="仿宋_GB2312"/>
          <w:sz w:val="32"/>
          <w:szCs w:val="32"/>
          <w:lang w:val="en-US" w:eastAsia="zh-CN"/>
        </w:rPr>
        <w:t>150.14</w:t>
      </w:r>
      <w:r>
        <w:rPr>
          <w:rFonts w:hint="eastAsia" w:eastAsia="仿宋_GB2312" w:cs="仿宋_GB2312"/>
          <w:sz w:val="32"/>
          <w:szCs w:val="32"/>
        </w:rPr>
        <w:t>万元，占政府采购支出总额的</w:t>
      </w:r>
      <w:r>
        <w:rPr>
          <w:rFonts w:hint="eastAsia" w:eastAsia="仿宋_GB2312" w:cs="仿宋_GB2312"/>
          <w:sz w:val="32"/>
          <w:szCs w:val="32"/>
          <w:lang w:val="en-US" w:eastAsia="zh-CN"/>
        </w:rPr>
        <w:t>21.9</w:t>
      </w:r>
      <w:r>
        <w:rPr>
          <w:rFonts w:hint="eastAsia" w:eastAsia="仿宋_GB2312" w:cs="仿宋_GB2312"/>
          <w:sz w:val="32"/>
          <w:szCs w:val="32"/>
        </w:rPr>
        <w:t>%。</w:t>
      </w:r>
    </w:p>
    <w:p w14:paraId="392CC094">
      <w:pPr>
        <w:spacing w:line="600" w:lineRule="exact"/>
        <w:ind w:firstLine="643" w:firstLineChars="200"/>
        <w:outlineLvl w:val="2"/>
        <w:rPr>
          <w:rFonts w:eastAsia="楷体_GB2312" w:cs="楷体_GB2312"/>
          <w:b/>
          <w:sz w:val="32"/>
          <w:szCs w:val="32"/>
        </w:rPr>
      </w:pPr>
      <w:bookmarkStart w:id="51" w:name="_Toc15377224"/>
      <w:r>
        <w:rPr>
          <w:rFonts w:hint="eastAsia" w:eastAsia="楷体_GB2312" w:cs="楷体_GB2312"/>
          <w:b/>
          <w:sz w:val="32"/>
          <w:szCs w:val="32"/>
        </w:rPr>
        <w:t>（三）国有资产占有使用情况</w:t>
      </w:r>
      <w:bookmarkEnd w:id="51"/>
    </w:p>
    <w:p w14:paraId="6EE72DEF">
      <w:pPr>
        <w:spacing w:line="600" w:lineRule="exact"/>
        <w:ind w:firstLine="640"/>
        <w:rPr>
          <w:rFonts w:eastAsia="仿宋_GB2312" w:cs="仿宋_GB2312"/>
          <w:sz w:val="32"/>
          <w:szCs w:val="32"/>
        </w:rPr>
      </w:pPr>
      <w:r>
        <w:rPr>
          <w:rFonts w:hint="eastAsia" w:ascii="仿宋_GB2312" w:hAnsi="仿宋_GB2312" w:eastAsia="仿宋_GB2312" w:cs="仿宋_GB2312"/>
          <w:sz w:val="32"/>
          <w:szCs w:val="32"/>
        </w:rPr>
        <w:t>截至</w:t>
      </w:r>
      <w:r>
        <w:rPr>
          <w:rFonts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ascii="仿宋_GB2312" w:hAnsi="仿宋_GB2312" w:eastAsia="仿宋_GB2312" w:cs="仿宋_GB2312"/>
          <w:sz w:val="32"/>
          <w:szCs w:val="32"/>
        </w:rPr>
        <w:t>12</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31</w:t>
      </w:r>
      <w:r>
        <w:rPr>
          <w:rFonts w:hint="eastAsia" w:ascii="仿宋_GB2312" w:hAnsi="仿宋_GB2312" w:eastAsia="仿宋_GB2312" w:cs="仿宋_GB2312"/>
          <w:sz w:val="32"/>
          <w:szCs w:val="32"/>
        </w:rPr>
        <w:t>日，攀枝花市自然资源和规划局仁和区分局共有车辆</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辆，其中：主要负责人用车</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辆、机要通信用车</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辆、应急保障用车</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辆、其他用车</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辆，其他用车主要是</w:t>
      </w:r>
      <w:r>
        <w:rPr>
          <w:rFonts w:hint="eastAsia" w:ascii="仿宋_GB2312" w:hAnsi="仿宋_GB2312" w:eastAsia="仿宋_GB2312" w:cs="仿宋_GB2312"/>
          <w:sz w:val="32"/>
          <w:szCs w:val="32"/>
          <w:lang w:eastAsia="zh-CN"/>
        </w:rPr>
        <w:t>用于</w:t>
      </w:r>
      <w:r>
        <w:rPr>
          <w:rFonts w:hint="eastAsia" w:ascii="仿宋_GB2312" w:eastAsia="仿宋_GB2312"/>
          <w:color w:val="auto"/>
          <w:sz w:val="32"/>
          <w:szCs w:val="32"/>
          <w:highlight w:val="none"/>
          <w:lang w:val="en-US" w:eastAsia="zh-CN"/>
        </w:rPr>
        <w:t>日常土地、矿产资源利用巡查监管、地灾防治、国土空间规划管理</w:t>
      </w:r>
      <w:r>
        <w:rPr>
          <w:rFonts w:hint="eastAsia" w:ascii="仿宋_GB2312" w:hAnsi="仿宋_GB2312" w:eastAsia="仿宋_GB2312" w:cs="仿宋_GB2312"/>
          <w:sz w:val="32"/>
          <w:szCs w:val="32"/>
        </w:rPr>
        <w:t>。单价</w:t>
      </w:r>
      <w:r>
        <w:rPr>
          <w:rFonts w:ascii="仿宋_GB2312" w:hAnsi="仿宋_GB2312" w:eastAsia="仿宋_GB2312" w:cs="仿宋_GB2312"/>
          <w:sz w:val="32"/>
          <w:szCs w:val="32"/>
        </w:rPr>
        <w:t>100</w:t>
      </w:r>
      <w:r>
        <w:rPr>
          <w:rFonts w:hint="eastAsia" w:ascii="仿宋_GB2312" w:hAnsi="仿宋_GB2312" w:eastAsia="仿宋_GB2312" w:cs="仿宋_GB2312"/>
          <w:sz w:val="32"/>
          <w:szCs w:val="32"/>
        </w:rPr>
        <w:t>万元（含）以上设备（不含车辆）</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台（套）</w:t>
      </w:r>
      <w:r>
        <w:rPr>
          <w:rFonts w:hint="eastAsia" w:eastAsia="仿宋_GB2312" w:cs="仿宋_GB2312"/>
          <w:sz w:val="32"/>
          <w:szCs w:val="32"/>
        </w:rPr>
        <w:t>。</w:t>
      </w:r>
    </w:p>
    <w:p w14:paraId="55BC3804">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14:paraId="73EA651C">
      <w:pPr>
        <w:spacing w:line="600" w:lineRule="exact"/>
        <w:ind w:firstLine="640"/>
        <w:rPr>
          <w:rFonts w:eastAsia="仿宋_GB2312" w:cs="仿宋_GB2312"/>
          <w:sz w:val="32"/>
          <w:szCs w:val="32"/>
        </w:rPr>
      </w:pPr>
      <w:r>
        <w:rPr>
          <w:rFonts w:hint="eastAsia" w:eastAsia="仿宋_GB2312" w:cs="仿宋_GB2312"/>
          <w:sz w:val="32"/>
          <w:szCs w:val="32"/>
        </w:rPr>
        <w:t>根据预算绩效管理要求，</w:t>
      </w:r>
      <w:r>
        <w:rPr>
          <w:rFonts w:hint="eastAsia" w:eastAsia="仿宋_GB2312" w:cs="仿宋_GB2312"/>
          <w:sz w:val="32"/>
          <w:szCs w:val="32"/>
          <w:lang w:eastAsia="zh-CN"/>
        </w:rPr>
        <w:t>攀枝花市自然资源和规划局仁和区分局</w:t>
      </w:r>
      <w:r>
        <w:rPr>
          <w:rFonts w:hint="eastAsia" w:eastAsia="仿宋_GB2312" w:cs="仿宋_GB2312"/>
          <w:sz w:val="32"/>
          <w:szCs w:val="32"/>
        </w:rPr>
        <w:t>在2025年度，组织对2018-2021年上级地质灾害防治项目经费</w:t>
      </w:r>
      <w:r>
        <w:rPr>
          <w:rFonts w:hint="eastAsia" w:eastAsia="仿宋_GB2312" w:cs="仿宋_GB2312"/>
          <w:sz w:val="32"/>
          <w:szCs w:val="32"/>
          <w:lang w:eastAsia="zh-CN"/>
        </w:rPr>
        <w:t>、2022年第一批中央地灾防治项目、2024年第二批地灾防治项目（省级）、2024年第一批中央地灾防治（起查喇村苍蒲地组机动田滑坡治理）、2024年第一批中央地灾防治（起查喇村大村组崖子脚滑坡治理）、专职监测员补助、2025年第一批（中央）地灾防治专项资金、专项地质灾害隐患排查（仁和区）、矿产违法实地测绘项目、2025年清理拖欠企业欠款（50万以下工程类）、2025年清理拖欠企业欠款（区级）、2025年第四批地质灾害防治专项资金（省级）、自然资源所乡镇工作补贴</w:t>
      </w:r>
      <w:r>
        <w:rPr>
          <w:rFonts w:hint="eastAsia" w:eastAsia="仿宋_GB2312" w:cs="仿宋_GB2312"/>
          <w:sz w:val="32"/>
          <w:szCs w:val="32"/>
        </w:rPr>
        <w:t>等</w:t>
      </w:r>
      <w:r>
        <w:rPr>
          <w:rFonts w:hint="eastAsia" w:eastAsia="仿宋_GB2312" w:cs="仿宋_GB2312"/>
          <w:sz w:val="32"/>
          <w:szCs w:val="32"/>
          <w:lang w:val="en-US" w:eastAsia="zh-CN"/>
        </w:rPr>
        <w:t>13</w:t>
      </w:r>
      <w:r>
        <w:rPr>
          <w:rFonts w:hint="eastAsia" w:eastAsia="仿宋_GB2312" w:cs="仿宋_GB2312"/>
          <w:sz w:val="32"/>
          <w:szCs w:val="32"/>
        </w:rPr>
        <w:t>个项目涉及金额</w:t>
      </w:r>
      <w:r>
        <w:rPr>
          <w:rFonts w:hint="eastAsia" w:eastAsia="仿宋_GB2312" w:cs="仿宋_GB2312"/>
          <w:sz w:val="32"/>
          <w:szCs w:val="32"/>
          <w:lang w:val="en-US" w:eastAsia="zh-CN"/>
        </w:rPr>
        <w:t>881.18</w:t>
      </w:r>
      <w:r>
        <w:rPr>
          <w:rFonts w:hint="eastAsia" w:eastAsia="仿宋_GB2312" w:cs="仿宋_GB2312"/>
          <w:sz w:val="32"/>
          <w:szCs w:val="32"/>
        </w:rPr>
        <w:t>万元开展了事前绩效评估，对</w:t>
      </w:r>
      <w:r>
        <w:rPr>
          <w:rFonts w:hint="eastAsia" w:eastAsia="仿宋_GB2312" w:cs="仿宋_GB2312"/>
          <w:sz w:val="32"/>
          <w:szCs w:val="32"/>
          <w:lang w:val="en-US" w:eastAsia="zh-CN"/>
        </w:rPr>
        <w:t>13</w:t>
      </w:r>
      <w:r>
        <w:rPr>
          <w:rFonts w:hint="eastAsia" w:eastAsia="仿宋_GB2312" w:cs="仿宋_GB2312"/>
          <w:sz w:val="32"/>
          <w:szCs w:val="32"/>
        </w:rPr>
        <w:t>个项目编制了绩效目标，预算执行过程中，选取</w:t>
      </w:r>
      <w:r>
        <w:rPr>
          <w:rFonts w:hint="eastAsia" w:eastAsia="仿宋_GB2312" w:cs="仿宋_GB2312"/>
          <w:sz w:val="32"/>
          <w:szCs w:val="32"/>
          <w:lang w:val="en-US" w:eastAsia="zh-CN"/>
        </w:rPr>
        <w:t>13</w:t>
      </w:r>
      <w:r>
        <w:rPr>
          <w:rFonts w:hint="eastAsia" w:eastAsia="仿宋_GB2312" w:cs="仿宋_GB2312"/>
          <w:sz w:val="32"/>
          <w:szCs w:val="32"/>
        </w:rPr>
        <w:t>个项目开展绩效监控。</w:t>
      </w:r>
    </w:p>
    <w:p w14:paraId="475A190C">
      <w:pPr>
        <w:spacing w:line="600" w:lineRule="exact"/>
        <w:ind w:firstLine="640"/>
        <w:rPr>
          <w:rFonts w:eastAsia="仿宋_GB2312" w:cs="仿宋_GB2312"/>
          <w:sz w:val="32"/>
          <w:szCs w:val="32"/>
        </w:rPr>
      </w:pPr>
    </w:p>
    <w:p w14:paraId="33F207DD">
      <w:pPr>
        <w:pStyle w:val="2"/>
        <w:rPr>
          <w:rFonts w:eastAsia="仿宋_GB2312" w:cs="仿宋_GB2312"/>
          <w:sz w:val="32"/>
          <w:szCs w:val="32"/>
        </w:rPr>
      </w:pPr>
    </w:p>
    <w:p w14:paraId="7642582D">
      <w:pPr>
        <w:pStyle w:val="2"/>
        <w:rPr>
          <w:rFonts w:eastAsia="仿宋_GB2312" w:cs="仿宋_GB2312"/>
          <w:sz w:val="32"/>
          <w:szCs w:val="32"/>
        </w:rPr>
      </w:pPr>
    </w:p>
    <w:p w14:paraId="79557C60">
      <w:pPr>
        <w:pStyle w:val="2"/>
        <w:rPr>
          <w:rFonts w:eastAsia="仿宋_GB2312" w:cs="仿宋_GB2312"/>
          <w:sz w:val="32"/>
          <w:szCs w:val="32"/>
        </w:rPr>
      </w:pPr>
    </w:p>
    <w:p w14:paraId="7E75E0EE">
      <w:pPr>
        <w:spacing w:line="600" w:lineRule="exact"/>
        <w:jc w:val="center"/>
        <w:outlineLvl w:val="0"/>
        <w:rPr>
          <w:rFonts w:eastAsia="黑体"/>
          <w:sz w:val="44"/>
          <w:szCs w:val="44"/>
        </w:rPr>
      </w:pPr>
      <w:bookmarkStart w:id="52" w:name="_Toc15396613"/>
      <w:bookmarkStart w:id="53" w:name="_Toc15377225"/>
      <w:r>
        <w:rPr>
          <w:rFonts w:hint="eastAsia" w:eastAsia="黑体"/>
          <w:sz w:val="44"/>
          <w:szCs w:val="44"/>
        </w:rPr>
        <w:t>第三部分  名词解释</w:t>
      </w:r>
      <w:bookmarkEnd w:id="52"/>
      <w:bookmarkEnd w:id="53"/>
    </w:p>
    <w:p w14:paraId="4E448B36">
      <w:pPr>
        <w:spacing w:line="600" w:lineRule="exact"/>
        <w:jc w:val="left"/>
        <w:rPr>
          <w:b/>
          <w:sz w:val="44"/>
          <w:szCs w:val="44"/>
        </w:rPr>
      </w:pPr>
    </w:p>
    <w:p w14:paraId="10E04402">
      <w:pPr>
        <w:pStyle w:val="26"/>
        <w:spacing w:line="560" w:lineRule="exact"/>
        <w:ind w:firstLine="640" w:firstLineChars="200"/>
        <w:rPr>
          <w:rFonts w:ascii="仿宋_GB2312" w:eastAsia="仿宋_GB2312"/>
          <w:color w:val="auto"/>
          <w:sz w:val="32"/>
          <w:szCs w:val="32"/>
          <w:highlight w:val="none"/>
        </w:rPr>
      </w:pPr>
      <w:r>
        <w:rPr>
          <w:rFonts w:ascii="仿宋_GB2312" w:eastAsia="仿宋_GB2312"/>
          <w:color w:val="auto"/>
          <w:sz w:val="32"/>
          <w:szCs w:val="32"/>
          <w:highlight w:val="none"/>
        </w:rPr>
        <w:t>1.</w:t>
      </w:r>
      <w:r>
        <w:rPr>
          <w:rFonts w:hint="eastAsia" w:ascii="仿宋_GB2312" w:eastAsia="仿宋_GB2312"/>
          <w:color w:val="auto"/>
          <w:sz w:val="32"/>
          <w:szCs w:val="32"/>
          <w:highlight w:val="none"/>
        </w:rPr>
        <w:t>财政拨款收入：指单位从同级财政部门取得的财政预算资金。</w:t>
      </w:r>
    </w:p>
    <w:p w14:paraId="7C4C14A2">
      <w:pPr>
        <w:pStyle w:val="26"/>
        <w:spacing w:line="560" w:lineRule="exact"/>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lang w:val="en-US" w:eastAsia="zh-CN"/>
        </w:rPr>
        <w:t>2</w:t>
      </w:r>
      <w:r>
        <w:rPr>
          <w:rFonts w:ascii="仿宋_GB2312" w:eastAsia="仿宋_GB2312"/>
          <w:color w:val="auto"/>
          <w:sz w:val="32"/>
          <w:szCs w:val="32"/>
          <w:highlight w:val="none"/>
        </w:rPr>
        <w:t>.</w:t>
      </w:r>
      <w:r>
        <w:rPr>
          <w:rFonts w:hint="eastAsia" w:ascii="仿宋_GB2312" w:eastAsia="仿宋_GB2312"/>
          <w:color w:val="auto"/>
          <w:sz w:val="32"/>
          <w:szCs w:val="32"/>
          <w:highlight w:val="none"/>
          <w:lang w:eastAsia="zh-CN"/>
        </w:rPr>
        <w:t>政府性基金财政拨款收入</w:t>
      </w:r>
      <w:r>
        <w:rPr>
          <w:rFonts w:hint="eastAsia" w:ascii="仿宋_GB2312" w:eastAsia="仿宋_GB2312"/>
          <w:color w:val="auto"/>
          <w:sz w:val="32"/>
          <w:szCs w:val="32"/>
          <w:highlight w:val="none"/>
        </w:rPr>
        <w:t>：指单位从同级财政部门取得的</w:t>
      </w:r>
      <w:r>
        <w:rPr>
          <w:rFonts w:hint="eastAsia" w:ascii="仿宋_GB2312" w:eastAsia="仿宋_GB2312"/>
          <w:color w:val="auto"/>
          <w:sz w:val="32"/>
          <w:szCs w:val="32"/>
          <w:highlight w:val="none"/>
          <w:lang w:eastAsia="zh-CN"/>
        </w:rPr>
        <w:t>政府性基金</w:t>
      </w:r>
      <w:r>
        <w:rPr>
          <w:rFonts w:hint="eastAsia" w:ascii="仿宋_GB2312" w:eastAsia="仿宋_GB2312"/>
          <w:color w:val="auto"/>
          <w:sz w:val="32"/>
          <w:szCs w:val="32"/>
          <w:highlight w:val="none"/>
        </w:rPr>
        <w:t>财政预算资金。</w:t>
      </w:r>
    </w:p>
    <w:p w14:paraId="2651D65B">
      <w:pPr>
        <w:spacing w:line="600" w:lineRule="exact"/>
        <w:ind w:firstLine="640"/>
        <w:rPr>
          <w:rFonts w:eastAsia="仿宋_GB2312" w:cs="仿宋_GB2312"/>
          <w:sz w:val="32"/>
          <w:szCs w:val="32"/>
        </w:rPr>
      </w:pPr>
      <w:r>
        <w:rPr>
          <w:rFonts w:hint="eastAsia" w:ascii="仿宋_GB2312" w:eastAsia="仿宋_GB2312"/>
          <w:color w:val="auto"/>
          <w:sz w:val="32"/>
          <w:szCs w:val="32"/>
          <w:highlight w:val="none"/>
          <w:lang w:val="en-US" w:eastAsia="zh-CN"/>
        </w:rPr>
        <w:t>3</w:t>
      </w:r>
      <w:r>
        <w:rPr>
          <w:rFonts w:ascii="仿宋_GB2312" w:eastAsia="仿宋_GB2312"/>
          <w:color w:val="auto"/>
          <w:sz w:val="32"/>
          <w:szCs w:val="32"/>
          <w:highlight w:val="none"/>
        </w:rPr>
        <w:t>.</w:t>
      </w:r>
      <w:r>
        <w:rPr>
          <w:rFonts w:hint="eastAsia" w:ascii="仿宋_GB2312" w:eastAsia="仿宋_GB2312"/>
          <w:color w:val="auto"/>
          <w:sz w:val="32"/>
          <w:szCs w:val="32"/>
          <w:highlight w:val="none"/>
        </w:rPr>
        <w:t>其他收入：指单位取得的</w:t>
      </w:r>
      <w:r>
        <w:rPr>
          <w:rFonts w:hint="eastAsia" w:ascii="仿宋_GB2312" w:eastAsia="仿宋_GB2312"/>
          <w:color w:val="auto"/>
          <w:sz w:val="32"/>
          <w:szCs w:val="32"/>
          <w:highlight w:val="none"/>
          <w:lang w:val="en-US" w:eastAsia="zh-CN"/>
        </w:rPr>
        <w:t>财政拨款</w:t>
      </w:r>
      <w:r>
        <w:rPr>
          <w:rFonts w:hint="eastAsia" w:ascii="仿宋_GB2312" w:eastAsia="仿宋_GB2312"/>
          <w:color w:val="auto"/>
          <w:sz w:val="32"/>
          <w:szCs w:val="32"/>
          <w:highlight w:val="none"/>
        </w:rPr>
        <w:t>收入以外的各项收入。主要是</w:t>
      </w:r>
      <w:r>
        <w:rPr>
          <w:rFonts w:hint="eastAsia" w:ascii="仿宋_GB2312" w:eastAsia="仿宋_GB2312"/>
          <w:color w:val="auto"/>
          <w:sz w:val="32"/>
          <w:szCs w:val="32"/>
          <w:highlight w:val="none"/>
          <w:lang w:val="en-US" w:eastAsia="zh-CN"/>
        </w:rPr>
        <w:t>非同级财政拨款收入</w:t>
      </w:r>
      <w:r>
        <w:rPr>
          <w:rFonts w:hint="eastAsia" w:ascii="仿宋_GB2312" w:eastAsia="仿宋_GB2312"/>
          <w:color w:val="auto"/>
          <w:sz w:val="32"/>
          <w:szCs w:val="32"/>
          <w:highlight w:val="none"/>
        </w:rPr>
        <w:t>。</w:t>
      </w:r>
      <w:r>
        <w:rPr>
          <w:rFonts w:eastAsia="仿宋_GB2312" w:cs="仿宋_GB2312"/>
          <w:sz w:val="32"/>
          <w:szCs w:val="32"/>
        </w:rPr>
        <w:t xml:space="preserve"> </w:t>
      </w:r>
    </w:p>
    <w:p w14:paraId="4E530534">
      <w:pPr>
        <w:pStyle w:val="26"/>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rPr>
        <w:t>4</w:t>
      </w:r>
      <w:r>
        <w:rPr>
          <w:rFonts w:hint="default" w:ascii="Times New Roman" w:hAnsi="Times New Roman" w:eastAsia="仿宋_GB2312" w:cs="Times New Roman"/>
          <w:sz w:val="32"/>
          <w:szCs w:val="32"/>
        </w:rPr>
        <w:t xml:space="preserve">.年初结转和结余：指以前年度尚未完成、结转到本年按有关规定继续使用的资金。 </w:t>
      </w:r>
    </w:p>
    <w:p w14:paraId="6C543B69">
      <w:pPr>
        <w:pStyle w:val="26"/>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rPr>
        <w:t>5</w:t>
      </w:r>
      <w:r>
        <w:rPr>
          <w:rFonts w:hint="default" w:ascii="Times New Roman" w:hAnsi="Times New Roman" w:eastAsia="仿宋_GB2312" w:cs="Times New Roman"/>
          <w:sz w:val="32"/>
          <w:szCs w:val="32"/>
        </w:rPr>
        <w:t>.结余分配：指事业单位按照会计制度规定缴纳的所得税、提取的专用结余以及转入非财政拨款结余的金额等。</w:t>
      </w:r>
    </w:p>
    <w:p w14:paraId="150A2066">
      <w:pPr>
        <w:pStyle w:val="26"/>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rPr>
        <w:t>6</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年末结转和结余：指单位按有关规定结转到下年或以后年度继续使用的资金。</w:t>
      </w:r>
    </w:p>
    <w:p w14:paraId="5BC942E8">
      <w:pPr>
        <w:spacing w:line="600" w:lineRule="exact"/>
        <w:ind w:firstLine="640" w:firstLineChars="200"/>
        <w:rPr>
          <w:rStyle w:val="17"/>
          <w:rFonts w:hint="default" w:ascii="Times New Roman" w:hAnsi="Times New Roman" w:eastAsia="仿宋_GB2312" w:cs="Times New Roman"/>
          <w:b w:val="0"/>
          <w:bCs/>
          <w:color w:val="000000"/>
          <w:sz w:val="32"/>
          <w:szCs w:val="32"/>
        </w:rPr>
      </w:pPr>
      <w:r>
        <w:rPr>
          <w:rStyle w:val="17"/>
          <w:rFonts w:hint="default" w:eastAsia="仿宋_GB2312" w:cs="Times New Roman"/>
          <w:b w:val="0"/>
          <w:bCs/>
          <w:color w:val="000000"/>
          <w:sz w:val="32"/>
          <w:szCs w:val="32"/>
          <w:lang w:val="en-US"/>
        </w:rPr>
        <w:t>7</w:t>
      </w:r>
      <w:r>
        <w:rPr>
          <w:rStyle w:val="17"/>
          <w:rFonts w:hint="default" w:ascii="Times New Roman" w:hAnsi="Times New Roman" w:eastAsia="仿宋_GB2312" w:cs="Times New Roman"/>
          <w:b w:val="0"/>
          <w:bCs/>
          <w:color w:val="000000"/>
          <w:sz w:val="32"/>
          <w:szCs w:val="32"/>
        </w:rPr>
        <w:t>.社会保障和就业（类）行政事业单位养老支出（款）行政单位离退休（项）: 指用于行政单位退休人员支出</w:t>
      </w:r>
    </w:p>
    <w:p w14:paraId="6F86D831">
      <w:pPr>
        <w:spacing w:line="600" w:lineRule="exact"/>
        <w:ind w:firstLine="640" w:firstLineChars="200"/>
        <w:rPr>
          <w:rStyle w:val="17"/>
          <w:rFonts w:hint="default" w:ascii="Times New Roman" w:hAnsi="Times New Roman" w:eastAsia="仿宋_GB2312" w:cs="Times New Roman"/>
          <w:b w:val="0"/>
          <w:bCs/>
          <w:color w:val="000000"/>
          <w:sz w:val="32"/>
          <w:szCs w:val="32"/>
        </w:rPr>
      </w:pPr>
      <w:r>
        <w:rPr>
          <w:rStyle w:val="17"/>
          <w:rFonts w:hint="default" w:eastAsia="仿宋_GB2312" w:cs="Times New Roman"/>
          <w:b w:val="0"/>
          <w:bCs/>
          <w:color w:val="000000"/>
          <w:sz w:val="32"/>
          <w:szCs w:val="32"/>
          <w:lang w:val="en-US"/>
        </w:rPr>
        <w:t>8</w:t>
      </w:r>
      <w:r>
        <w:rPr>
          <w:rStyle w:val="17"/>
          <w:rFonts w:hint="default" w:ascii="Times New Roman" w:hAnsi="Times New Roman" w:eastAsia="仿宋_GB2312" w:cs="Times New Roman"/>
          <w:b w:val="0"/>
          <w:bCs/>
          <w:color w:val="000000"/>
          <w:sz w:val="32"/>
          <w:szCs w:val="32"/>
        </w:rPr>
        <w:t>.社会保障和就业（类）行政事业单位养老支出（款）机构事业单位基本养老保险缴费支出（项）: 指用于行政事业单位缴纳基本养老保险支出</w:t>
      </w:r>
    </w:p>
    <w:p w14:paraId="51D015DD">
      <w:pPr>
        <w:pStyle w:val="2"/>
        <w:ind w:firstLine="640"/>
        <w:rPr>
          <w:rFonts w:hint="eastAsia" w:ascii="仿宋_GB2312" w:eastAsia="仿宋_GB2312"/>
          <w:color w:val="auto"/>
          <w:sz w:val="32"/>
          <w:szCs w:val="32"/>
          <w:highlight w:val="none"/>
          <w:lang w:val="en-US" w:eastAsia="zh-CN"/>
        </w:rPr>
      </w:pPr>
      <w:r>
        <w:rPr>
          <w:rFonts w:hint="eastAsia"/>
          <w:color w:val="auto"/>
          <w:sz w:val="32"/>
          <w:szCs w:val="32"/>
          <w:highlight w:val="none"/>
          <w:lang w:val="en-US" w:eastAsia="zh-CN"/>
        </w:rPr>
        <w:t>9</w:t>
      </w:r>
      <w:r>
        <w:rPr>
          <w:rFonts w:hint="eastAsia" w:ascii="仿宋_GB2312" w:eastAsia="仿宋_GB2312"/>
          <w:color w:val="auto"/>
          <w:sz w:val="32"/>
          <w:szCs w:val="32"/>
          <w:highlight w:val="none"/>
          <w:lang w:val="en-US" w:eastAsia="zh-CN"/>
        </w:rPr>
        <w:t>.卫生健康（类）</w:t>
      </w:r>
      <w:bookmarkStart w:id="54" w:name="OLE_LINK9"/>
      <w:r>
        <w:rPr>
          <w:rFonts w:hint="eastAsia" w:ascii="仿宋_GB2312" w:eastAsia="仿宋_GB2312"/>
          <w:color w:val="auto"/>
          <w:sz w:val="32"/>
          <w:szCs w:val="32"/>
          <w:highlight w:val="none"/>
          <w:lang w:val="en-US" w:eastAsia="zh-CN"/>
        </w:rPr>
        <w:t>卫生健康支出（款）事业单位医疗（项）：</w:t>
      </w:r>
      <w:bookmarkEnd w:id="54"/>
      <w:r>
        <w:rPr>
          <w:rFonts w:hint="eastAsia" w:ascii="仿宋_GB2312" w:eastAsia="仿宋_GB2312"/>
          <w:color w:val="auto"/>
          <w:sz w:val="32"/>
          <w:szCs w:val="32"/>
          <w:highlight w:val="none"/>
          <w:lang w:val="en-US" w:eastAsia="zh-CN"/>
        </w:rPr>
        <w:t>指事业人员医疗保险支出。</w:t>
      </w:r>
    </w:p>
    <w:p w14:paraId="6901A2FB">
      <w:pPr>
        <w:pStyle w:val="2"/>
        <w:ind w:firstLine="640"/>
        <w:rPr>
          <w:rFonts w:hint="eastAsia" w:ascii="仿宋_GB2312" w:eastAsia="仿宋_GB2312"/>
          <w:color w:val="auto"/>
          <w:sz w:val="32"/>
          <w:szCs w:val="32"/>
          <w:highlight w:val="none"/>
          <w:lang w:val="en-US" w:eastAsia="zh-CN"/>
        </w:rPr>
      </w:pPr>
      <w:r>
        <w:rPr>
          <w:rFonts w:hint="eastAsia"/>
          <w:color w:val="auto"/>
          <w:sz w:val="32"/>
          <w:szCs w:val="32"/>
          <w:highlight w:val="none"/>
          <w:lang w:val="en-US" w:eastAsia="zh-CN"/>
        </w:rPr>
        <w:t>10</w:t>
      </w:r>
      <w:r>
        <w:rPr>
          <w:rFonts w:hint="eastAsia" w:ascii="仿宋_GB2312" w:eastAsia="仿宋_GB2312"/>
          <w:color w:val="auto"/>
          <w:sz w:val="32"/>
          <w:szCs w:val="32"/>
          <w:highlight w:val="none"/>
          <w:lang w:val="en-US" w:eastAsia="zh-CN"/>
        </w:rPr>
        <w:t>.</w:t>
      </w:r>
      <w:bookmarkStart w:id="55" w:name="OLE_LINK10"/>
      <w:r>
        <w:rPr>
          <w:rFonts w:hint="eastAsia" w:ascii="仿宋_GB2312" w:eastAsia="仿宋_GB2312"/>
          <w:color w:val="auto"/>
          <w:sz w:val="32"/>
          <w:szCs w:val="32"/>
          <w:highlight w:val="none"/>
          <w:lang w:val="en-US" w:eastAsia="zh-CN"/>
        </w:rPr>
        <w:t>卫生健康（类）卫生健康卫生健康支出（款）行政单位医疗（项）：指行政人员医疗保险支出。</w:t>
      </w:r>
    </w:p>
    <w:bookmarkEnd w:id="55"/>
    <w:p w14:paraId="0BFABD9B">
      <w:pPr>
        <w:pStyle w:val="2"/>
        <w:ind w:firstLine="640"/>
        <w:rPr>
          <w:rFonts w:hint="eastAsia" w:ascii="仿宋_GB2312" w:eastAsia="仿宋_GB2312"/>
          <w:color w:val="auto"/>
          <w:sz w:val="32"/>
          <w:szCs w:val="32"/>
          <w:highlight w:val="none"/>
          <w:lang w:val="en-US" w:eastAsia="zh-CN"/>
        </w:rPr>
      </w:pPr>
      <w:r>
        <w:rPr>
          <w:rFonts w:hint="eastAsia"/>
          <w:color w:val="auto"/>
          <w:sz w:val="32"/>
          <w:szCs w:val="32"/>
          <w:highlight w:val="none"/>
          <w:lang w:val="en-US" w:eastAsia="zh-CN"/>
        </w:rPr>
        <w:t>11</w:t>
      </w:r>
      <w:r>
        <w:rPr>
          <w:rFonts w:hint="eastAsia" w:ascii="仿宋_GB2312" w:eastAsia="仿宋_GB2312"/>
          <w:color w:val="auto"/>
          <w:sz w:val="32"/>
          <w:szCs w:val="32"/>
          <w:highlight w:val="none"/>
          <w:lang w:val="en-US" w:eastAsia="zh-CN"/>
        </w:rPr>
        <w:t>.卫生健康（类）卫生健康卫生健康支出（款）公务员医疗补助（项）：指公务员补充医疗保险支出。</w:t>
      </w:r>
    </w:p>
    <w:p w14:paraId="5A7CCEA8">
      <w:pPr>
        <w:pStyle w:val="2"/>
        <w:ind w:firstLine="640"/>
        <w:rPr>
          <w:rFonts w:hint="default"/>
        </w:rPr>
      </w:pPr>
      <w:r>
        <w:rPr>
          <w:rFonts w:hint="eastAsia"/>
          <w:color w:val="auto"/>
          <w:sz w:val="32"/>
          <w:szCs w:val="32"/>
          <w:highlight w:val="none"/>
          <w:lang w:val="en-US" w:eastAsia="zh-CN"/>
        </w:rPr>
        <w:t>12</w:t>
      </w:r>
      <w:r>
        <w:rPr>
          <w:rFonts w:hint="eastAsia" w:ascii="仿宋_GB2312" w:eastAsia="仿宋_GB2312"/>
          <w:color w:val="auto"/>
          <w:sz w:val="32"/>
          <w:szCs w:val="32"/>
          <w:highlight w:val="none"/>
          <w:lang w:val="en-US" w:eastAsia="zh-CN"/>
        </w:rPr>
        <w:t>.</w:t>
      </w:r>
      <w:r>
        <w:rPr>
          <w:rFonts w:hint="eastAsia"/>
          <w:color w:val="auto"/>
          <w:sz w:val="32"/>
          <w:szCs w:val="32"/>
          <w:highlight w:val="none"/>
          <w:lang w:val="en-US" w:eastAsia="zh-CN"/>
        </w:rPr>
        <w:t>一般公共服务支出（类）组织事务</w:t>
      </w:r>
      <w:r>
        <w:rPr>
          <w:rFonts w:hint="eastAsia" w:ascii="仿宋_GB2312" w:eastAsia="仿宋_GB2312"/>
          <w:color w:val="auto"/>
          <w:sz w:val="32"/>
          <w:szCs w:val="32"/>
          <w:highlight w:val="none"/>
          <w:lang w:val="en-US" w:eastAsia="zh-CN"/>
        </w:rPr>
        <w:t>（款）</w:t>
      </w:r>
      <w:r>
        <w:rPr>
          <w:rFonts w:hint="eastAsia"/>
          <w:color w:val="auto"/>
          <w:sz w:val="32"/>
          <w:szCs w:val="32"/>
          <w:highlight w:val="none"/>
          <w:lang w:val="en-US" w:eastAsia="zh-CN"/>
        </w:rPr>
        <w:t>其他组织事务支出</w:t>
      </w:r>
      <w:r>
        <w:rPr>
          <w:rFonts w:hint="eastAsia" w:ascii="仿宋_GB2312" w:eastAsia="仿宋_GB2312"/>
          <w:color w:val="auto"/>
          <w:sz w:val="32"/>
          <w:szCs w:val="32"/>
          <w:highlight w:val="none"/>
          <w:lang w:val="en-US" w:eastAsia="zh-CN"/>
        </w:rPr>
        <w:t>（项）：指</w:t>
      </w:r>
      <w:r>
        <w:rPr>
          <w:rFonts w:hint="eastAsia"/>
          <w:color w:val="auto"/>
          <w:sz w:val="32"/>
          <w:szCs w:val="32"/>
          <w:highlight w:val="none"/>
          <w:lang w:val="en-US" w:eastAsia="zh-CN"/>
        </w:rPr>
        <w:t>组织部门事务</w:t>
      </w:r>
      <w:r>
        <w:rPr>
          <w:rFonts w:hint="eastAsia" w:ascii="仿宋_GB2312" w:eastAsia="仿宋_GB2312"/>
          <w:color w:val="auto"/>
          <w:sz w:val="32"/>
          <w:szCs w:val="32"/>
          <w:highlight w:val="none"/>
          <w:lang w:val="en-US" w:eastAsia="zh-CN"/>
        </w:rPr>
        <w:t>支出。</w:t>
      </w:r>
    </w:p>
    <w:p w14:paraId="459CD18B">
      <w:pPr>
        <w:spacing w:line="600" w:lineRule="exact"/>
        <w:ind w:firstLine="640" w:firstLineChars="200"/>
        <w:rPr>
          <w:rStyle w:val="17"/>
          <w:rFonts w:hint="default" w:ascii="Times New Roman" w:hAnsi="Times New Roman" w:eastAsia="仿宋_GB2312" w:cs="Times New Roman"/>
          <w:b w:val="0"/>
          <w:bCs/>
          <w:color w:val="000000"/>
          <w:sz w:val="32"/>
          <w:szCs w:val="32"/>
        </w:rPr>
      </w:pPr>
      <w:r>
        <w:rPr>
          <w:rStyle w:val="17"/>
          <w:rFonts w:hint="eastAsia" w:eastAsia="仿宋_GB2312" w:cs="Times New Roman"/>
          <w:b w:val="0"/>
          <w:bCs/>
          <w:color w:val="000000"/>
          <w:sz w:val="32"/>
          <w:szCs w:val="32"/>
          <w:lang w:val="en-US" w:eastAsia="zh-CN"/>
        </w:rPr>
        <w:t>13</w:t>
      </w:r>
      <w:r>
        <w:rPr>
          <w:rStyle w:val="17"/>
          <w:rFonts w:hint="default" w:ascii="Times New Roman" w:hAnsi="Times New Roman" w:eastAsia="仿宋_GB2312" w:cs="Times New Roman"/>
          <w:b w:val="0"/>
          <w:bCs/>
          <w:color w:val="000000"/>
          <w:sz w:val="32"/>
          <w:szCs w:val="32"/>
        </w:rPr>
        <w:t>.</w:t>
      </w:r>
      <w:r>
        <w:rPr>
          <w:rFonts w:hint="default" w:ascii="Times New Roman" w:hAnsi="Times New Roman" w:eastAsia="仿宋_GB2312" w:cs="Times New Roman"/>
          <w:color w:val="000000"/>
          <w:sz w:val="32"/>
          <w:szCs w:val="32"/>
        </w:rPr>
        <w:t xml:space="preserve"> 自然资源海洋气象</w:t>
      </w:r>
      <w:r>
        <w:rPr>
          <w:rStyle w:val="17"/>
          <w:rFonts w:hint="default" w:ascii="Times New Roman" w:hAnsi="Times New Roman" w:eastAsia="仿宋_GB2312" w:cs="Times New Roman"/>
          <w:b w:val="0"/>
          <w:bCs/>
          <w:color w:val="000000"/>
          <w:sz w:val="32"/>
          <w:szCs w:val="32"/>
        </w:rPr>
        <w:t>（类）自然资源事务（款）行政运行（项）:指用于自然资源管理行政单位的基本支出</w:t>
      </w:r>
    </w:p>
    <w:p w14:paraId="1DD429DB">
      <w:pPr>
        <w:spacing w:line="600" w:lineRule="exact"/>
        <w:ind w:firstLine="640" w:firstLineChars="200"/>
        <w:rPr>
          <w:rStyle w:val="17"/>
          <w:rFonts w:hint="default" w:ascii="Times New Roman" w:hAnsi="Times New Roman" w:eastAsia="仿宋_GB2312" w:cs="Times New Roman"/>
          <w:b w:val="0"/>
          <w:bCs/>
          <w:color w:val="000000"/>
          <w:sz w:val="32"/>
          <w:szCs w:val="32"/>
        </w:rPr>
      </w:pPr>
      <w:r>
        <w:rPr>
          <w:rFonts w:hint="default" w:eastAsia="仿宋_GB2312" w:cs="Times New Roman"/>
          <w:color w:val="000000"/>
          <w:sz w:val="32"/>
          <w:szCs w:val="32"/>
          <w:lang w:val="en-US"/>
        </w:rPr>
        <w:t>1</w:t>
      </w:r>
      <w:r>
        <w:rPr>
          <w:rFonts w:hint="eastAsia" w:eastAsia="仿宋_GB2312" w:cs="Times New Roman"/>
          <w:color w:val="000000"/>
          <w:sz w:val="32"/>
          <w:szCs w:val="32"/>
          <w:lang w:val="en-US" w:eastAsia="zh-CN"/>
        </w:rPr>
        <w:t>4</w:t>
      </w:r>
      <w:r>
        <w:rPr>
          <w:rFonts w:hint="default" w:ascii="Times New Roman" w:hAnsi="Times New Roman" w:eastAsia="仿宋_GB2312" w:cs="Times New Roman"/>
          <w:color w:val="000000"/>
          <w:sz w:val="32"/>
          <w:szCs w:val="32"/>
        </w:rPr>
        <w:t>.自然资源海洋气象</w:t>
      </w:r>
      <w:r>
        <w:rPr>
          <w:rStyle w:val="17"/>
          <w:rFonts w:hint="default" w:ascii="Times New Roman" w:hAnsi="Times New Roman" w:eastAsia="仿宋_GB2312" w:cs="Times New Roman"/>
          <w:b w:val="0"/>
          <w:bCs/>
          <w:color w:val="000000"/>
          <w:sz w:val="32"/>
          <w:szCs w:val="32"/>
        </w:rPr>
        <w:t>（类）自然资源事务（款）自然资源利用与保护（项）: 指用于自然资源有偿使用与合理开发利用，国土空间生态修复，国土整治，耕地保护等方面的支出。</w:t>
      </w:r>
    </w:p>
    <w:p w14:paraId="0DCF383F">
      <w:pPr>
        <w:spacing w:line="600" w:lineRule="exact"/>
        <w:ind w:firstLine="640" w:firstLineChars="200"/>
        <w:rPr>
          <w:rStyle w:val="17"/>
          <w:rFonts w:hint="eastAsia" w:ascii="Times New Roman" w:hAnsi="Times New Roman" w:eastAsia="仿宋_GB2312" w:cs="Times New Roman"/>
          <w:b w:val="0"/>
          <w:bCs/>
          <w:color w:val="000000"/>
          <w:sz w:val="32"/>
          <w:szCs w:val="32"/>
          <w:lang w:eastAsia="zh-CN"/>
        </w:rPr>
      </w:pPr>
      <w:r>
        <w:rPr>
          <w:rFonts w:hint="default" w:eastAsia="仿宋_GB2312" w:cs="Times New Roman"/>
          <w:color w:val="000000"/>
          <w:sz w:val="32"/>
          <w:szCs w:val="32"/>
          <w:lang w:val="en-US"/>
        </w:rPr>
        <w:t>1</w:t>
      </w:r>
      <w:r>
        <w:rPr>
          <w:rFonts w:hint="eastAsia" w:eastAsia="仿宋_GB2312" w:cs="Times New Roman"/>
          <w:color w:val="000000"/>
          <w:sz w:val="32"/>
          <w:szCs w:val="32"/>
          <w:lang w:val="en-US" w:eastAsia="zh-CN"/>
        </w:rPr>
        <w:t>5</w:t>
      </w:r>
      <w:r>
        <w:rPr>
          <w:rFonts w:hint="default" w:eastAsia="仿宋_GB2312" w:cs="Times New Roman"/>
          <w:color w:val="000000"/>
          <w:sz w:val="32"/>
          <w:szCs w:val="32"/>
          <w:lang w:val="en-US"/>
        </w:rPr>
        <w:t>.</w:t>
      </w:r>
      <w:r>
        <w:rPr>
          <w:rFonts w:hint="default" w:ascii="Times New Roman" w:hAnsi="Times New Roman" w:eastAsia="仿宋_GB2312" w:cs="Times New Roman"/>
          <w:color w:val="000000"/>
          <w:sz w:val="32"/>
          <w:szCs w:val="32"/>
        </w:rPr>
        <w:t>自然资源海洋气象</w:t>
      </w:r>
      <w:r>
        <w:rPr>
          <w:rStyle w:val="17"/>
          <w:rFonts w:hint="default" w:ascii="Times New Roman" w:hAnsi="Times New Roman" w:eastAsia="仿宋_GB2312" w:cs="Times New Roman"/>
          <w:b w:val="0"/>
          <w:bCs/>
          <w:color w:val="000000"/>
          <w:sz w:val="32"/>
          <w:szCs w:val="32"/>
        </w:rPr>
        <w:t>（类）自然资源事务（款）事业运行（项）:指用于自然资源管理事业单位的基本支</w:t>
      </w:r>
      <w:r>
        <w:rPr>
          <w:rStyle w:val="17"/>
          <w:rFonts w:hint="eastAsia" w:eastAsia="仿宋_GB2312" w:cs="Times New Roman"/>
          <w:b w:val="0"/>
          <w:bCs/>
          <w:color w:val="000000"/>
          <w:sz w:val="32"/>
          <w:szCs w:val="32"/>
          <w:lang w:eastAsia="zh-CN"/>
        </w:rPr>
        <w:t>出。</w:t>
      </w:r>
    </w:p>
    <w:p w14:paraId="0314CCD5">
      <w:pPr>
        <w:spacing w:line="600" w:lineRule="exact"/>
        <w:ind w:firstLine="640" w:firstLineChars="200"/>
        <w:rPr>
          <w:rStyle w:val="17"/>
          <w:rFonts w:hint="default" w:ascii="Times New Roman" w:hAnsi="Times New Roman" w:eastAsia="仿宋_GB2312" w:cs="Times New Roman"/>
          <w:b w:val="0"/>
          <w:bCs/>
          <w:color w:val="000000"/>
          <w:sz w:val="32"/>
          <w:szCs w:val="32"/>
        </w:rPr>
      </w:pPr>
      <w:r>
        <w:rPr>
          <w:rStyle w:val="17"/>
          <w:rFonts w:hint="default" w:eastAsia="仿宋_GB2312" w:cs="Times New Roman"/>
          <w:b w:val="0"/>
          <w:bCs/>
          <w:color w:val="000000"/>
          <w:sz w:val="32"/>
          <w:szCs w:val="32"/>
          <w:lang w:val="en-US"/>
        </w:rPr>
        <w:t>1</w:t>
      </w:r>
      <w:r>
        <w:rPr>
          <w:rStyle w:val="17"/>
          <w:rFonts w:hint="eastAsia" w:eastAsia="仿宋_GB2312" w:cs="Times New Roman"/>
          <w:b w:val="0"/>
          <w:bCs/>
          <w:color w:val="000000"/>
          <w:sz w:val="32"/>
          <w:szCs w:val="32"/>
          <w:lang w:val="en-US" w:eastAsia="zh-CN"/>
        </w:rPr>
        <w:t>6</w:t>
      </w:r>
      <w:r>
        <w:rPr>
          <w:rFonts w:hint="default" w:ascii="Times New Roman" w:hAnsi="Times New Roman" w:eastAsia="仿宋_GB2312" w:cs="Times New Roman"/>
          <w:color w:val="000000"/>
          <w:sz w:val="32"/>
          <w:szCs w:val="32"/>
        </w:rPr>
        <w:t>.住房保障支出（类）住房改革支出（款）住房公积金（项）：指行政事业单位职工公积金支出。</w:t>
      </w:r>
      <w:r>
        <w:rPr>
          <w:rStyle w:val="17"/>
          <w:rFonts w:hint="default" w:ascii="Times New Roman" w:hAnsi="Times New Roman" w:eastAsia="仿宋_GB2312" w:cs="Times New Roman"/>
          <w:b w:val="0"/>
          <w:bCs/>
          <w:color w:val="000000"/>
          <w:sz w:val="32"/>
          <w:szCs w:val="32"/>
        </w:rPr>
        <w:t xml:space="preserve"> </w:t>
      </w:r>
    </w:p>
    <w:p w14:paraId="1B36651A">
      <w:pPr>
        <w:spacing w:line="600" w:lineRule="exact"/>
        <w:ind w:firstLine="640" w:firstLineChars="200"/>
        <w:rPr>
          <w:rStyle w:val="17"/>
          <w:rFonts w:hint="default" w:ascii="Times New Roman" w:hAnsi="Times New Roman" w:eastAsia="仿宋_GB2312" w:cs="Times New Roman"/>
          <w:b w:val="0"/>
          <w:bCs/>
          <w:color w:val="000000"/>
          <w:sz w:val="32"/>
          <w:szCs w:val="32"/>
        </w:rPr>
      </w:pPr>
      <w:r>
        <w:rPr>
          <w:rStyle w:val="17"/>
          <w:rFonts w:hint="default" w:eastAsia="仿宋_GB2312" w:cs="Times New Roman"/>
          <w:b w:val="0"/>
          <w:bCs/>
          <w:color w:val="000000"/>
          <w:sz w:val="32"/>
          <w:szCs w:val="32"/>
          <w:lang w:val="en-US"/>
        </w:rPr>
        <w:t>1</w:t>
      </w:r>
      <w:r>
        <w:rPr>
          <w:rStyle w:val="17"/>
          <w:rFonts w:hint="eastAsia" w:eastAsia="仿宋_GB2312" w:cs="Times New Roman"/>
          <w:b w:val="0"/>
          <w:bCs/>
          <w:color w:val="000000"/>
          <w:sz w:val="32"/>
          <w:szCs w:val="32"/>
          <w:lang w:val="en-US" w:eastAsia="zh-CN"/>
        </w:rPr>
        <w:t>7</w:t>
      </w:r>
      <w:r>
        <w:rPr>
          <w:rStyle w:val="17"/>
          <w:rFonts w:hint="default" w:ascii="Times New Roman" w:hAnsi="Times New Roman" w:eastAsia="仿宋_GB2312" w:cs="Times New Roman"/>
          <w:b w:val="0"/>
          <w:bCs/>
          <w:color w:val="000000"/>
          <w:sz w:val="32"/>
          <w:szCs w:val="32"/>
        </w:rPr>
        <w:t>.</w:t>
      </w:r>
      <w:r>
        <w:rPr>
          <w:rFonts w:hint="default" w:ascii="Times New Roman" w:hAnsi="Times New Roman" w:eastAsia="仿宋_GB2312" w:cs="Times New Roman"/>
          <w:color w:val="000000"/>
          <w:sz w:val="32"/>
          <w:szCs w:val="32"/>
        </w:rPr>
        <w:t>自然灾害防治（类）自然灾害防治（款）地质灾害防（项）：</w:t>
      </w:r>
      <w:r>
        <w:rPr>
          <w:rStyle w:val="17"/>
          <w:rFonts w:hint="default" w:ascii="Times New Roman" w:hAnsi="Times New Roman" w:eastAsia="仿宋_GB2312" w:cs="Times New Roman"/>
          <w:b w:val="0"/>
          <w:bCs/>
          <w:color w:val="000000"/>
          <w:sz w:val="32"/>
          <w:szCs w:val="32"/>
        </w:rPr>
        <w:t>指用于防治地质灾害方面的支出</w:t>
      </w:r>
    </w:p>
    <w:p w14:paraId="65C50D9B">
      <w:pPr>
        <w:spacing w:line="600" w:lineRule="exact"/>
        <w:ind w:firstLine="640" w:firstLineChars="200"/>
        <w:rPr>
          <w:rStyle w:val="17"/>
          <w:rFonts w:hint="default" w:ascii="Times New Roman" w:hAnsi="Times New Roman" w:eastAsia="仿宋_GB2312" w:cs="Times New Roman"/>
          <w:b w:val="0"/>
          <w:bCs/>
          <w:color w:val="000000"/>
          <w:sz w:val="32"/>
          <w:szCs w:val="32"/>
        </w:rPr>
      </w:pPr>
      <w:r>
        <w:rPr>
          <w:rFonts w:hint="default" w:eastAsia="仿宋_GB2312" w:cs="Times New Roman"/>
          <w:color w:val="000000"/>
          <w:sz w:val="32"/>
          <w:szCs w:val="32"/>
          <w:lang w:val="en-US"/>
        </w:rPr>
        <w:t>1</w:t>
      </w:r>
      <w:r>
        <w:rPr>
          <w:rFonts w:hint="eastAsia" w:eastAsia="仿宋_GB2312" w:cs="Times New Roman"/>
          <w:color w:val="000000"/>
          <w:sz w:val="32"/>
          <w:szCs w:val="32"/>
          <w:lang w:val="en-US" w:eastAsia="zh-CN"/>
        </w:rPr>
        <w:t>8</w:t>
      </w:r>
      <w:r>
        <w:rPr>
          <w:rFonts w:hint="default" w:ascii="Times New Roman" w:hAnsi="Times New Roman" w:eastAsia="仿宋_GB2312" w:cs="Times New Roman"/>
          <w:color w:val="000000"/>
          <w:sz w:val="32"/>
          <w:szCs w:val="32"/>
        </w:rPr>
        <w:t>.自然灾害防治（类）自然灾害防治（款）森林草原防灾减灾（项）：指用于防治森林草原火灾、自然水旱灾害等方面的支出。</w:t>
      </w:r>
      <w:r>
        <w:rPr>
          <w:rStyle w:val="17"/>
          <w:rFonts w:hint="default" w:ascii="Times New Roman" w:hAnsi="Times New Roman" w:eastAsia="仿宋_GB2312" w:cs="Times New Roman"/>
          <w:b w:val="0"/>
          <w:bCs/>
          <w:color w:val="000000"/>
          <w:sz w:val="32"/>
          <w:szCs w:val="32"/>
        </w:rPr>
        <w:t xml:space="preserve"> </w:t>
      </w:r>
    </w:p>
    <w:p w14:paraId="7372679E">
      <w:pPr>
        <w:ind w:firstLine="640" w:firstLineChars="200"/>
        <w:rPr>
          <w:rFonts w:hint="default" w:ascii="Times New Roman" w:hAnsi="Times New Roman" w:eastAsia="仿宋_GB2312" w:cs="Times New Roman"/>
          <w:color w:val="000000"/>
          <w:sz w:val="32"/>
          <w:szCs w:val="32"/>
        </w:rPr>
      </w:pPr>
      <w:r>
        <w:rPr>
          <w:rFonts w:hint="default" w:eastAsia="仿宋_GB2312" w:cs="Times New Roman"/>
          <w:color w:val="000000"/>
          <w:sz w:val="32"/>
          <w:szCs w:val="32"/>
          <w:lang w:val="en-US"/>
        </w:rPr>
        <w:t>1</w:t>
      </w:r>
      <w:r>
        <w:rPr>
          <w:rFonts w:hint="eastAsia" w:eastAsia="仿宋_GB2312" w:cs="Times New Roman"/>
          <w:color w:val="000000"/>
          <w:sz w:val="32"/>
          <w:szCs w:val="32"/>
          <w:lang w:val="en-US" w:eastAsia="zh-CN"/>
        </w:rPr>
        <w:t>9</w:t>
      </w:r>
      <w:r>
        <w:rPr>
          <w:rFonts w:hint="default" w:ascii="Times New Roman" w:hAnsi="Times New Roman" w:eastAsia="仿宋_GB2312" w:cs="Times New Roman"/>
          <w:color w:val="000000"/>
          <w:sz w:val="32"/>
          <w:szCs w:val="32"/>
        </w:rPr>
        <w:t>.</w:t>
      </w:r>
      <w:r>
        <w:rPr>
          <w:rFonts w:hint="eastAsia" w:eastAsia="仿宋_GB2312" w:cs="仿宋_GB2312"/>
          <w:sz w:val="32"/>
          <w:szCs w:val="32"/>
        </w:rPr>
        <w:t>基本支出：指为保障机构正常运转、完成日常工作任务而发生的人员支出和公用支出。</w:t>
      </w:r>
    </w:p>
    <w:p w14:paraId="0F36FA0C">
      <w:pPr>
        <w:ind w:firstLine="640" w:firstLineChars="200"/>
        <w:rPr>
          <w:rFonts w:hint="default" w:ascii="Times New Roman" w:hAnsi="Times New Roman" w:eastAsia="仿宋_GB2312" w:cs="Times New Roman"/>
          <w:color w:val="000000"/>
          <w:sz w:val="32"/>
          <w:szCs w:val="32"/>
        </w:rPr>
      </w:pPr>
      <w:r>
        <w:rPr>
          <w:rFonts w:hint="eastAsia" w:eastAsia="仿宋_GB2312" w:cs="Times New Roman"/>
          <w:color w:val="000000"/>
          <w:sz w:val="32"/>
          <w:szCs w:val="32"/>
          <w:lang w:val="en-US" w:eastAsia="zh-CN"/>
        </w:rPr>
        <w:t>20</w:t>
      </w:r>
      <w:r>
        <w:rPr>
          <w:rFonts w:hint="default" w:ascii="Times New Roman" w:hAnsi="Times New Roman" w:eastAsia="仿宋_GB2312" w:cs="Times New Roman"/>
          <w:color w:val="000000"/>
          <w:sz w:val="32"/>
          <w:szCs w:val="32"/>
        </w:rPr>
        <w:t>.</w:t>
      </w:r>
      <w:r>
        <w:rPr>
          <w:rFonts w:hint="eastAsia" w:eastAsia="仿宋_GB2312" w:cs="仿宋_GB2312"/>
          <w:sz w:val="32"/>
          <w:szCs w:val="32"/>
        </w:rPr>
        <w:t>项目支出：指在基本支出之外为完成特定行政任务和事业发展目标所发生的支出。</w:t>
      </w:r>
      <w:r>
        <w:rPr>
          <w:rFonts w:hint="default" w:ascii="Times New Roman" w:hAnsi="Times New Roman" w:eastAsia="仿宋_GB2312" w:cs="Times New Roman"/>
          <w:color w:val="000000"/>
          <w:sz w:val="32"/>
          <w:szCs w:val="32"/>
        </w:rPr>
        <w:t xml:space="preserve"> </w:t>
      </w:r>
    </w:p>
    <w:p w14:paraId="14732F86">
      <w:pPr>
        <w:pStyle w:val="26"/>
        <w:spacing w:line="560" w:lineRule="exact"/>
        <w:ind w:firstLine="640" w:firstLineChars="200"/>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21</w:t>
      </w:r>
      <w:r>
        <w:rPr>
          <w:rFonts w:hint="default" w:ascii="Times New Roman" w:hAnsi="Times New Roman" w:eastAsia="仿宋_GB2312" w:cs="Times New Roman"/>
          <w:sz w:val="32"/>
          <w:szCs w:val="32"/>
        </w:rPr>
        <w:t>.</w:t>
      </w:r>
      <w:r>
        <w:rPr>
          <w:rFonts w:hint="eastAsia" w:eastAsia="仿宋_GB2312" w:cs="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9FD63DF">
      <w:pPr>
        <w:spacing w:line="600" w:lineRule="exact"/>
        <w:ind w:firstLine="640"/>
        <w:rPr>
          <w:rFonts w:hint="default" w:ascii="Times New Roman" w:hAnsi="Times New Roman" w:eastAsia="仿宋_GB2312" w:cs="Times New Roman"/>
          <w:sz w:val="32"/>
          <w:szCs w:val="32"/>
        </w:rPr>
      </w:pPr>
      <w:r>
        <w:rPr>
          <w:rFonts w:hint="eastAsia" w:eastAsia="仿宋_GB2312" w:cs="Times New Roman"/>
          <w:sz w:val="32"/>
          <w:szCs w:val="32"/>
          <w:lang w:val="en-US" w:eastAsia="zh-CN"/>
        </w:rPr>
        <w:t>22</w:t>
      </w:r>
      <w:r>
        <w:rPr>
          <w:rFonts w:hint="default" w:ascii="Times New Roman" w:hAnsi="Times New Roman" w:eastAsia="仿宋_GB2312" w:cs="Times New Roman"/>
          <w:sz w:val="32"/>
          <w:szCs w:val="32"/>
        </w:rPr>
        <w:t>.</w:t>
      </w:r>
      <w:r>
        <w:rPr>
          <w:rFonts w:hint="eastAsia" w:eastAsia="仿宋_GB2312" w:cs="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866716D">
      <w:pPr>
        <w:spacing w:line="600" w:lineRule="exact"/>
        <w:jc w:val="center"/>
        <w:rPr>
          <w:rStyle w:val="28"/>
          <w:rFonts w:eastAsia="黑体"/>
          <w:b w:val="0"/>
        </w:rPr>
      </w:pPr>
      <w:bookmarkStart w:id="56" w:name="_Toc15377226"/>
      <w:r>
        <w:rPr>
          <w:rFonts w:hint="eastAsia" w:eastAsia="仿宋_GB2312" w:cs="仿宋_GB2312"/>
          <w:sz w:val="32"/>
          <w:szCs w:val="32"/>
        </w:rPr>
        <w:br w:type="page"/>
      </w:r>
      <w:bookmarkStart w:id="57" w:name="_Toc15396614"/>
      <w:r>
        <w:rPr>
          <w:rFonts w:hint="eastAsia" w:eastAsia="黑体"/>
          <w:sz w:val="44"/>
          <w:szCs w:val="44"/>
        </w:rPr>
        <w:t>第四部分  附件</w:t>
      </w:r>
      <w:bookmarkEnd w:id="57"/>
    </w:p>
    <w:p w14:paraId="35FE3B86">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14:paraId="142EE553">
      <w:pPr>
        <w:pStyle w:val="7"/>
        <w:spacing w:line="560" w:lineRule="exact"/>
        <w:ind w:left="0" w:leftChars="0" w:firstLine="640"/>
        <w:rPr>
          <w:rFonts w:ascii="Times New Roman" w:eastAsia="仿宋_GB2312"/>
          <w:sz w:val="32"/>
          <w:lang w:val="zh-CN" w:bidi="ar"/>
        </w:rPr>
      </w:pPr>
    </w:p>
    <w:p w14:paraId="70B7B0D4">
      <w:pPr>
        <w:pStyle w:val="7"/>
        <w:spacing w:line="560" w:lineRule="exact"/>
        <w:ind w:left="0" w:leftChars="0" w:firstLine="640"/>
        <w:rPr>
          <w:rFonts w:hint="eastAsia" w:ascii="Times New Roman" w:eastAsia="仿宋_GB2312"/>
          <w:sz w:val="32"/>
          <w:lang w:val="zh-CN" w:eastAsia="zh-CN" w:bidi="ar"/>
        </w:rPr>
      </w:pPr>
      <w:r>
        <w:rPr>
          <w:rFonts w:hint="eastAsia" w:ascii="Times New Roman" w:eastAsia="仿宋_GB2312"/>
          <w:sz w:val="32"/>
          <w:lang w:val="zh-CN" w:bidi="ar"/>
        </w:rPr>
        <w:t>附表：</w:t>
      </w:r>
      <w:r>
        <w:rPr>
          <w:rFonts w:hint="eastAsia" w:ascii="Times New Roman" w:eastAsia="仿宋_GB2312"/>
          <w:sz w:val="32"/>
          <w:lang w:bidi="ar"/>
        </w:rPr>
        <w:t>部门预算项目支出绩效自评表（2025年度）</w:t>
      </w:r>
      <w:r>
        <w:rPr>
          <w:rFonts w:hint="eastAsia" w:ascii="Times New Roman" w:eastAsia="仿宋_GB2312"/>
          <w:sz w:val="32"/>
          <w:lang w:eastAsia="zh-CN" w:bidi="ar"/>
        </w:rPr>
        <w:t>见附件</w:t>
      </w:r>
    </w:p>
    <w:p w14:paraId="412F0068">
      <w:pPr>
        <w:pStyle w:val="7"/>
        <w:spacing w:line="560" w:lineRule="exact"/>
        <w:ind w:left="0" w:leftChars="0" w:firstLine="0" w:firstLineChars="0"/>
        <w:rPr>
          <w:rFonts w:ascii="Times New Roman"/>
          <w:sz w:val="32"/>
          <w:highlight w:val="yellow"/>
          <w:lang w:val="zh-CN"/>
        </w:rPr>
      </w:pPr>
    </w:p>
    <w:p w14:paraId="15391637">
      <w:pPr>
        <w:pStyle w:val="2"/>
        <w:spacing w:before="93"/>
        <w:rPr>
          <w:rFonts w:ascii="Times New Roman" w:cs="宋体"/>
          <w:color w:val="FF0000"/>
          <w:sz w:val="32"/>
          <w:szCs w:val="32"/>
          <w:highlight w:val="yellow"/>
          <w:shd w:val="clear" w:color="auto" w:fill="FFFFFF"/>
          <w:lang w:val="zh-CN"/>
        </w:rPr>
      </w:pPr>
    </w:p>
    <w:p w14:paraId="6346CCB5">
      <w:pPr>
        <w:rPr>
          <w:rFonts w:eastAsia="黑体" w:cs="黑体"/>
          <w:kern w:val="0"/>
          <w:sz w:val="32"/>
          <w:szCs w:val="32"/>
          <w:shd w:val="clear" w:color="auto" w:fill="FFFFFF"/>
          <w:lang w:val="zh-CN"/>
        </w:rPr>
      </w:pPr>
      <w:r>
        <w:rPr>
          <w:rFonts w:hint="eastAsia" w:eastAsia="黑体" w:cs="黑体"/>
          <w:kern w:val="0"/>
          <w:sz w:val="32"/>
          <w:szCs w:val="32"/>
          <w:shd w:val="clear" w:color="auto" w:fill="FFFFFF"/>
          <w:lang w:val="zh-CN"/>
        </w:rPr>
        <w:br w:type="page"/>
      </w:r>
    </w:p>
    <w:p w14:paraId="58D3158B">
      <w:pPr>
        <w:widowControl/>
        <w:jc w:val="center"/>
        <w:rPr>
          <w:rFonts w:eastAsia="仿宋"/>
        </w:rPr>
      </w:pPr>
      <w:bookmarkStart w:id="58" w:name="_Toc15396618"/>
      <w:r>
        <w:rPr>
          <w:rFonts w:hint="eastAsia" w:eastAsia="黑体"/>
          <w:sz w:val="44"/>
          <w:szCs w:val="44"/>
        </w:rPr>
        <w:t>第</w:t>
      </w:r>
      <w:r>
        <w:rPr>
          <w:rStyle w:val="28"/>
          <w:rFonts w:hint="eastAsia" w:eastAsia="黑体"/>
          <w:b w:val="0"/>
        </w:rPr>
        <w:t>五部分 附表</w:t>
      </w:r>
      <w:bookmarkEnd w:id="56"/>
      <w:bookmarkEnd w:id="58"/>
      <w:bookmarkStart w:id="59" w:name="_Toc15396619"/>
    </w:p>
    <w:p w14:paraId="41F4607B">
      <w:pPr>
        <w:pStyle w:val="14"/>
        <w:adjustRightInd w:val="0"/>
        <w:snapToGrid w:val="0"/>
        <w:spacing w:line="560" w:lineRule="exact"/>
        <w:jc w:val="left"/>
        <w:rPr>
          <w:rFonts w:eastAsia="仿宋_GB2312" w:cs="仿宋_GB2312"/>
          <w:sz w:val="32"/>
          <w:szCs w:val="32"/>
        </w:rPr>
      </w:pPr>
    </w:p>
    <w:p w14:paraId="62FB023C">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9"/>
    </w:p>
    <w:p w14:paraId="0DFF47BD">
      <w:pPr>
        <w:pStyle w:val="14"/>
        <w:adjustRightInd w:val="0"/>
        <w:snapToGrid w:val="0"/>
        <w:spacing w:line="560" w:lineRule="exact"/>
        <w:jc w:val="left"/>
        <w:rPr>
          <w:rFonts w:eastAsia="仿宋_GB2312" w:cs="仿宋_GB2312"/>
          <w:sz w:val="32"/>
          <w:szCs w:val="32"/>
        </w:rPr>
      </w:pPr>
      <w:bookmarkStart w:id="60" w:name="_Toc15396620"/>
      <w:r>
        <w:rPr>
          <w:rFonts w:hint="eastAsia" w:eastAsia="仿宋_GB2312" w:cs="仿宋_GB2312"/>
          <w:sz w:val="32"/>
          <w:szCs w:val="32"/>
        </w:rPr>
        <w:t>二、收入决算表</w:t>
      </w:r>
      <w:bookmarkEnd w:id="60"/>
    </w:p>
    <w:p w14:paraId="3E7DF741">
      <w:pPr>
        <w:pStyle w:val="14"/>
        <w:adjustRightInd w:val="0"/>
        <w:snapToGrid w:val="0"/>
        <w:spacing w:line="560" w:lineRule="exact"/>
        <w:jc w:val="left"/>
        <w:rPr>
          <w:rFonts w:eastAsia="仿宋_GB2312" w:cs="仿宋_GB2312"/>
          <w:sz w:val="32"/>
          <w:szCs w:val="32"/>
        </w:rPr>
      </w:pPr>
      <w:bookmarkStart w:id="61" w:name="_Toc15396621"/>
      <w:r>
        <w:rPr>
          <w:rFonts w:hint="eastAsia" w:eastAsia="仿宋_GB2312" w:cs="仿宋_GB2312"/>
          <w:sz w:val="32"/>
          <w:szCs w:val="32"/>
        </w:rPr>
        <w:t>三、支出决算表</w:t>
      </w:r>
      <w:bookmarkEnd w:id="61"/>
    </w:p>
    <w:p w14:paraId="7725EFEB">
      <w:pPr>
        <w:pStyle w:val="14"/>
        <w:adjustRightInd w:val="0"/>
        <w:snapToGrid w:val="0"/>
        <w:spacing w:line="560" w:lineRule="exact"/>
        <w:jc w:val="left"/>
        <w:rPr>
          <w:rFonts w:eastAsia="仿宋_GB2312" w:cs="仿宋_GB2312"/>
          <w:sz w:val="32"/>
          <w:szCs w:val="32"/>
        </w:rPr>
      </w:pPr>
      <w:bookmarkStart w:id="62" w:name="_Toc15396622"/>
      <w:r>
        <w:rPr>
          <w:rFonts w:hint="eastAsia" w:eastAsia="仿宋_GB2312" w:cs="仿宋_GB2312"/>
          <w:sz w:val="32"/>
          <w:szCs w:val="32"/>
        </w:rPr>
        <w:t>四、财政拨款收入支出决算总表</w:t>
      </w:r>
      <w:bookmarkEnd w:id="62"/>
    </w:p>
    <w:p w14:paraId="154AC766">
      <w:pPr>
        <w:pStyle w:val="14"/>
        <w:adjustRightInd w:val="0"/>
        <w:snapToGrid w:val="0"/>
        <w:spacing w:line="560" w:lineRule="exact"/>
        <w:jc w:val="left"/>
        <w:rPr>
          <w:rFonts w:eastAsia="仿宋_GB2312" w:cs="仿宋_GB2312"/>
          <w:sz w:val="32"/>
          <w:szCs w:val="32"/>
        </w:rPr>
      </w:pPr>
      <w:bookmarkStart w:id="63" w:name="_Toc15396623"/>
      <w:r>
        <w:rPr>
          <w:rFonts w:hint="eastAsia" w:eastAsia="仿宋_GB2312" w:cs="仿宋_GB2312"/>
          <w:sz w:val="32"/>
          <w:szCs w:val="32"/>
        </w:rPr>
        <w:t>五、财政拨款支出决算明细表</w:t>
      </w:r>
      <w:bookmarkEnd w:id="63"/>
      <w:bookmarkStart w:id="64" w:name="_Toc15396624"/>
    </w:p>
    <w:p w14:paraId="6D6E6721">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64"/>
    </w:p>
    <w:p w14:paraId="51814175">
      <w:pPr>
        <w:pStyle w:val="14"/>
        <w:adjustRightInd w:val="0"/>
        <w:snapToGrid w:val="0"/>
        <w:spacing w:line="560" w:lineRule="exact"/>
        <w:jc w:val="left"/>
        <w:rPr>
          <w:rFonts w:eastAsia="仿宋_GB2312" w:cs="仿宋_GB2312"/>
          <w:sz w:val="32"/>
          <w:szCs w:val="32"/>
        </w:rPr>
      </w:pPr>
      <w:bookmarkStart w:id="65" w:name="_Toc15396625"/>
      <w:r>
        <w:rPr>
          <w:rFonts w:hint="eastAsia" w:eastAsia="仿宋_GB2312" w:cs="仿宋_GB2312"/>
          <w:sz w:val="32"/>
          <w:szCs w:val="32"/>
        </w:rPr>
        <w:t>七、一般公共预算财政拨款支出决算明细表</w:t>
      </w:r>
      <w:bookmarkEnd w:id="65"/>
    </w:p>
    <w:p w14:paraId="0BCCA664">
      <w:pPr>
        <w:pStyle w:val="14"/>
        <w:adjustRightInd w:val="0"/>
        <w:snapToGrid w:val="0"/>
        <w:spacing w:line="560" w:lineRule="exact"/>
        <w:jc w:val="left"/>
        <w:rPr>
          <w:rFonts w:eastAsia="仿宋_GB2312" w:cs="仿宋_GB2312"/>
          <w:sz w:val="32"/>
          <w:szCs w:val="32"/>
        </w:rPr>
      </w:pPr>
      <w:bookmarkStart w:id="66" w:name="_Toc15396626"/>
      <w:r>
        <w:rPr>
          <w:rFonts w:hint="eastAsia" w:eastAsia="仿宋_GB2312" w:cs="仿宋_GB2312"/>
          <w:sz w:val="32"/>
          <w:szCs w:val="32"/>
        </w:rPr>
        <w:t>八、一般公共预算财政拨款基本支出决算表</w:t>
      </w:r>
      <w:bookmarkEnd w:id="66"/>
    </w:p>
    <w:p w14:paraId="6EFDD7AB">
      <w:pPr>
        <w:pStyle w:val="14"/>
        <w:adjustRightInd w:val="0"/>
        <w:snapToGrid w:val="0"/>
        <w:spacing w:line="560" w:lineRule="exact"/>
        <w:jc w:val="left"/>
        <w:rPr>
          <w:rFonts w:eastAsia="仿宋_GB2312" w:cs="仿宋_GB2312"/>
          <w:sz w:val="32"/>
          <w:szCs w:val="32"/>
        </w:rPr>
      </w:pPr>
      <w:bookmarkStart w:id="67" w:name="_Toc15396627"/>
      <w:r>
        <w:rPr>
          <w:rFonts w:hint="eastAsia" w:eastAsia="仿宋_GB2312" w:cs="仿宋_GB2312"/>
          <w:sz w:val="32"/>
          <w:szCs w:val="32"/>
        </w:rPr>
        <w:t>九、一般公共预算财政拨款项目支出决算表</w:t>
      </w:r>
      <w:bookmarkEnd w:id="67"/>
    </w:p>
    <w:p w14:paraId="6DA35787">
      <w:pPr>
        <w:pStyle w:val="14"/>
        <w:adjustRightInd w:val="0"/>
        <w:snapToGrid w:val="0"/>
        <w:spacing w:line="560" w:lineRule="exact"/>
        <w:jc w:val="left"/>
        <w:rPr>
          <w:rFonts w:eastAsia="仿宋_GB2312" w:cs="仿宋_GB2312"/>
          <w:sz w:val="32"/>
          <w:szCs w:val="32"/>
        </w:rPr>
      </w:pPr>
      <w:bookmarkStart w:id="68" w:name="_Toc15396628"/>
      <w:r>
        <w:rPr>
          <w:rFonts w:hint="eastAsia" w:eastAsia="仿宋_GB2312" w:cs="仿宋_GB2312"/>
          <w:sz w:val="32"/>
          <w:szCs w:val="32"/>
        </w:rPr>
        <w:t>十、</w:t>
      </w:r>
      <w:bookmarkEnd w:id="68"/>
      <w:r>
        <w:rPr>
          <w:rFonts w:hint="eastAsia" w:eastAsia="仿宋_GB2312" w:cs="仿宋_GB2312"/>
          <w:sz w:val="32"/>
          <w:szCs w:val="32"/>
        </w:rPr>
        <w:t>政府性基金预算财政拨款收入支出决算表</w:t>
      </w:r>
    </w:p>
    <w:p w14:paraId="63271F03">
      <w:pPr>
        <w:pStyle w:val="14"/>
        <w:adjustRightInd w:val="0"/>
        <w:snapToGrid w:val="0"/>
        <w:spacing w:line="560" w:lineRule="exact"/>
        <w:jc w:val="left"/>
        <w:rPr>
          <w:rFonts w:eastAsia="仿宋_GB2312" w:cs="仿宋_GB2312"/>
          <w:sz w:val="32"/>
          <w:szCs w:val="32"/>
        </w:rPr>
      </w:pPr>
      <w:bookmarkStart w:id="69" w:name="_Toc15396629"/>
      <w:r>
        <w:rPr>
          <w:rFonts w:hint="eastAsia" w:eastAsia="仿宋_GB2312" w:cs="仿宋_GB2312"/>
          <w:sz w:val="32"/>
          <w:szCs w:val="32"/>
        </w:rPr>
        <w:t>十一、</w:t>
      </w:r>
      <w:bookmarkEnd w:id="69"/>
      <w:r>
        <w:rPr>
          <w:rFonts w:hint="eastAsia" w:eastAsia="仿宋_GB2312" w:cs="仿宋_GB2312"/>
          <w:sz w:val="32"/>
          <w:szCs w:val="32"/>
        </w:rPr>
        <w:t>国有资本经营预算财政拨款收入支出决算表</w:t>
      </w:r>
    </w:p>
    <w:p w14:paraId="4FE395E5">
      <w:pPr>
        <w:pStyle w:val="14"/>
        <w:adjustRightInd w:val="0"/>
        <w:snapToGrid w:val="0"/>
        <w:spacing w:line="560" w:lineRule="exact"/>
        <w:jc w:val="left"/>
        <w:rPr>
          <w:rFonts w:eastAsia="仿宋_GB2312" w:cs="仿宋_GB2312"/>
          <w:sz w:val="32"/>
          <w:szCs w:val="32"/>
        </w:rPr>
      </w:pPr>
      <w:bookmarkStart w:id="70" w:name="_Toc15396630"/>
      <w:r>
        <w:rPr>
          <w:rFonts w:hint="eastAsia" w:eastAsia="仿宋_GB2312" w:cs="仿宋_GB2312"/>
          <w:sz w:val="32"/>
          <w:szCs w:val="32"/>
        </w:rPr>
        <w:t>十二、</w:t>
      </w:r>
      <w:bookmarkEnd w:id="70"/>
      <w:r>
        <w:rPr>
          <w:rFonts w:hint="eastAsia" w:eastAsia="仿宋_GB2312" w:cs="仿宋_GB2312"/>
          <w:sz w:val="32"/>
          <w:szCs w:val="32"/>
        </w:rPr>
        <w:t>国有资本经营预算财政拨款支出决算表</w:t>
      </w:r>
    </w:p>
    <w:p w14:paraId="09585A54">
      <w:pPr>
        <w:pStyle w:val="14"/>
        <w:adjustRightInd w:val="0"/>
        <w:snapToGrid w:val="0"/>
        <w:spacing w:line="560" w:lineRule="exact"/>
        <w:jc w:val="left"/>
        <w:rPr>
          <w:rFonts w:eastAsia="仿宋_GB2312" w:cs="仿宋_GB2312"/>
          <w:sz w:val="32"/>
          <w:szCs w:val="32"/>
        </w:rPr>
      </w:pPr>
      <w:bookmarkStart w:id="71" w:name="_Toc15396631"/>
      <w:r>
        <w:rPr>
          <w:rFonts w:hint="eastAsia" w:eastAsia="仿宋_GB2312" w:cs="仿宋_GB2312"/>
          <w:sz w:val="32"/>
          <w:szCs w:val="32"/>
        </w:rPr>
        <w:t>十三、</w:t>
      </w:r>
      <w:bookmarkEnd w:id="71"/>
      <w:r>
        <w:rPr>
          <w:rFonts w:hint="eastAsia" w:eastAsia="仿宋_GB2312" w:cs="仿宋_GB2312"/>
          <w:sz w:val="32"/>
          <w:szCs w:val="32"/>
        </w:rPr>
        <w:t>财政拨款“三公”经费支出决算表</w:t>
      </w:r>
    </w:p>
    <w:p w14:paraId="55DE1A20"/>
    <w:sectPr>
      <w:footerReference r:id="rId9" w:type="first"/>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11051B6-25A3-435F-84DD-8AE1BB3AFC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2" w:fontKey="{EB27CAEA-B770-482F-AF5C-0B0F37CB09A0}"/>
  </w:font>
  <w:font w:name="仿宋">
    <w:panose1 w:val="02010609060101010101"/>
    <w:charset w:val="86"/>
    <w:family w:val="modern"/>
    <w:pitch w:val="default"/>
    <w:sig w:usb0="800002BF" w:usb1="38CF7CFA" w:usb2="00000016" w:usb3="00000000" w:csb0="00040001" w:csb1="00000000"/>
    <w:embedRegular r:id="rId3" w:fontKey="{CB04556B-DD0F-43CA-8602-1506A8C26DBF}"/>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00000001" w:usb1="08000000" w:usb2="00000000" w:usb3="00000000" w:csb0="00040000" w:csb1="00000000"/>
    <w:embedRegular r:id="rId4" w:fontKey="{0F5D6DAA-01E7-4789-9771-55565A436EAB}"/>
  </w:font>
  <w:font w:name="楷体_GB2312">
    <w:altName w:val="楷体"/>
    <w:panose1 w:val="02010609030101010101"/>
    <w:charset w:val="86"/>
    <w:family w:val="modern"/>
    <w:pitch w:val="default"/>
    <w:sig w:usb0="00000000" w:usb1="00000000" w:usb2="00000010" w:usb3="00000000" w:csb0="00040000" w:csb1="00000000"/>
    <w:embedRegular r:id="rId5" w:fontKey="{B7B7FAF9-40DE-479B-A333-C07F39F476B7}"/>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1B369">
    <w:pPr>
      <w:pStyle w:val="1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606A9">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5C606A9">
                    <w:pPr>
                      <w:pStyle w:val="10"/>
                    </w:pPr>
                    <w:r>
                      <w:fldChar w:fldCharType="begin"/>
                    </w:r>
                    <w:r>
                      <w:instrText xml:space="preserve"> PAGE  \* MERGEFORMAT </w:instrText>
                    </w:r>
                    <w:r>
                      <w:fldChar w:fldCharType="separate"/>
                    </w:r>
                    <w:r>
                      <w:t>1</w:t>
                    </w:r>
                    <w:r>
                      <w:fldChar w:fldCharType="end"/>
                    </w:r>
                  </w:p>
                </w:txbxContent>
              </v:textbox>
            </v:shape>
          </w:pict>
        </mc:Fallback>
      </mc:AlternateContent>
    </w:r>
  </w:p>
  <w:p w14:paraId="1CBE934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253E">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6CF24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66CF24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115A4">
    <w:pPr>
      <w:pStyle w:val="1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2D2D3A">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32D2D3A">
                    <w:pPr>
                      <w:pStyle w:val="10"/>
                    </w:pPr>
                    <w:r>
                      <w:fldChar w:fldCharType="begin"/>
                    </w:r>
                    <w:r>
                      <w:instrText xml:space="preserve"> PAGE  \* MERGEFORMAT </w:instrText>
                    </w:r>
                    <w:r>
                      <w:fldChar w:fldCharType="separate"/>
                    </w:r>
                    <w:r>
                      <w:t>1</w:t>
                    </w:r>
                    <w:r>
                      <w:fldChar w:fldCharType="end"/>
                    </w:r>
                  </w:p>
                </w:txbxContent>
              </v:textbox>
            </v:shape>
          </w:pict>
        </mc:Fallback>
      </mc:AlternateContent>
    </w:r>
  </w:p>
  <w:p w14:paraId="0CC3A451">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52BFB">
    <w:pPr>
      <w:pStyle w:val="1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53BF2">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AB53BF2">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562B">
    <w:pPr>
      <w:pStyle w:val="1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2BC9A">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1B2BC9A">
                    <w:pPr>
                      <w:pStyle w:val="10"/>
                    </w:pPr>
                    <w:r>
                      <w:fldChar w:fldCharType="begin"/>
                    </w:r>
                    <w:r>
                      <w:instrText xml:space="preserve"> PAGE  \* MERGEFORMAT </w:instrText>
                    </w:r>
                    <w:r>
                      <w:fldChar w:fldCharType="separate"/>
                    </w:r>
                    <w:r>
                      <w:t>1</w:t>
                    </w:r>
                    <w:r>
                      <w:fldChar w:fldCharType="end"/>
                    </w:r>
                  </w:p>
                </w:txbxContent>
              </v:textbox>
            </v:shape>
          </w:pict>
        </mc:Fallback>
      </mc:AlternateContent>
    </w:r>
  </w:p>
  <w:p w14:paraId="6C78316A">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7B83C">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A79E9B">
                          <w:pPr>
                            <w:pStyle w:val="10"/>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BA79E9B">
                    <w:pPr>
                      <w:pStyle w:val="10"/>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ADF57">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76CCC"/>
    <w:multiLevelType w:val="singleLevel"/>
    <w:tmpl w:val="B1676CCC"/>
    <w:lvl w:ilvl="0" w:tentative="0">
      <w:start w:val="1"/>
      <w:numFmt w:val="decimal"/>
      <w:suff w:val="nothing"/>
      <w:lvlText w:val="%1、"/>
      <w:lvlJc w:val="left"/>
    </w:lvl>
  </w:abstractNum>
  <w:abstractNum w:abstractNumId="1">
    <w:nsid w:val="D27FF505"/>
    <w:multiLevelType w:val="singleLevel"/>
    <w:tmpl w:val="D27FF505"/>
    <w:lvl w:ilvl="0" w:tentative="0">
      <w:start w:val="1"/>
      <w:numFmt w:val="chineseCounting"/>
      <w:suff w:val="nothing"/>
      <w:lvlText w:val="%1、"/>
      <w:lvlJc w:val="left"/>
      <w:rPr>
        <w:rFonts w:hint="eastAsia"/>
      </w:rPr>
    </w:lvl>
  </w:abstractNum>
  <w:abstractNum w:abstractNumId="2">
    <w:nsid w:val="425632D7"/>
    <w:multiLevelType w:val="singleLevel"/>
    <w:tmpl w:val="425632D7"/>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1ADD"/>
    <w:rsid w:val="00163351"/>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66425"/>
    <w:rsid w:val="0037013F"/>
    <w:rsid w:val="00380C92"/>
    <w:rsid w:val="003A167B"/>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75C6A"/>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3741F"/>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87D95"/>
    <w:rsid w:val="009931C3"/>
    <w:rsid w:val="009A1776"/>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5EA2"/>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43BF5"/>
    <w:rsid w:val="00D51247"/>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2317B1B"/>
    <w:rsid w:val="02FEBE30"/>
    <w:rsid w:val="03332115"/>
    <w:rsid w:val="03A10CAA"/>
    <w:rsid w:val="047343F5"/>
    <w:rsid w:val="04B91101"/>
    <w:rsid w:val="061E35DE"/>
    <w:rsid w:val="066E0107"/>
    <w:rsid w:val="06D82C35"/>
    <w:rsid w:val="07996F6E"/>
    <w:rsid w:val="07DFD8BA"/>
    <w:rsid w:val="08493DEA"/>
    <w:rsid w:val="08DB07E4"/>
    <w:rsid w:val="092B34F0"/>
    <w:rsid w:val="09624E29"/>
    <w:rsid w:val="09867E8F"/>
    <w:rsid w:val="09DB4F16"/>
    <w:rsid w:val="0A2032A3"/>
    <w:rsid w:val="0C6C4794"/>
    <w:rsid w:val="0CA8290A"/>
    <w:rsid w:val="0D35B1ED"/>
    <w:rsid w:val="0DE07E2B"/>
    <w:rsid w:val="0F98263C"/>
    <w:rsid w:val="101860EC"/>
    <w:rsid w:val="10C055FF"/>
    <w:rsid w:val="11382C4E"/>
    <w:rsid w:val="11772AA4"/>
    <w:rsid w:val="118107EC"/>
    <w:rsid w:val="11957775"/>
    <w:rsid w:val="13101CBF"/>
    <w:rsid w:val="1312127D"/>
    <w:rsid w:val="13D50BC4"/>
    <w:rsid w:val="14022904"/>
    <w:rsid w:val="152F2A07"/>
    <w:rsid w:val="165E0673"/>
    <w:rsid w:val="16BB723D"/>
    <w:rsid w:val="17580B07"/>
    <w:rsid w:val="186504BB"/>
    <w:rsid w:val="1938089F"/>
    <w:rsid w:val="19A445FC"/>
    <w:rsid w:val="1A2F6BB8"/>
    <w:rsid w:val="1A965070"/>
    <w:rsid w:val="1B481CDF"/>
    <w:rsid w:val="1B7B31C6"/>
    <w:rsid w:val="1B7D550C"/>
    <w:rsid w:val="1BE8440E"/>
    <w:rsid w:val="1D155CEE"/>
    <w:rsid w:val="1E740ACF"/>
    <w:rsid w:val="1FF35744"/>
    <w:rsid w:val="1FF6BC77"/>
    <w:rsid w:val="21962A9E"/>
    <w:rsid w:val="21AE7C77"/>
    <w:rsid w:val="22BC3C41"/>
    <w:rsid w:val="23860B96"/>
    <w:rsid w:val="240371BF"/>
    <w:rsid w:val="260F557C"/>
    <w:rsid w:val="26AD77E2"/>
    <w:rsid w:val="281408E2"/>
    <w:rsid w:val="28AB7671"/>
    <w:rsid w:val="299E6507"/>
    <w:rsid w:val="29FD04D3"/>
    <w:rsid w:val="2AB97D73"/>
    <w:rsid w:val="2BCC089F"/>
    <w:rsid w:val="2BD745B4"/>
    <w:rsid w:val="2BFF7BC6"/>
    <w:rsid w:val="2C8A61B5"/>
    <w:rsid w:val="2D2E01CF"/>
    <w:rsid w:val="2DF04E50"/>
    <w:rsid w:val="2E9545B0"/>
    <w:rsid w:val="2F040D46"/>
    <w:rsid w:val="2F081A5A"/>
    <w:rsid w:val="2FAE5751"/>
    <w:rsid w:val="2FB1A395"/>
    <w:rsid w:val="2FD9A7D8"/>
    <w:rsid w:val="319F7F4E"/>
    <w:rsid w:val="321B2544"/>
    <w:rsid w:val="329F26D5"/>
    <w:rsid w:val="3304709D"/>
    <w:rsid w:val="33BE302F"/>
    <w:rsid w:val="33FB1B8D"/>
    <w:rsid w:val="34281836"/>
    <w:rsid w:val="349D6851"/>
    <w:rsid w:val="35BA6CAF"/>
    <w:rsid w:val="364D14C1"/>
    <w:rsid w:val="36AA5135"/>
    <w:rsid w:val="36BE0DA7"/>
    <w:rsid w:val="37023232"/>
    <w:rsid w:val="376B6AA6"/>
    <w:rsid w:val="376D39B2"/>
    <w:rsid w:val="378E2D18"/>
    <w:rsid w:val="37E16F03"/>
    <w:rsid w:val="37F53A3B"/>
    <w:rsid w:val="389B6C89"/>
    <w:rsid w:val="38D469F0"/>
    <w:rsid w:val="39627CCD"/>
    <w:rsid w:val="397BAF1F"/>
    <w:rsid w:val="3A26548A"/>
    <w:rsid w:val="3AB79AF3"/>
    <w:rsid w:val="3B7EF35A"/>
    <w:rsid w:val="3B9FDB6C"/>
    <w:rsid w:val="3BF5BC2F"/>
    <w:rsid w:val="3CEBA265"/>
    <w:rsid w:val="3D98207C"/>
    <w:rsid w:val="3D9B0D99"/>
    <w:rsid w:val="3DEE7CF3"/>
    <w:rsid w:val="3DF02244"/>
    <w:rsid w:val="3E78745D"/>
    <w:rsid w:val="3F1C50AD"/>
    <w:rsid w:val="3F511A4A"/>
    <w:rsid w:val="3FF4CAE0"/>
    <w:rsid w:val="3FF7B227"/>
    <w:rsid w:val="406F6A92"/>
    <w:rsid w:val="40CF16D4"/>
    <w:rsid w:val="40E54C45"/>
    <w:rsid w:val="415B3E9B"/>
    <w:rsid w:val="418D04DF"/>
    <w:rsid w:val="43A407DF"/>
    <w:rsid w:val="44324DBA"/>
    <w:rsid w:val="44515BEA"/>
    <w:rsid w:val="44995935"/>
    <w:rsid w:val="44E268DA"/>
    <w:rsid w:val="453F7E5B"/>
    <w:rsid w:val="46B8390E"/>
    <w:rsid w:val="46D02A05"/>
    <w:rsid w:val="47F95F8C"/>
    <w:rsid w:val="486A6C7A"/>
    <w:rsid w:val="49176D9B"/>
    <w:rsid w:val="49287DAE"/>
    <w:rsid w:val="4A627F82"/>
    <w:rsid w:val="4B0E749A"/>
    <w:rsid w:val="4B4D6D1A"/>
    <w:rsid w:val="4B4F25DA"/>
    <w:rsid w:val="4BDA0CFB"/>
    <w:rsid w:val="4BE068DB"/>
    <w:rsid w:val="4D1B218F"/>
    <w:rsid w:val="4D3C0CCC"/>
    <w:rsid w:val="4D577224"/>
    <w:rsid w:val="4D64659D"/>
    <w:rsid w:val="4D901140"/>
    <w:rsid w:val="4DBF1CEB"/>
    <w:rsid w:val="4E3B72FE"/>
    <w:rsid w:val="4EAB630A"/>
    <w:rsid w:val="4ECE2238"/>
    <w:rsid w:val="4EE2777A"/>
    <w:rsid w:val="4EFF657E"/>
    <w:rsid w:val="4F833267"/>
    <w:rsid w:val="4FB8497E"/>
    <w:rsid w:val="4FD600B2"/>
    <w:rsid w:val="4FE9BD67"/>
    <w:rsid w:val="4FFB052F"/>
    <w:rsid w:val="52474F15"/>
    <w:rsid w:val="53083A92"/>
    <w:rsid w:val="537E6D0A"/>
    <w:rsid w:val="53AF27A2"/>
    <w:rsid w:val="53F74C96"/>
    <w:rsid w:val="547F5A6B"/>
    <w:rsid w:val="554379FD"/>
    <w:rsid w:val="56004989"/>
    <w:rsid w:val="56E47B74"/>
    <w:rsid w:val="579E445A"/>
    <w:rsid w:val="57BD3DD4"/>
    <w:rsid w:val="5AF92295"/>
    <w:rsid w:val="5BDD79E6"/>
    <w:rsid w:val="5BF561CA"/>
    <w:rsid w:val="5BFF5DFC"/>
    <w:rsid w:val="5C380CC4"/>
    <w:rsid w:val="5CD71FC4"/>
    <w:rsid w:val="5CE77A23"/>
    <w:rsid w:val="5D02548B"/>
    <w:rsid w:val="5D1F11B5"/>
    <w:rsid w:val="5DAE1B18"/>
    <w:rsid w:val="5DD46E27"/>
    <w:rsid w:val="5DE7D9E5"/>
    <w:rsid w:val="5EAB6A71"/>
    <w:rsid w:val="5ECEC941"/>
    <w:rsid w:val="5F204A96"/>
    <w:rsid w:val="5F493CB7"/>
    <w:rsid w:val="5FBF9FF3"/>
    <w:rsid w:val="5FCD4E2C"/>
    <w:rsid w:val="5FD15F49"/>
    <w:rsid w:val="5FEF394A"/>
    <w:rsid w:val="5FF67715"/>
    <w:rsid w:val="60D158A0"/>
    <w:rsid w:val="62255EA3"/>
    <w:rsid w:val="62BF3928"/>
    <w:rsid w:val="647F5392"/>
    <w:rsid w:val="664B1D71"/>
    <w:rsid w:val="67AA3209"/>
    <w:rsid w:val="67FB439B"/>
    <w:rsid w:val="681C4F0D"/>
    <w:rsid w:val="69046D0F"/>
    <w:rsid w:val="690E2DE0"/>
    <w:rsid w:val="698D0931"/>
    <w:rsid w:val="698E54C5"/>
    <w:rsid w:val="6A993CED"/>
    <w:rsid w:val="6B053271"/>
    <w:rsid w:val="6BCE6674"/>
    <w:rsid w:val="6C4A05C8"/>
    <w:rsid w:val="6C4D6722"/>
    <w:rsid w:val="6C8742B8"/>
    <w:rsid w:val="6C8A170F"/>
    <w:rsid w:val="6CB54609"/>
    <w:rsid w:val="6DBF5E93"/>
    <w:rsid w:val="6DFF077E"/>
    <w:rsid w:val="6E7E3605"/>
    <w:rsid w:val="6E7FDCC7"/>
    <w:rsid w:val="6ED6A62E"/>
    <w:rsid w:val="6EE00B15"/>
    <w:rsid w:val="6F0D03EB"/>
    <w:rsid w:val="6F544B20"/>
    <w:rsid w:val="6F6FB3EB"/>
    <w:rsid w:val="6F784160"/>
    <w:rsid w:val="6F8731EA"/>
    <w:rsid w:val="6FCE6052"/>
    <w:rsid w:val="6FD57C00"/>
    <w:rsid w:val="6FEFFFD8"/>
    <w:rsid w:val="6FF5CC65"/>
    <w:rsid w:val="6FFB47EC"/>
    <w:rsid w:val="6FFF034A"/>
    <w:rsid w:val="70496804"/>
    <w:rsid w:val="70944183"/>
    <w:rsid w:val="712A28F1"/>
    <w:rsid w:val="715C0E4B"/>
    <w:rsid w:val="72233669"/>
    <w:rsid w:val="72734D90"/>
    <w:rsid w:val="72A86C1C"/>
    <w:rsid w:val="7332FE48"/>
    <w:rsid w:val="73AB61DA"/>
    <w:rsid w:val="73AD73D5"/>
    <w:rsid w:val="73B6EB34"/>
    <w:rsid w:val="73F952CF"/>
    <w:rsid w:val="73FA497D"/>
    <w:rsid w:val="744731E5"/>
    <w:rsid w:val="74527205"/>
    <w:rsid w:val="74BBD01D"/>
    <w:rsid w:val="74ED5379"/>
    <w:rsid w:val="74FC2395"/>
    <w:rsid w:val="75DEEEC2"/>
    <w:rsid w:val="760F5282"/>
    <w:rsid w:val="766B04BA"/>
    <w:rsid w:val="76E3355F"/>
    <w:rsid w:val="76FF5125"/>
    <w:rsid w:val="776F6FFA"/>
    <w:rsid w:val="778769C8"/>
    <w:rsid w:val="778F6F79"/>
    <w:rsid w:val="77DC22F5"/>
    <w:rsid w:val="79086DAD"/>
    <w:rsid w:val="79974F09"/>
    <w:rsid w:val="79D7FD79"/>
    <w:rsid w:val="79EE5BA4"/>
    <w:rsid w:val="7A894339"/>
    <w:rsid w:val="7AFF7572"/>
    <w:rsid w:val="7B6C7DFB"/>
    <w:rsid w:val="7BBFBED0"/>
    <w:rsid w:val="7BC3E394"/>
    <w:rsid w:val="7C0A1AE3"/>
    <w:rsid w:val="7C1F3737"/>
    <w:rsid w:val="7CA024F4"/>
    <w:rsid w:val="7CBFC87B"/>
    <w:rsid w:val="7CFE0F48"/>
    <w:rsid w:val="7D7EC23E"/>
    <w:rsid w:val="7D916348"/>
    <w:rsid w:val="7E8ADEBF"/>
    <w:rsid w:val="7EEF11D3"/>
    <w:rsid w:val="7F0971A6"/>
    <w:rsid w:val="7F3F679B"/>
    <w:rsid w:val="7F4FC4EF"/>
    <w:rsid w:val="7F5E4D54"/>
    <w:rsid w:val="7F6E0135"/>
    <w:rsid w:val="7F6F6558"/>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200" w:leftChars="200"/>
    </w:pPr>
    <w:rPr>
      <w:rFonts w:ascii="仿宋_GB2312"/>
      <w:szCs w:val="32"/>
    </w:rPr>
  </w:style>
  <w:style w:type="paragraph" w:styleId="7">
    <w:name w:val="Body Text First Indent 2"/>
    <w:basedOn w:val="6"/>
    <w:next w:val="1"/>
    <w:link w:val="35"/>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3"/>
    <w:qFormat/>
    <w:uiPriority w:val="9"/>
    <w:rPr>
      <w:rFonts w:ascii="Times New Roman" w:hAnsi="Times New Roman"/>
      <w:b/>
      <w:bCs/>
      <w:kern w:val="44"/>
      <w:sz w:val="44"/>
      <w:szCs w:val="44"/>
    </w:rPr>
  </w:style>
  <w:style w:type="character" w:customStyle="1" w:styleId="29">
    <w:name w:val="标题 2 Char"/>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9"/>
    <w:semiHidden/>
    <w:qFormat/>
    <w:uiPriority w:val="99"/>
    <w:rPr>
      <w:rFonts w:ascii="Times New Roman" w:hAnsi="Times New Roman"/>
      <w:kern w:val="2"/>
      <w:sz w:val="18"/>
      <w:szCs w:val="18"/>
    </w:rPr>
  </w:style>
  <w:style w:type="character" w:customStyle="1" w:styleId="32">
    <w:name w:val="标题 3 Char"/>
    <w:basedOn w:val="16"/>
    <w:link w:val="5"/>
    <w:qFormat/>
    <w:uiPriority w:val="9"/>
    <w:rPr>
      <w:rFonts w:ascii="Times New Roman" w:hAnsi="Times New Roman"/>
      <w:b/>
      <w:bCs/>
      <w:kern w:val="2"/>
      <w:sz w:val="32"/>
      <w:szCs w:val="32"/>
    </w:rPr>
  </w:style>
  <w:style w:type="paragraph" w:customStyle="1" w:styleId="33">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 w:type="character" w:customStyle="1" w:styleId="35">
    <w:name w:val="正文首行缩进 2 Char"/>
    <w:basedOn w:val="16"/>
    <w:link w:val="7"/>
    <w:qFormat/>
    <w:uiPriority w:val="99"/>
    <w:rPr>
      <w:rFonts w:ascii="仿宋_GB2312"/>
      <w:kern w:val="2"/>
      <w:sz w:val="21"/>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6.xml"/><Relationship Id="rId17" Type="http://schemas.openxmlformats.org/officeDocument/2006/relationships/image" Target="media/image1.emf"/><Relationship Id="rId16" Type="http://schemas.openxmlformats.org/officeDocument/2006/relationships/oleObject" Target="embeddings/oleObject1.bin"/><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4" Type="http://schemas.microsoft.com/office/2011/relationships/chartColorStyle" Target="colors5.xml"/><Relationship Id="rId3" Type="http://schemas.microsoft.com/office/2011/relationships/chartStyle" Target="style5.xml"/><Relationship Id="rId2" Type="http://schemas.openxmlformats.org/officeDocument/2006/relationships/themeOverride" Target="../theme/themeOverride1.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2025年收入、支出决算情况表</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收入</c:v>
                </c:pt>
                <c:pt idx="1">
                  <c:v>支出</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4318.46</c:v>
                </c:pt>
                <c:pt idx="1">
                  <c:v>4318.46</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收入</c:v>
                </c:pt>
                <c:pt idx="1">
                  <c:v>支出</c:v>
                </c:pt>
              </c:strCache>
            </c:strRef>
          </c:cat>
          <c:val>
            <c:numRef>
              <c:extLst>
                <c:ext xmlns:c15="http://schemas.microsoft.com/office/drawing/2012/chart" uri="{02D57815-91ED-43cb-92C2-25804820EDAC}">
                  <c15:fullRef>
                    <c15:sqref>Sheet1!$C$2:$C$5</c15:sqref>
                  </c15:fullRef>
                </c:ext>
              </c:extLst>
              <c:f>Sheet1!$C$2:$C$3</c:f>
              <c:numCache>
                <c:formatCode>General</c:formatCode>
                <c:ptCount val="2"/>
                <c:pt idx="0">
                  <c:v>2536.98</c:v>
                </c:pt>
                <c:pt idx="1">
                  <c:v>2536.98</c:v>
                </c:pt>
              </c:numCache>
            </c:numRef>
          </c:val>
        </c:ser>
        <c:dLbls>
          <c:showLegendKey val="0"/>
          <c:showVal val="1"/>
          <c:showCatName val="0"/>
          <c:showSerName val="0"/>
          <c:showPercent val="0"/>
          <c:showBubbleSize val="0"/>
        </c:dLbls>
        <c:gapWidth val="260"/>
        <c:overlap val="-32"/>
        <c:axId val="426171982"/>
        <c:axId val="948642977"/>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系列 3</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收入</c:v>
                      </c:pt>
                      <c:pt idx="1">
                        <c:v>支出</c:v>
                      </c:pt>
                    </c:strCache>
                  </c:strRef>
                </c:cat>
                <c:val>
                  <c:numRef>
                    <c:extLst>
                      <c:ext uri="{02D57815-91ED-43cb-92C2-25804820EDAC}">
                        <c15:fullRef>
                          <c15:sqref>Sheet1!$D$2:$D$5</c15:sqref>
                        </c15:fullRef>
                        <c15:formulaRef>
                          <c15:sqref>Sheet1!$D$2:$D$3</c15:sqref>
                        </c15:formulaRef>
                      </c:ext>
                    </c:extLst>
                    <c:numCache>
                      <c:formatCode>General</c:formatCode>
                      <c:ptCount val="2"/>
                      <c:pt idx="0">
                        <c:v>2</c:v>
                      </c:pt>
                      <c:pt idx="1">
                        <c:v>2</c:v>
                      </c:pt>
                    </c:numCache>
                  </c:numRef>
                </c:val>
              </c15:ser>
            </c15:filteredBarSeries>
          </c:ext>
        </c:extLst>
      </c:barChart>
      <c:catAx>
        <c:axId val="42617198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48642977"/>
        <c:crosses val="autoZero"/>
        <c:auto val="1"/>
        <c:lblAlgn val="ctr"/>
        <c:lblOffset val="100"/>
        <c:noMultiLvlLbl val="0"/>
      </c:catAx>
      <c:valAx>
        <c:axId val="948642977"/>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26171982"/>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14612aa-3064-4dc8-bd5f-4048f6d7b00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manualLayout>
          <c:layoutTarget val="inner"/>
          <c:xMode val="edge"/>
          <c:yMode val="edge"/>
          <c:x val="0.27947571877265"/>
          <c:y val="0.298555036124097"/>
          <c:w val="0.39514375453008"/>
          <c:h val="0.695070123246919"/>
        </c:manualLayout>
      </c:layout>
      <c:pieChart>
        <c:varyColors val="1"/>
        <c:ser>
          <c:idx val="0"/>
          <c:order val="0"/>
          <c:tx>
            <c:strRef>
              <c:f>Sheet1!$B$1</c:f>
              <c:strCache>
                <c:ptCount val="1"/>
                <c:pt idx="0">
                  <c:v>2025年收入</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一般公共预算</c:v>
                </c:pt>
                <c:pt idx="1">
                  <c:v>其他收入</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1424.12</c:v>
                </c:pt>
                <c:pt idx="1">
                  <c:v>1052.64</c:v>
                </c:pt>
              </c:numCache>
            </c:numRef>
          </c:val>
        </c:ser>
        <c:dLbls>
          <c:showLegendKey val="0"/>
          <c:showVal val="0"/>
          <c:showCatName val="1"/>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9aab0fb-3fe8-42ea-86c6-a4a92dd7f8e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2025年支出</c:v>
                </c:pt>
              </c:strCache>
            </c:strRef>
          </c:tx>
          <c:spPr/>
          <c:explosion val="0"/>
          <c:dPt>
            <c:idx val="0"/>
            <c:bubble3D val="0"/>
            <c:spPr>
              <a:gradFill>
                <a:gsLst>
                  <a:gs pos="0">
                    <a:schemeClr val="accent1">
                      <a:hueOff val="-1670000"/>
                    </a:schemeClr>
                  </a:gs>
                  <a:gs pos="100000">
                    <a:schemeClr val="accent1"/>
                  </a:gs>
                </a:gsLst>
                <a:lin ang="5400000" scaled="0"/>
              </a:gradFill>
              <a:ln>
                <a:gradFill>
                  <a:gsLst>
                    <a:gs pos="0">
                      <a:schemeClr val="accent1">
                        <a:lumMod val="75000"/>
                        <a:hueOff val="-1670000"/>
                      </a:schemeClr>
                    </a:gs>
                    <a:gs pos="100000">
                      <a:schemeClr val="accent1">
                        <a:lumMod val="75000"/>
                      </a:schemeClr>
                    </a:gs>
                  </a:gsLst>
                  <a:lin ang="5400000" scaled="1"/>
                </a:gradFill>
              </a:ln>
              <a:effectLst/>
            </c:spPr>
          </c:dPt>
          <c:dPt>
            <c:idx val="1"/>
            <c:bubble3D val="0"/>
            <c:spPr>
              <a:gradFill>
                <a:gsLst>
                  <a:gs pos="0">
                    <a:schemeClr val="accent2">
                      <a:hueOff val="-1670000"/>
                    </a:schemeClr>
                  </a:gs>
                  <a:gs pos="100000">
                    <a:schemeClr val="accent2"/>
                  </a:gs>
                </a:gsLst>
                <a:lin ang="5400000" scaled="0"/>
              </a:gradFill>
              <a:ln>
                <a:gradFill>
                  <a:gsLst>
                    <a:gs pos="0">
                      <a:schemeClr val="accent2">
                        <a:lumMod val="75000"/>
                        <a:hueOff val="-1670000"/>
                      </a:schemeClr>
                    </a:gs>
                    <a:gs pos="100000">
                      <a:schemeClr val="accent2">
                        <a:lumMod val="75000"/>
                      </a:schemeClr>
                    </a:gs>
                  </a:gsLst>
                  <a:lin ang="5400000" scaled="1"/>
                </a:gradFill>
              </a:ln>
              <a:effectLst/>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基本支出</c:v>
                </c:pt>
                <c:pt idx="1">
                  <c:v>项目支出</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542.95</c:v>
                </c:pt>
                <c:pt idx="1">
                  <c:v>1691.82</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2ff9821a-2f9c-46ff-9bae-13cdd4738ea7}"/>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en-US" altLang="zh-CN"/>
              <a:t>2025</a:t>
            </a:r>
            <a:r>
              <a:rPr altLang="zh-CN"/>
              <a:t>年财政收入、支出表</a:t>
            </a:r>
            <a:endParaRPr altLang="zh-CN"/>
          </a:p>
        </c:rich>
      </c:tx>
      <c:layout>
        <c:manualLayout>
          <c:xMode val="edge"/>
          <c:yMode val="edge"/>
          <c:x val="0.406982362889587"/>
          <c:y val="0.0159371015724607"/>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收入</c:v>
                </c:pt>
                <c:pt idx="1">
                  <c:v>支出</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1169.57</c:v>
                </c:pt>
                <c:pt idx="1">
                  <c:v>1169.57</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收入</c:v>
                </c:pt>
                <c:pt idx="1">
                  <c:v>支出</c:v>
                </c:pt>
              </c:strCache>
            </c:strRef>
          </c:cat>
          <c:val>
            <c:numRef>
              <c:extLst>
                <c:ext xmlns:c15="http://schemas.microsoft.com/office/drawing/2012/chart" uri="{02D57815-91ED-43cb-92C2-25804820EDAC}">
                  <c15:fullRef>
                    <c15:sqref>Sheet1!$C$2:$C$5</c15:sqref>
                  </c15:fullRef>
                </c:ext>
              </c:extLst>
              <c:f>Sheet1!$C$2:$C$3</c:f>
              <c:numCache>
                <c:formatCode>General</c:formatCode>
                <c:ptCount val="2"/>
                <c:pt idx="0">
                  <c:v>1424.12</c:v>
                </c:pt>
                <c:pt idx="1">
                  <c:v>1424.12</c:v>
                </c:pt>
              </c:numCache>
            </c:numRef>
          </c:val>
        </c:ser>
        <c:dLbls>
          <c:showLegendKey val="0"/>
          <c:showVal val="1"/>
          <c:showCatName val="0"/>
          <c:showSerName val="0"/>
          <c:showPercent val="0"/>
          <c:showBubbleSize val="0"/>
        </c:dLbls>
        <c:gapWidth val="260"/>
        <c:overlap val="-32"/>
        <c:axId val="552536710"/>
        <c:axId val="773005934"/>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系列 3</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收入</c:v>
                      </c:pt>
                      <c:pt idx="1">
                        <c:v>支出</c:v>
                      </c:pt>
                    </c:strCache>
                  </c:strRef>
                </c:cat>
                <c:val>
                  <c:numRef>
                    <c:extLst>
                      <c:ext uri="{02D57815-91ED-43cb-92C2-25804820EDAC}">
                        <c15:fullRef>
                          <c15:sqref>Sheet1!$D$2:$D$5</c15:sqref>
                        </c15:fullRef>
                        <c15:formulaRef>
                          <c15:sqref>Sheet1!$D$2:$D$3</c15:sqref>
                        </c15:formulaRef>
                      </c:ext>
                    </c:extLst>
                    <c:numCache>
                      <c:formatCode>General</c:formatCode>
                      <c:ptCount val="2"/>
                      <c:pt idx="0">
                        <c:v>2</c:v>
                      </c:pt>
                      <c:pt idx="1">
                        <c:v>2</c:v>
                      </c:pt>
                    </c:numCache>
                  </c:numRef>
                </c:val>
              </c15:ser>
            </c15:filteredBarSeries>
          </c:ext>
        </c:extLst>
      </c:barChart>
      <c:catAx>
        <c:axId val="55253671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73005934"/>
        <c:crosses val="autoZero"/>
        <c:auto val="1"/>
        <c:lblAlgn val="ctr"/>
        <c:lblOffset val="100"/>
        <c:noMultiLvlLbl val="0"/>
      </c:catAx>
      <c:valAx>
        <c:axId val="773005934"/>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52536710"/>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eb66be5-fc0c-4c90-a681-36f6014506d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t>一般公共预算支出</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一般公共预算支出</c:v>
                </c:pt>
              </c:strCache>
            </c:strRef>
          </c:tx>
          <c:spPr>
            <a:solidFill>
              <a:schemeClr val="accent1"/>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2024年</c:v>
                </c:pt>
                <c:pt idx="1">
                  <c:v>2025年</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1026.01</c:v>
                </c:pt>
                <c:pt idx="1">
                  <c:v>1424.12</c:v>
                </c:pt>
              </c:numCache>
            </c:numRef>
          </c:val>
        </c:ser>
        <c:dLbls>
          <c:showLegendKey val="0"/>
          <c:showVal val="1"/>
          <c:showCatName val="0"/>
          <c:showSerName val="0"/>
          <c:showPercent val="0"/>
          <c:showBubbleSize val="0"/>
        </c:dLbls>
        <c:gapWidth val="260"/>
        <c:overlap val="-32"/>
        <c:axId val="805196851"/>
        <c:axId val="27159846"/>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系列 2</c:v>
                      </c:pt>
                    </c:strCache>
                  </c:strRef>
                </c:tx>
                <c:spPr>
                  <a:solidFill>
                    <a:schemeClr val="accent2"/>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2024年</c:v>
                      </c:pt>
                      <c:pt idx="1">
                        <c:v>2025年</c:v>
                      </c:pt>
                    </c:strCache>
                  </c:strRef>
                </c:cat>
                <c:val>
                  <c:numRef>
                    <c:extLst>
                      <c:ext uri="{02D57815-91ED-43cb-92C2-25804820EDAC}">
                        <c15:fullRef>
                          <c15:sqref>Sheet1!$C$2:$C$5</c15:sqref>
                        </c15:fullRef>
                        <c15:formulaRef>
                          <c15:sqref>Sheet1!$C$2:$C$3</c15:sqref>
                        </c15:formulaRef>
                      </c:ext>
                    </c:extLst>
                    <c:numCache>
                      <c:formatCode>General</c:formatCode>
                      <c:ptCount val="2"/>
                      <c:pt idx="0">
                        <c:v>2.4</c:v>
                      </c:pt>
                      <c:pt idx="1">
                        <c:v>4.4</c:v>
                      </c:pt>
                    </c:numCache>
                  </c:numRef>
                </c:val>
              </c15:ser>
            </c15:filteredBarSeries>
            <c15:filteredBarSeries>
              <c15:ser>
                <c:idx val="2"/>
                <c:order val="2"/>
                <c:tx>
                  <c:strRef>
                    <c:extLst>
                      <c:ext uri="{02D57815-91ED-43cb-92C2-25804820EDAC}">
                        <c15:formulaRef>
                          <c15:sqref>Sheet1!$D$1</c15:sqref>
                        </c15:formulaRef>
                      </c:ext>
                    </c:extLst>
                    <c:strCache>
                      <c:ptCount val="1"/>
                      <c:pt idx="0">
                        <c:v>系列 3</c:v>
                      </c:pt>
                    </c:strCache>
                  </c:strRef>
                </c:tx>
                <c:spPr>
                  <a:solidFill>
                    <a:schemeClr val="accent3"/>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2024年</c:v>
                      </c:pt>
                      <c:pt idx="1">
                        <c:v>2025年</c:v>
                      </c:pt>
                    </c:strCache>
                  </c:strRef>
                </c:cat>
                <c:val>
                  <c:numRef>
                    <c:extLst>
                      <c:ext uri="{02D57815-91ED-43cb-92C2-25804820EDAC}">
                        <c15:fullRef>
                          <c15:sqref>Sheet1!$D$2:$D$5</c15:sqref>
                        </c15:fullRef>
                        <c15:formulaRef>
                          <c15:sqref>Sheet1!$D$2:$D$3</c15:sqref>
                        </c15:formulaRef>
                      </c:ext>
                    </c:extLst>
                    <c:numCache>
                      <c:formatCode>General</c:formatCode>
                      <c:ptCount val="2"/>
                      <c:pt idx="0">
                        <c:v>2</c:v>
                      </c:pt>
                      <c:pt idx="1">
                        <c:v>2</c:v>
                      </c:pt>
                    </c:numCache>
                  </c:numRef>
                </c:val>
              </c15:ser>
            </c15:filteredBarSeries>
          </c:ext>
        </c:extLst>
      </c:barChart>
      <c:catAx>
        <c:axId val="805196851"/>
        <c:scaling>
          <c:orientation val="minMax"/>
        </c:scaling>
        <c:delete val="0"/>
        <c:axPos val="b"/>
        <c:numFmt formatCode="General" sourceLinked="1"/>
        <c:majorTickMark val="out"/>
        <c:minorTickMark val="none"/>
        <c:tickLblPos val="nextTo"/>
        <c:spPr>
          <a:noFill/>
          <a:ln w="6350" cap="flat" cmpd="sng" algn="ctr">
            <a:solidFill>
              <a:schemeClr val="accent1">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27159846"/>
        <c:crosses val="autoZero"/>
        <c:auto val="1"/>
        <c:lblAlgn val="ctr"/>
        <c:lblOffset val="100"/>
        <c:noMultiLvlLbl val="0"/>
      </c:catAx>
      <c:valAx>
        <c:axId val="27159846"/>
        <c:scaling>
          <c:orientation val="minMax"/>
        </c:scaling>
        <c:delete val="1"/>
        <c:axPos val="l"/>
        <c:majorGridlines>
          <c:spPr>
            <a:ln w="6350" cap="flat" cmpd="sng" algn="ctr">
              <a:solidFill>
                <a:schemeClr val="tx1">
                  <a:lumMod val="50000"/>
                  <a:lumOff val="50000"/>
                  <a:alpha val="25000"/>
                </a:schemeClr>
              </a:solidFill>
              <a:round/>
            </a:ln>
            <a:effectLst/>
          </c:spPr>
        </c:majorGridlines>
        <c:numFmt formatCode="General" sourceLinked="1"/>
        <c:majorTickMark val="out"/>
        <c:minorTickMark val="none"/>
        <c:tickLblPos val="nextTo"/>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805196851"/>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extLst>
      <c:ext uri="{0b15fc19-7d7d-44ad-8c2d-2c3a37ce22c3}">
        <chartProps xmlns="https://web.wps.cn/et/2018/main" chartId="{1dfd6cbc-0713-45e4-963a-0d0e9af8b8a5}"/>
      </c:ext>
    </c:extLst>
  </c:chart>
  <c:spPr>
    <a:solidFill>
      <a:schemeClr val="bg1"/>
    </a:solidFill>
    <a:ln w="6350" cap="flat" cmpd="sng" algn="ctr">
      <a:solidFill>
        <a:schemeClr val="tx1">
          <a:lumMod val="50000"/>
          <a:lumOff val="50000"/>
          <a:alpha val="25000"/>
        </a:schemeClr>
      </a:solidFill>
      <a:round/>
    </a:ln>
    <a:effectLst/>
  </c:spPr>
  <c:txPr>
    <a:bodyPr/>
    <a:lstStyle/>
    <a:p>
      <a:pPr>
        <a:defRPr lang="zh-CN" sz="90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2025年三公经费</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delete val="1"/>
          </c:dLbls>
          <c:cat>
            <c:strRef>
              <c:extLst>
                <c:ext xmlns:c15="http://schemas.microsoft.com/office/drawing/2012/chart" uri="{02D57815-91ED-43cb-92C2-25804820EDAC}">
                  <c15:fullRef>
                    <c15:sqref>Sheet1!$A$2:$A$5</c15:sqref>
                  </c15:fullRef>
                </c:ext>
              </c:extLst>
              <c:f>Sheet1!$A$2:$A$4</c:f>
              <c:strCache>
                <c:ptCount val="3"/>
                <c:pt idx="0">
                  <c:v>公车运行费</c:v>
                </c:pt>
                <c:pt idx="1">
                  <c:v>接待费</c:v>
                </c:pt>
                <c:pt idx="2">
                  <c:v>因公出国（境）</c:v>
                </c:pt>
              </c:strCache>
            </c:strRef>
          </c:cat>
          <c:val>
            <c:numRef>
              <c:extLst>
                <c:ext xmlns:c15="http://schemas.microsoft.com/office/drawing/2012/chart" uri="{02D57815-91ED-43cb-92C2-25804820EDAC}">
                  <c15:fullRef>
                    <c15:sqref>Sheet1!$B$2:$B$5</c15:sqref>
                  </c15:fullRef>
                </c:ext>
              </c:extLst>
              <c:f>Sheet1!$B$2:$B$4</c:f>
              <c:numCache>
                <c:formatCode>General</c:formatCode>
                <c:ptCount val="3"/>
                <c:pt idx="0">
                  <c:v>24.31</c:v>
                </c:pt>
                <c:pt idx="1">
                  <c:v>0.6</c:v>
                </c:pt>
                <c:pt idx="2">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ae05898-6f47-4ea8-9d56-a52f1f8709e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90">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hueOff val="-1670000"/>
            </a:schemeClr>
          </a:gs>
          <a:gs pos="100000">
            <a:schemeClr val="phClr"/>
          </a:gs>
        </a:gsLst>
        <a:lin ang="5400000" scaled="0"/>
      </a:gradFill>
      <a:ln>
        <a:gradFill>
          <a:gsLst>
            <a:gs pos="0">
              <a:schemeClr val="phClr">
                <a:lumMod val="75000"/>
                <a:hueOff val="-1670000"/>
              </a:schemeClr>
            </a:gs>
            <a:gs pos="100000">
              <a:schemeClr val="phClr">
                <a:lumMod val="75000"/>
              </a:schemeClr>
            </a:gs>
          </a:gsLst>
          <a:lin ang="5400000" scaled="1"/>
        </a:gra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909</Words>
  <Characters>2019</Characters>
  <Lines>63</Lines>
  <Paragraphs>17</Paragraphs>
  <TotalTime>4</TotalTime>
  <ScaleCrop>false</ScaleCrop>
  <LinksUpToDate>false</LinksUpToDate>
  <CharactersWithSpaces>2027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ying ying Z </cp:lastModifiedBy>
  <cp:lastPrinted>2026-08-27T00:27:00Z</cp:lastPrinted>
  <dcterms:modified xsi:type="dcterms:W3CDTF">2026-09-10T07:09:16Z</dcterms:modified>
  <dc:title>四川省***</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3BF536824C220DA3E40E8B68BA118B1C_42</vt:lpwstr>
  </property>
  <property fmtid="{D5CDD505-2E9C-101B-9397-08002B2CF9AE}" pid="4" name="KSOTemplateDocerSaveRecord">
    <vt:lpwstr>eyJoZGlkIjoiNTg3YjI3Zjc2MzNiOTAzMWQ3ZTE0ODk2ZjQ0ZjFkZmMiLCJ1c2VySWQiOiIzMzE4NzY0OTMifQ==</vt:lpwstr>
  </property>
</Properties>
</file>