
<file path=[Content_Types].xml><?xml version="1.0" encoding="utf-8"?>
<Types xmlns="http://schemas.openxmlformats.org/package/2006/content-types">
  <Default Extension="xml" ContentType="application/xml"/>
  <Default Extension="xls" ContentType="application/vnd.ms-exce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FA9565">
      <w:pPr>
        <w:pStyle w:val="8"/>
        <w:spacing w:before="93"/>
        <w:rPr>
          <w:rFonts w:ascii="Times New Roman" w:eastAsia="方正小标宋简体"/>
          <w:kern w:val="2"/>
          <w:sz w:val="72"/>
          <w:szCs w:val="72"/>
        </w:rPr>
      </w:pPr>
      <w:bookmarkStart w:id="0" w:name="_Toc15378441"/>
      <w:bookmarkStart w:id="1" w:name="_Toc15377425"/>
      <w:bookmarkStart w:id="2" w:name="_Toc15396597"/>
      <w:bookmarkStart w:id="3" w:name="_Toc15377193"/>
      <w:bookmarkStart w:id="4" w:name="_Toc15396475"/>
      <w:bookmarkStart w:id="5" w:name="_Toc15306267"/>
    </w:p>
    <w:p w14:paraId="5E24193F">
      <w:pPr>
        <w:pStyle w:val="8"/>
        <w:spacing w:before="93"/>
        <w:rPr>
          <w:rFonts w:ascii="Times New Roman" w:eastAsia="方正小标宋简体"/>
          <w:kern w:val="2"/>
          <w:sz w:val="72"/>
          <w:szCs w:val="72"/>
        </w:rPr>
      </w:pPr>
    </w:p>
    <w:p w14:paraId="29E97E60">
      <w:pPr>
        <w:pStyle w:val="8"/>
        <w:spacing w:before="93"/>
        <w:rPr>
          <w:rFonts w:ascii="Times New Roman" w:eastAsia="方正小标宋简体"/>
          <w:kern w:val="2"/>
          <w:sz w:val="72"/>
          <w:szCs w:val="72"/>
        </w:rPr>
      </w:pPr>
    </w:p>
    <w:p w14:paraId="46023532">
      <w:pPr>
        <w:pStyle w:val="8"/>
        <w:spacing w:before="93"/>
        <w:jc w:val="center"/>
        <w:rPr>
          <w:rFonts w:ascii="Times New Roman" w:eastAsia="方正小标宋简体"/>
          <w:kern w:val="2"/>
          <w:sz w:val="44"/>
          <w:szCs w:val="44"/>
        </w:rPr>
      </w:pPr>
      <w:r>
        <w:rPr>
          <w:rFonts w:hint="eastAsia" w:ascii="Times New Roman" w:eastAsia="方正小标宋简体"/>
          <w:kern w:val="2"/>
          <w:sz w:val="44"/>
          <w:szCs w:val="44"/>
        </w:rPr>
        <w:t>2025年度</w:t>
      </w:r>
      <w:r>
        <w:rPr>
          <w:rFonts w:hint="eastAsia" w:ascii="Times New Roman" w:eastAsia="方正小标宋简体"/>
          <w:kern w:val="2"/>
          <w:sz w:val="44"/>
          <w:szCs w:val="44"/>
          <w:lang w:val="en-US" w:eastAsia="zh-CN"/>
        </w:rPr>
        <w:t>四川省</w:t>
      </w:r>
      <w:r>
        <w:rPr>
          <w:rFonts w:hint="eastAsia" w:ascii="Times New Roman" w:eastAsia="方正小标宋简体"/>
          <w:kern w:val="2"/>
          <w:sz w:val="44"/>
          <w:szCs w:val="44"/>
        </w:rPr>
        <w:t>攀枝花市自然资源和规划局西区分局</w:t>
      </w:r>
      <w:r>
        <w:rPr>
          <w:rFonts w:hint="eastAsia" w:ascii="Times New Roman" w:eastAsia="方正小标宋简体"/>
          <w:kern w:val="2"/>
          <w:sz w:val="44"/>
          <w:szCs w:val="44"/>
          <w:lang w:val="en-US" w:eastAsia="zh-CN"/>
        </w:rPr>
        <w:t>市级</w:t>
      </w:r>
      <w:r>
        <w:rPr>
          <w:rFonts w:hint="eastAsia" w:ascii="Times New Roman" w:eastAsia="方正小标宋简体"/>
          <w:kern w:val="2"/>
          <w:sz w:val="44"/>
          <w:szCs w:val="44"/>
        </w:rPr>
        <w:t>单位决算公开文字说明</w:t>
      </w:r>
    </w:p>
    <w:p w14:paraId="5DBF8D50">
      <w:pPr>
        <w:spacing w:line="600" w:lineRule="exact"/>
        <w:jc w:val="center"/>
        <w:outlineLvl w:val="0"/>
        <w:rPr>
          <w:rFonts w:eastAsia="方正小标宋简体"/>
          <w:sz w:val="72"/>
          <w:szCs w:val="72"/>
        </w:rPr>
      </w:pPr>
    </w:p>
    <w:p w14:paraId="189D2136">
      <w:pPr>
        <w:pStyle w:val="19"/>
        <w:rPr>
          <w:rFonts w:ascii="Times New Roman" w:hAnsi="Times New Roman"/>
        </w:rPr>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pPr>
    </w:p>
    <w:p w14:paraId="5F0FE4B7">
      <w:pPr>
        <w:pStyle w:val="11"/>
      </w:pPr>
    </w:p>
    <w:p w14:paraId="7FC620FC">
      <w:pPr>
        <w:pStyle w:val="8"/>
        <w:spacing w:before="93"/>
        <w:rPr>
          <w:rFonts w:ascii="Times New Roman"/>
        </w:rPr>
      </w:pPr>
    </w:p>
    <w:p w14:paraId="6EEC61F3">
      <w:pPr>
        <w:pStyle w:val="8"/>
        <w:spacing w:before="93"/>
        <w:rPr>
          <w:rFonts w:ascii="Times New Roman"/>
        </w:rPr>
      </w:pPr>
    </w:p>
    <w:p w14:paraId="7D769199">
      <w:pPr>
        <w:pStyle w:val="8"/>
        <w:spacing w:before="93"/>
        <w:rPr>
          <w:rFonts w:ascii="Times New Roman"/>
        </w:rPr>
      </w:pPr>
    </w:p>
    <w:p w14:paraId="48BC9131">
      <w:pPr>
        <w:pStyle w:val="8"/>
        <w:spacing w:before="93"/>
        <w:jc w:val="center"/>
        <w:rPr>
          <w:rFonts w:ascii="Times New Roman" w:eastAsia="方正小标宋简体"/>
          <w:kern w:val="2"/>
          <w:sz w:val="44"/>
          <w:szCs w:val="44"/>
        </w:rPr>
      </w:pPr>
    </w:p>
    <w:p w14:paraId="051AF353">
      <w:pPr>
        <w:pStyle w:val="8"/>
        <w:spacing w:before="93"/>
        <w:jc w:val="center"/>
        <w:rPr>
          <w:rFonts w:ascii="Times New Roman" w:eastAsia="方正小标宋简体"/>
          <w:kern w:val="2"/>
          <w:sz w:val="44"/>
          <w:szCs w:val="44"/>
        </w:rPr>
      </w:pPr>
    </w:p>
    <w:p w14:paraId="75F5678E">
      <w:pPr>
        <w:pStyle w:val="8"/>
        <w:spacing w:before="93"/>
        <w:jc w:val="center"/>
        <w:rPr>
          <w:rFonts w:ascii="Times New Roman" w:eastAsia="方正小标宋简体"/>
          <w:kern w:val="2"/>
          <w:sz w:val="44"/>
          <w:szCs w:val="44"/>
        </w:rPr>
      </w:pPr>
    </w:p>
    <w:p w14:paraId="62929976">
      <w:pPr>
        <w:pStyle w:val="8"/>
        <w:spacing w:before="93"/>
        <w:jc w:val="center"/>
        <w:rPr>
          <w:rFonts w:ascii="Times New Roman" w:eastAsia="方正小标宋简体"/>
          <w:kern w:val="2"/>
          <w:sz w:val="44"/>
          <w:szCs w:val="44"/>
        </w:rPr>
      </w:pPr>
    </w:p>
    <w:bookmarkEnd w:id="0"/>
    <w:bookmarkEnd w:id="1"/>
    <w:bookmarkEnd w:id="2"/>
    <w:bookmarkEnd w:id="3"/>
    <w:bookmarkEnd w:id="4"/>
    <w:p w14:paraId="2D162CD8">
      <w:pPr>
        <w:pStyle w:val="8"/>
        <w:spacing w:before="93"/>
        <w:jc w:val="center"/>
        <w:rPr>
          <w:rFonts w:ascii="Times New Roman" w:eastAsia="方正小标宋简体"/>
          <w:kern w:val="2"/>
          <w:sz w:val="44"/>
          <w:szCs w:val="44"/>
        </w:rPr>
      </w:pPr>
      <w:bookmarkStart w:id="6" w:name="_Toc15377426"/>
      <w:bookmarkStart w:id="7" w:name="_Toc15377194"/>
      <w:bookmarkStart w:id="8" w:name="_Toc15396598"/>
      <w:bookmarkStart w:id="9" w:name="_Toc15378442"/>
      <w:bookmarkStart w:id="10" w:name="_Toc15396476"/>
      <w:r>
        <w:rPr>
          <w:rFonts w:hint="eastAsia" w:ascii="Times New Roman" w:eastAsia="方正小标宋简体"/>
          <w:kern w:val="2"/>
          <w:sz w:val="44"/>
          <w:szCs w:val="44"/>
        </w:rPr>
        <w:t>2025年度</w:t>
      </w:r>
      <w:bookmarkEnd w:id="5"/>
      <w:bookmarkStart w:id="11" w:name="_Toc16778"/>
      <w:bookmarkStart w:id="12" w:name="_Toc15306268"/>
      <w:r>
        <w:rPr>
          <w:rFonts w:hint="eastAsia" w:ascii="Times New Roman" w:eastAsia="方正小标宋简体"/>
          <w:kern w:val="2"/>
          <w:sz w:val="44"/>
          <w:szCs w:val="44"/>
          <w:lang w:val="en-US" w:eastAsia="zh-CN"/>
        </w:rPr>
        <w:t>四川省</w:t>
      </w:r>
      <w:bookmarkStart w:id="69" w:name="_GoBack"/>
      <w:bookmarkEnd w:id="69"/>
      <w:r>
        <w:rPr>
          <w:rFonts w:hint="eastAsia" w:ascii="Times New Roman" w:eastAsia="方正小标宋简体"/>
          <w:kern w:val="2"/>
          <w:sz w:val="44"/>
          <w:szCs w:val="44"/>
        </w:rPr>
        <w:t>攀枝花市自然资源和规划局西区分局单位决算</w:t>
      </w:r>
      <w:bookmarkEnd w:id="6"/>
      <w:bookmarkEnd w:id="7"/>
      <w:bookmarkEnd w:id="8"/>
      <w:bookmarkEnd w:id="9"/>
      <w:bookmarkEnd w:id="10"/>
      <w:bookmarkEnd w:id="11"/>
      <w:bookmarkEnd w:id="12"/>
    </w:p>
    <w:p w14:paraId="46C3204D">
      <w:pPr>
        <w:widowControl/>
        <w:jc w:val="center"/>
        <w:rPr>
          <w:rFonts w:eastAsia="黑体"/>
          <w:sz w:val="48"/>
          <w:szCs w:val="48"/>
        </w:rPr>
        <w:sectPr>
          <w:footerReference r:id="rId7" w:type="first"/>
          <w:headerReference r:id="rId5" w:type="default"/>
          <w:footerReference r:id="rId6" w:type="default"/>
          <w:pgSz w:w="11906" w:h="16838"/>
          <w:pgMar w:top="1440" w:right="1800" w:bottom="1440" w:left="1800" w:header="851" w:footer="992" w:gutter="0"/>
          <w:pgNumType w:fmt="numberInDash" w:start="1"/>
          <w:cols w:space="425" w:num="1"/>
          <w:docGrid w:type="lines" w:linePitch="312" w:charSpace="0"/>
        </w:sectPr>
      </w:pPr>
    </w:p>
    <w:p w14:paraId="46BB0EE7">
      <w:pPr>
        <w:widowControl/>
        <w:jc w:val="center"/>
        <w:rPr>
          <w:rFonts w:eastAsia="黑体"/>
          <w:sz w:val="48"/>
          <w:szCs w:val="48"/>
        </w:rPr>
      </w:pPr>
      <w:r>
        <w:rPr>
          <w:rFonts w:hint="eastAsia" w:eastAsia="黑体"/>
          <w:sz w:val="48"/>
          <w:szCs w:val="48"/>
        </w:rPr>
        <w:t>目录</w:t>
      </w:r>
    </w:p>
    <w:p w14:paraId="11378119">
      <w:pPr>
        <w:widowControl/>
        <w:jc w:val="center"/>
        <w:rPr>
          <w:rFonts w:eastAsia="黑体" w:cstheme="minorBidi"/>
          <w:sz w:val="28"/>
          <w:szCs w:val="28"/>
        </w:rPr>
      </w:pPr>
    </w:p>
    <w:p w14:paraId="19605302">
      <w:pPr>
        <w:pStyle w:val="13"/>
        <w:rPr>
          <w:rFonts w:ascii="Times New Roman" w:hAnsi="Times New Roman" w:eastAsia="仿宋_GB2312" w:cs="仿宋_GB2312"/>
          <w:sz w:val="32"/>
          <w:szCs w:val="32"/>
        </w:rPr>
      </w:pPr>
      <w:r>
        <w:rPr>
          <w:rFonts w:hint="eastAsia" w:ascii="Times New Roman" w:hAnsi="Times New Roman" w:eastAsia="仿宋_GB2312" w:cs="仿宋_GB2312"/>
          <w:sz w:val="32"/>
          <w:szCs w:val="32"/>
        </w:rPr>
        <w:t>公开时间：2026年9月10日</w:t>
      </w:r>
    </w:p>
    <w:p w14:paraId="1F5D2CAD"/>
    <w:p w14:paraId="54879E1F">
      <w:pPr>
        <w:pStyle w:val="13"/>
        <w:adjustRightInd w:val="0"/>
        <w:snapToGrid w:val="0"/>
        <w:spacing w:before="0" w:line="560" w:lineRule="exact"/>
        <w:jc w:val="left"/>
        <w:rPr>
          <w:rFonts w:ascii="Times New Roman" w:hAnsi="Times New Roman" w:cs="黑体"/>
          <w:sz w:val="32"/>
          <w:szCs w:val="32"/>
        </w:rPr>
      </w:pPr>
      <w:r>
        <w:rPr>
          <w:rFonts w:hint="eastAsia" w:ascii="Times New Roman" w:hAnsi="Times New Roman" w:eastAsia="黑体" w:cs="黑体"/>
          <w:sz w:val="32"/>
          <w:szCs w:val="32"/>
        </w:rPr>
        <w:t>第一部分 部门概况</w:t>
      </w:r>
      <w:r>
        <w:rPr>
          <w:rFonts w:ascii="Times New Roman" w:hAnsi="Times New Roman"/>
          <w:sz w:val="24"/>
        </w:rPr>
        <w:tab/>
      </w:r>
      <w:r>
        <w:rPr>
          <w:rFonts w:hint="eastAsia" w:ascii="Times New Roman" w:hAnsi="Times New Roman"/>
          <w:sz w:val="24"/>
        </w:rPr>
        <w:t>1</w:t>
      </w:r>
    </w:p>
    <w:p w14:paraId="71C9EAB8">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一、部门职责</w:t>
      </w:r>
      <w:r>
        <w:rPr>
          <w:sz w:val="24"/>
        </w:rPr>
        <w:tab/>
      </w:r>
      <w:r>
        <w:rPr>
          <w:rFonts w:hint="eastAsia"/>
          <w:sz w:val="24"/>
        </w:rPr>
        <w:t>1</w:t>
      </w:r>
    </w:p>
    <w:p w14:paraId="6A3E7E6A">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二、机构设置</w:t>
      </w:r>
      <w:r>
        <w:rPr>
          <w:sz w:val="24"/>
        </w:rPr>
        <w:tab/>
      </w:r>
      <w:r>
        <w:rPr>
          <w:rFonts w:hint="eastAsia"/>
          <w:sz w:val="24"/>
        </w:rPr>
        <w:t>1</w:t>
      </w:r>
    </w:p>
    <w:p w14:paraId="7A84A629">
      <w:pPr>
        <w:pStyle w:val="13"/>
        <w:adjustRightInd w:val="0"/>
        <w:snapToGrid w:val="0"/>
        <w:spacing w:before="0" w:line="560" w:lineRule="exact"/>
        <w:jc w:val="left"/>
        <w:rPr>
          <w:rFonts w:ascii="Times New Roman" w:hAnsi="Times New Roman" w:cs="黑体"/>
          <w:sz w:val="32"/>
          <w:szCs w:val="32"/>
        </w:rPr>
      </w:pPr>
      <w:r>
        <w:rPr>
          <w:rFonts w:hint="eastAsia" w:ascii="Times New Roman" w:hAnsi="Times New Roman" w:eastAsia="黑体" w:cs="黑体"/>
          <w:sz w:val="32"/>
          <w:szCs w:val="32"/>
        </w:rPr>
        <w:t>第二部分 2024年度部门决算情况说明</w:t>
      </w:r>
      <w:r>
        <w:rPr>
          <w:rFonts w:ascii="Times New Roman" w:hAnsi="Times New Roman"/>
          <w:sz w:val="24"/>
        </w:rPr>
        <w:tab/>
      </w:r>
      <w:r>
        <w:rPr>
          <w:rFonts w:hint="eastAsia" w:ascii="Times New Roman" w:hAnsi="Times New Roman"/>
          <w:sz w:val="24"/>
        </w:rPr>
        <w:t>2</w:t>
      </w:r>
    </w:p>
    <w:p w14:paraId="4DE76430">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一、收入支出决算总体情况说明</w:t>
      </w:r>
      <w:r>
        <w:rPr>
          <w:sz w:val="24"/>
        </w:rPr>
        <w:tab/>
      </w:r>
      <w:r>
        <w:rPr>
          <w:rFonts w:hint="eastAsia"/>
          <w:sz w:val="24"/>
        </w:rPr>
        <w:t>2</w:t>
      </w:r>
    </w:p>
    <w:p w14:paraId="40FB517D">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二、收入决算情况说明</w:t>
      </w:r>
      <w:r>
        <w:rPr>
          <w:sz w:val="24"/>
        </w:rPr>
        <w:tab/>
      </w:r>
      <w:r>
        <w:rPr>
          <w:rFonts w:hint="eastAsia"/>
          <w:sz w:val="24"/>
        </w:rPr>
        <w:t>2</w:t>
      </w:r>
    </w:p>
    <w:p w14:paraId="04721044">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三、支出决算情况说明</w:t>
      </w:r>
      <w:r>
        <w:rPr>
          <w:sz w:val="24"/>
        </w:rPr>
        <w:tab/>
      </w:r>
      <w:r>
        <w:rPr>
          <w:rFonts w:hint="eastAsia"/>
          <w:sz w:val="24"/>
        </w:rPr>
        <w:t>3</w:t>
      </w:r>
    </w:p>
    <w:p w14:paraId="26E6AABD">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四、财政拨款收入支出决算总体情况说明</w:t>
      </w:r>
      <w:r>
        <w:rPr>
          <w:sz w:val="24"/>
        </w:rPr>
        <w:tab/>
      </w:r>
      <w:r>
        <w:rPr>
          <w:rFonts w:hint="eastAsia"/>
          <w:sz w:val="24"/>
        </w:rPr>
        <w:t>4</w:t>
      </w:r>
    </w:p>
    <w:p w14:paraId="7A30EAAD">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五、一般公共预算财政拨款支出决算情况说明</w:t>
      </w:r>
      <w:r>
        <w:rPr>
          <w:sz w:val="24"/>
        </w:rPr>
        <w:tab/>
      </w:r>
      <w:r>
        <w:rPr>
          <w:rFonts w:hint="eastAsia"/>
          <w:sz w:val="24"/>
        </w:rPr>
        <w:t>4</w:t>
      </w:r>
    </w:p>
    <w:p w14:paraId="41A7DCC5">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六、一般公共预算财政拨款基本支出决算情况说明</w:t>
      </w:r>
      <w:r>
        <w:rPr>
          <w:sz w:val="24"/>
        </w:rPr>
        <w:tab/>
      </w:r>
      <w:r>
        <w:rPr>
          <w:rFonts w:hint="eastAsia"/>
          <w:sz w:val="24"/>
        </w:rPr>
        <w:t>7</w:t>
      </w:r>
    </w:p>
    <w:p w14:paraId="5FCD3706">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七、财政拨款“三公”经费支出决算情况说明</w:t>
      </w:r>
      <w:r>
        <w:rPr>
          <w:sz w:val="24"/>
        </w:rPr>
        <w:tab/>
      </w:r>
      <w:r>
        <w:rPr>
          <w:rFonts w:hint="eastAsia"/>
          <w:sz w:val="24"/>
        </w:rPr>
        <w:t>8</w:t>
      </w:r>
    </w:p>
    <w:p w14:paraId="5EC4C9A1">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八、政府性基金预算支出决算情况说明</w:t>
      </w:r>
      <w:r>
        <w:rPr>
          <w:sz w:val="24"/>
        </w:rPr>
        <w:tab/>
      </w:r>
      <w:r>
        <w:rPr>
          <w:rFonts w:hint="eastAsia"/>
          <w:sz w:val="24"/>
        </w:rPr>
        <w:t>10</w:t>
      </w:r>
    </w:p>
    <w:p w14:paraId="3E780745">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九、国有资本经营预算支出决算情况说明</w:t>
      </w:r>
      <w:r>
        <w:rPr>
          <w:sz w:val="24"/>
        </w:rPr>
        <w:tab/>
      </w:r>
      <w:r>
        <w:rPr>
          <w:rFonts w:hint="eastAsia"/>
          <w:sz w:val="24"/>
        </w:rPr>
        <w:t>10</w:t>
      </w:r>
    </w:p>
    <w:p w14:paraId="1DBBBD7B">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十、其他重要事项的情况说明</w:t>
      </w:r>
      <w:r>
        <w:rPr>
          <w:sz w:val="24"/>
        </w:rPr>
        <w:tab/>
      </w:r>
      <w:r>
        <w:rPr>
          <w:rFonts w:hint="eastAsia"/>
          <w:sz w:val="24"/>
        </w:rPr>
        <w:t>10</w:t>
      </w:r>
    </w:p>
    <w:p w14:paraId="4660E23D">
      <w:pPr>
        <w:pStyle w:val="13"/>
        <w:adjustRightInd w:val="0"/>
        <w:snapToGrid w:val="0"/>
        <w:spacing w:before="0" w:line="560" w:lineRule="exact"/>
        <w:jc w:val="left"/>
        <w:rPr>
          <w:rFonts w:ascii="Times New Roman" w:hAnsi="Times New Roman" w:cs="黑体"/>
          <w:sz w:val="32"/>
          <w:szCs w:val="32"/>
        </w:rPr>
      </w:pPr>
      <w:r>
        <w:rPr>
          <w:rFonts w:hint="eastAsia" w:ascii="Times New Roman" w:hAnsi="Times New Roman" w:eastAsia="黑体" w:cs="黑体"/>
          <w:sz w:val="32"/>
          <w:szCs w:val="32"/>
        </w:rPr>
        <w:t>第三部分 名词解释</w:t>
      </w:r>
      <w:r>
        <w:rPr>
          <w:rFonts w:ascii="Times New Roman" w:hAnsi="Times New Roman"/>
          <w:sz w:val="24"/>
        </w:rPr>
        <w:tab/>
      </w:r>
      <w:r>
        <w:rPr>
          <w:rFonts w:hint="eastAsia" w:ascii="Times New Roman" w:hAnsi="Times New Roman"/>
          <w:sz w:val="24"/>
        </w:rPr>
        <w:t>13</w:t>
      </w:r>
    </w:p>
    <w:p w14:paraId="0DD40DBD">
      <w:pPr>
        <w:pStyle w:val="13"/>
        <w:adjustRightInd w:val="0"/>
        <w:snapToGrid w:val="0"/>
        <w:spacing w:before="0" w:line="560" w:lineRule="exact"/>
        <w:jc w:val="left"/>
        <w:rPr>
          <w:rFonts w:ascii="Times New Roman" w:hAnsi="Times New Roman" w:cs="黑体"/>
          <w:sz w:val="32"/>
          <w:szCs w:val="32"/>
        </w:rPr>
      </w:pPr>
      <w:r>
        <w:rPr>
          <w:rFonts w:hint="eastAsia" w:ascii="Times New Roman" w:hAnsi="Times New Roman" w:eastAsia="黑体" w:cs="黑体"/>
          <w:sz w:val="32"/>
          <w:szCs w:val="32"/>
        </w:rPr>
        <w:t>第四部分 附件</w:t>
      </w:r>
      <w:r>
        <w:rPr>
          <w:rFonts w:ascii="Times New Roman" w:hAnsi="Times New Roman"/>
          <w:sz w:val="24"/>
        </w:rPr>
        <w:tab/>
      </w:r>
      <w:r>
        <w:rPr>
          <w:rFonts w:hint="eastAsia" w:ascii="Times New Roman" w:hAnsi="Times New Roman"/>
          <w:sz w:val="24"/>
        </w:rPr>
        <w:t>16</w:t>
      </w:r>
    </w:p>
    <w:p w14:paraId="1B1FBB64">
      <w:pPr>
        <w:pStyle w:val="13"/>
        <w:adjustRightInd w:val="0"/>
        <w:snapToGrid w:val="0"/>
        <w:spacing w:before="0" w:line="560" w:lineRule="exact"/>
        <w:jc w:val="left"/>
        <w:rPr>
          <w:rFonts w:ascii="Times New Roman" w:hAnsi="Times New Roman" w:cs="黑体"/>
          <w:sz w:val="32"/>
          <w:szCs w:val="32"/>
        </w:rPr>
      </w:pPr>
      <w:r>
        <w:rPr>
          <w:rFonts w:hint="eastAsia" w:ascii="Times New Roman" w:hAnsi="Times New Roman" w:eastAsia="黑体" w:cs="黑体"/>
          <w:sz w:val="32"/>
          <w:szCs w:val="32"/>
        </w:rPr>
        <w:t>第五部分 附表</w:t>
      </w:r>
      <w:r>
        <w:rPr>
          <w:rFonts w:ascii="Times New Roman" w:hAnsi="Times New Roman"/>
          <w:sz w:val="24"/>
        </w:rPr>
        <w:tab/>
      </w:r>
      <w:r>
        <w:rPr>
          <w:rFonts w:hint="eastAsia" w:ascii="Times New Roman" w:hAnsi="Times New Roman"/>
          <w:sz w:val="24"/>
        </w:rPr>
        <w:t>17</w:t>
      </w:r>
    </w:p>
    <w:p w14:paraId="2B64B9DB">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一、收入支出决算总表</w:t>
      </w:r>
      <w:r>
        <w:rPr>
          <w:sz w:val="24"/>
        </w:rPr>
        <w:tab/>
      </w:r>
      <w:r>
        <w:rPr>
          <w:rFonts w:hint="eastAsia"/>
          <w:sz w:val="24"/>
        </w:rPr>
        <w:t>17</w:t>
      </w:r>
    </w:p>
    <w:p w14:paraId="523AC7D2">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二、收入决算表</w:t>
      </w:r>
      <w:r>
        <w:rPr>
          <w:sz w:val="24"/>
        </w:rPr>
        <w:tab/>
      </w:r>
      <w:r>
        <w:rPr>
          <w:rFonts w:hint="eastAsia"/>
          <w:sz w:val="24"/>
        </w:rPr>
        <w:t>17</w:t>
      </w:r>
    </w:p>
    <w:p w14:paraId="3410A525">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三、支出决算表</w:t>
      </w:r>
      <w:r>
        <w:rPr>
          <w:sz w:val="24"/>
        </w:rPr>
        <w:tab/>
      </w:r>
      <w:r>
        <w:rPr>
          <w:rFonts w:hint="eastAsia"/>
          <w:sz w:val="24"/>
        </w:rPr>
        <w:t>17</w:t>
      </w:r>
    </w:p>
    <w:p w14:paraId="7D9C5ED2">
      <w:pPr>
        <w:pStyle w:val="14"/>
        <w:adjustRightInd w:val="0"/>
        <w:snapToGrid w:val="0"/>
        <w:spacing w:line="560" w:lineRule="exact"/>
        <w:ind w:left="0" w:leftChars="0" w:firstLine="640" w:firstLineChars="200"/>
        <w:jc w:val="left"/>
        <w:rPr>
          <w:rFonts w:eastAsia="仿宋_GB2312" w:cs="仿宋_GB2312"/>
          <w:sz w:val="32"/>
          <w:szCs w:val="32"/>
        </w:rPr>
        <w:sectPr>
          <w:footerReference r:id="rId8" w:type="default"/>
          <w:pgSz w:w="11906" w:h="16838"/>
          <w:pgMar w:top="1440" w:right="1800" w:bottom="1440" w:left="1800" w:header="851" w:footer="992" w:gutter="0"/>
          <w:pgNumType w:fmt="numberInDash" w:start="1"/>
          <w:cols w:space="425" w:num="1"/>
          <w:docGrid w:type="lines" w:linePitch="312" w:charSpace="0"/>
        </w:sectPr>
      </w:pPr>
    </w:p>
    <w:p w14:paraId="72EE8B15">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四、财政拨款收入支出决算总表</w:t>
      </w:r>
      <w:r>
        <w:rPr>
          <w:sz w:val="24"/>
        </w:rPr>
        <w:tab/>
      </w:r>
      <w:r>
        <w:rPr>
          <w:rFonts w:hint="eastAsia"/>
          <w:sz w:val="24"/>
        </w:rPr>
        <w:t>17</w:t>
      </w:r>
    </w:p>
    <w:p w14:paraId="445A9AF1">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五、财政拨款支出决算明细表</w:t>
      </w:r>
      <w:r>
        <w:rPr>
          <w:sz w:val="24"/>
        </w:rPr>
        <w:tab/>
      </w:r>
      <w:r>
        <w:rPr>
          <w:rFonts w:hint="eastAsia"/>
          <w:sz w:val="24"/>
        </w:rPr>
        <w:t>17</w:t>
      </w:r>
    </w:p>
    <w:p w14:paraId="62F6E232">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六、一般公共预算财政拨款支出决算表</w:t>
      </w:r>
      <w:r>
        <w:rPr>
          <w:sz w:val="24"/>
        </w:rPr>
        <w:tab/>
      </w:r>
      <w:r>
        <w:rPr>
          <w:rFonts w:hint="eastAsia"/>
          <w:sz w:val="24"/>
        </w:rPr>
        <w:t>17</w:t>
      </w:r>
    </w:p>
    <w:p w14:paraId="34507F6B">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七、一般公共预算财政拨款支出决算明细表</w:t>
      </w:r>
      <w:r>
        <w:rPr>
          <w:sz w:val="24"/>
        </w:rPr>
        <w:tab/>
      </w:r>
      <w:r>
        <w:rPr>
          <w:rFonts w:hint="eastAsia"/>
          <w:sz w:val="24"/>
        </w:rPr>
        <w:t>17</w:t>
      </w:r>
    </w:p>
    <w:p w14:paraId="0F34EAE4">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八、一般公共预算财政拨款基本支出决算明细表</w:t>
      </w:r>
      <w:r>
        <w:rPr>
          <w:sz w:val="24"/>
        </w:rPr>
        <w:tab/>
      </w:r>
      <w:r>
        <w:rPr>
          <w:rFonts w:hint="eastAsia"/>
          <w:sz w:val="24"/>
        </w:rPr>
        <w:t>17</w:t>
      </w:r>
    </w:p>
    <w:p w14:paraId="7C23D716">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九、一般公共预算财政拨款项目支出决算表</w:t>
      </w:r>
      <w:r>
        <w:rPr>
          <w:sz w:val="24"/>
        </w:rPr>
        <w:tab/>
      </w:r>
      <w:r>
        <w:rPr>
          <w:rFonts w:hint="eastAsia"/>
          <w:sz w:val="24"/>
        </w:rPr>
        <w:t>17</w:t>
      </w:r>
    </w:p>
    <w:p w14:paraId="05FF51EB">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十、政府性基金预算财政拨款收入支出决算表</w:t>
      </w:r>
      <w:r>
        <w:rPr>
          <w:sz w:val="24"/>
        </w:rPr>
        <w:tab/>
      </w:r>
      <w:r>
        <w:rPr>
          <w:rFonts w:hint="eastAsia"/>
          <w:sz w:val="24"/>
        </w:rPr>
        <w:t>17</w:t>
      </w:r>
    </w:p>
    <w:p w14:paraId="2EF65FA4">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十一、国有资本经营预算财政拨款收入支出决算表</w:t>
      </w:r>
      <w:r>
        <w:rPr>
          <w:sz w:val="24"/>
        </w:rPr>
        <w:tab/>
      </w:r>
      <w:r>
        <w:rPr>
          <w:rFonts w:hint="eastAsia"/>
          <w:sz w:val="24"/>
        </w:rPr>
        <w:t>17</w:t>
      </w:r>
    </w:p>
    <w:p w14:paraId="3CBFE40E">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十二、国有资本经营预算财政拨款支出决算表</w:t>
      </w:r>
      <w:r>
        <w:rPr>
          <w:sz w:val="24"/>
        </w:rPr>
        <w:tab/>
      </w:r>
      <w:r>
        <w:rPr>
          <w:rFonts w:hint="eastAsia"/>
          <w:sz w:val="24"/>
        </w:rPr>
        <w:t>17</w:t>
      </w:r>
    </w:p>
    <w:p w14:paraId="289CBFE2">
      <w:pPr>
        <w:pStyle w:val="14"/>
        <w:adjustRightInd w:val="0"/>
        <w:snapToGrid w:val="0"/>
        <w:spacing w:line="560" w:lineRule="exact"/>
        <w:ind w:left="0" w:leftChars="0" w:firstLine="640" w:firstLineChars="200"/>
        <w:jc w:val="left"/>
        <w:rPr>
          <w:rFonts w:cs="仿宋_GB2312"/>
          <w:sz w:val="32"/>
          <w:szCs w:val="32"/>
        </w:rPr>
      </w:pPr>
      <w:r>
        <w:rPr>
          <w:rFonts w:hint="eastAsia" w:eastAsia="仿宋_GB2312" w:cs="仿宋_GB2312"/>
          <w:sz w:val="32"/>
          <w:szCs w:val="32"/>
        </w:rPr>
        <w:t>十三、财政拨款“三公”经费支出决算表</w:t>
      </w:r>
      <w:r>
        <w:rPr>
          <w:sz w:val="24"/>
        </w:rPr>
        <w:tab/>
      </w:r>
      <w:r>
        <w:rPr>
          <w:rFonts w:hint="eastAsia"/>
          <w:sz w:val="24"/>
        </w:rPr>
        <w:t>17</w:t>
      </w:r>
    </w:p>
    <w:p w14:paraId="207A0FEE">
      <w:pPr>
        <w:pStyle w:val="5"/>
        <w:jc w:val="center"/>
        <w:rPr>
          <w:rFonts w:eastAsia="仿宋_GB2312" w:cs="仿宋_GB2312"/>
          <w:sz w:val="32"/>
          <w:szCs w:val="32"/>
        </w:rPr>
        <w:sectPr>
          <w:footerReference r:id="rId9" w:type="default"/>
          <w:pgSz w:w="11906" w:h="16838"/>
          <w:pgMar w:top="1440" w:right="1800" w:bottom="1440" w:left="1800" w:header="851" w:footer="992" w:gutter="0"/>
          <w:pgNumType w:fmt="numberInDash" w:start="1"/>
          <w:cols w:space="425" w:num="1"/>
          <w:docGrid w:type="lines" w:linePitch="312" w:charSpace="0"/>
        </w:sectPr>
      </w:pPr>
      <w:bookmarkStart w:id="13" w:name="_Toc15396599"/>
      <w:bookmarkStart w:id="14" w:name="_Toc15377196"/>
      <w:r>
        <w:rPr>
          <w:rFonts w:hint="eastAsia" w:eastAsia="仿宋_GB2312" w:cs="仿宋_GB2312"/>
          <w:sz w:val="32"/>
          <w:szCs w:val="32"/>
        </w:rPr>
        <w:t xml:space="preserve"> </w:t>
      </w:r>
    </w:p>
    <w:p w14:paraId="05C1D43D">
      <w:pPr>
        <w:pStyle w:val="5"/>
        <w:jc w:val="center"/>
        <w:rPr>
          <w:rStyle w:val="28"/>
          <w:rFonts w:eastAsia="方正小标宋简体" w:cs="方正小标宋简体"/>
          <w:b/>
          <w:bCs w:val="0"/>
        </w:rPr>
      </w:pPr>
      <w:r>
        <w:rPr>
          <w:rFonts w:hint="eastAsia" w:eastAsia="方正小标宋简体" w:cs="方正小标宋简体"/>
          <w:b w:val="0"/>
        </w:rPr>
        <w:t xml:space="preserve">第一部分  </w:t>
      </w:r>
      <w:r>
        <w:rPr>
          <w:rStyle w:val="28"/>
          <w:rFonts w:hint="eastAsia" w:eastAsia="方正小标宋简体" w:cs="方正小标宋简体"/>
          <w:b w:val="0"/>
          <w:bCs w:val="0"/>
        </w:rPr>
        <w:t>部门概况</w:t>
      </w:r>
      <w:bookmarkEnd w:id="13"/>
      <w:bookmarkEnd w:id="14"/>
    </w:p>
    <w:p w14:paraId="77F7D32A">
      <w:pPr>
        <w:widowControl/>
        <w:jc w:val="left"/>
        <w:rPr>
          <w:rFonts w:eastAsia="黑体"/>
          <w:sz w:val="32"/>
          <w:szCs w:val="32"/>
        </w:rPr>
      </w:pPr>
    </w:p>
    <w:p w14:paraId="796CFC7F">
      <w:pPr>
        <w:pStyle w:val="6"/>
        <w:numPr>
          <w:ilvl w:val="0"/>
          <w:numId w:val="1"/>
        </w:numPr>
        <w:rPr>
          <w:rFonts w:ascii="Times New Roman" w:hAnsi="Times New Roman" w:eastAsia="黑体"/>
          <w:b w:val="0"/>
        </w:rPr>
      </w:pPr>
      <w:r>
        <w:rPr>
          <w:rFonts w:hint="eastAsia" w:ascii="Times New Roman" w:hAnsi="Times New Roman" w:eastAsia="黑体"/>
          <w:b w:val="0"/>
        </w:rPr>
        <w:t>部门职责</w:t>
      </w:r>
    </w:p>
    <w:p w14:paraId="651F9948">
      <w:pPr>
        <w:ind w:firstLine="420" w:firstLineChars="200"/>
      </w:pPr>
      <w:r>
        <w:rPr>
          <w:rFonts w:hint="eastAsia"/>
        </w:rPr>
        <w:t xml:space="preserve">  </w:t>
      </w:r>
      <w:r>
        <w:rPr>
          <w:rFonts w:hint="eastAsia" w:ascii="仿宋_GB2312" w:hAnsi="仿宋" w:eastAsia="仿宋_GB2312"/>
          <w:sz w:val="32"/>
          <w:szCs w:val="32"/>
        </w:rPr>
        <w:t>负责所在行政区域内的自然资源行政管理和规划实施管理工作，具体为</w:t>
      </w:r>
      <w:r>
        <w:rPr>
          <w:rFonts w:eastAsia="仿宋_GB2312"/>
          <w:sz w:val="32"/>
          <w:szCs w:val="32"/>
        </w:rPr>
        <w:t>组织开展国土资源法制宣传教育</w:t>
      </w:r>
      <w:r>
        <w:rPr>
          <w:rFonts w:hint="eastAsia" w:eastAsia="仿宋_GB2312"/>
          <w:sz w:val="32"/>
          <w:szCs w:val="32"/>
        </w:rPr>
        <w:t>；</w:t>
      </w:r>
      <w:r>
        <w:rPr>
          <w:rFonts w:eastAsia="仿宋_GB2312"/>
          <w:sz w:val="32"/>
          <w:szCs w:val="32"/>
        </w:rPr>
        <w:t>负责辖区内矿产资源管理、地质环境保护、地质灾害防治与监管工作</w:t>
      </w:r>
      <w:r>
        <w:rPr>
          <w:rFonts w:hint="eastAsia" w:eastAsia="仿宋_GB2312"/>
          <w:sz w:val="32"/>
          <w:szCs w:val="32"/>
        </w:rPr>
        <w:t>，</w:t>
      </w:r>
      <w:r>
        <w:rPr>
          <w:rFonts w:eastAsia="仿宋_GB2312"/>
          <w:sz w:val="32"/>
          <w:szCs w:val="32"/>
        </w:rPr>
        <w:t>负责权限内采矿权审批登记、发证工作</w:t>
      </w:r>
      <w:r>
        <w:rPr>
          <w:rFonts w:hint="eastAsia" w:eastAsia="仿宋_GB2312"/>
          <w:sz w:val="32"/>
          <w:szCs w:val="32"/>
        </w:rPr>
        <w:t>；</w:t>
      </w:r>
      <w:r>
        <w:rPr>
          <w:rFonts w:eastAsia="仿宋_GB2312"/>
          <w:sz w:val="32"/>
          <w:szCs w:val="32"/>
        </w:rPr>
        <w:t>承担辖区内耕地保护的责任，拟定并组织实施耕地保护、基本农田保护政策，监督占用耕地补偿制度执行情况；受市局委托负责辖区内村民宅基地审批、临时用地审核和农村集体土地所有权、集体建设用地使用权的登记发证。指导辖区内土地征收、土地储备工作</w:t>
      </w:r>
      <w:r>
        <w:rPr>
          <w:rFonts w:hint="eastAsia" w:eastAsia="仿宋_GB2312"/>
          <w:sz w:val="32"/>
          <w:szCs w:val="32"/>
        </w:rPr>
        <w:t>等工作及</w:t>
      </w:r>
      <w:r>
        <w:rPr>
          <w:rFonts w:hint="eastAsia" w:ascii="仿宋_GB2312" w:hAnsi="仿宋" w:eastAsia="仿宋_GB2312"/>
          <w:sz w:val="32"/>
          <w:szCs w:val="32"/>
        </w:rPr>
        <w:t>完成市自然资源和规划局交办的其他任务。</w:t>
      </w:r>
    </w:p>
    <w:p w14:paraId="084856D2"/>
    <w:p w14:paraId="5A376CD6">
      <w:pPr>
        <w:pStyle w:val="6"/>
        <w:rPr>
          <w:rStyle w:val="29"/>
          <w:rFonts w:ascii="Times New Roman" w:hAnsi="Times New Roman"/>
          <w:b w:val="0"/>
          <w:bCs w:val="0"/>
        </w:rPr>
      </w:pPr>
      <w:bookmarkStart w:id="15" w:name="_Toc15377200"/>
      <w:bookmarkStart w:id="16" w:name="_Toc15396601"/>
      <w:r>
        <w:rPr>
          <w:rFonts w:hint="eastAsia" w:ascii="Times New Roman" w:hAnsi="Times New Roman" w:eastAsia="黑体"/>
          <w:b w:val="0"/>
        </w:rPr>
        <w:t>二、机</w:t>
      </w:r>
      <w:r>
        <w:rPr>
          <w:rStyle w:val="29"/>
          <w:rFonts w:hint="eastAsia" w:ascii="Times New Roman" w:hAnsi="Times New Roman" w:eastAsia="黑体"/>
          <w:b w:val="0"/>
          <w:bCs w:val="0"/>
        </w:rPr>
        <w:t>构设置</w:t>
      </w:r>
      <w:bookmarkEnd w:id="15"/>
      <w:bookmarkEnd w:id="16"/>
    </w:p>
    <w:p w14:paraId="1B573093">
      <w:pPr>
        <w:ind w:firstLine="640" w:firstLineChars="200"/>
        <w:rPr>
          <w:rFonts w:eastAsia="仿宋_GB2312"/>
          <w:sz w:val="32"/>
          <w:szCs w:val="32"/>
        </w:rPr>
      </w:pPr>
      <w:r>
        <w:rPr>
          <w:rFonts w:hint="eastAsia" w:ascii="仿宋_GB2312" w:hAnsi="仿宋_GB2312" w:eastAsia="仿宋_GB2312" w:cs="仿宋_GB2312"/>
          <w:sz w:val="32"/>
          <w:szCs w:val="32"/>
        </w:rPr>
        <w:t>四川省攀枝花市自然资源和规划局西区分局</w:t>
      </w:r>
      <w:r>
        <w:rPr>
          <w:rFonts w:hint="eastAsia" w:eastAsia="仿宋_GB2312"/>
          <w:sz w:val="32"/>
          <w:szCs w:val="32"/>
        </w:rPr>
        <w:t>内设土管股、矿管股、规划股、土地利用股及办公室5个股室；代市自然资源和规划局管理攀枝花市格里坪自然资源所和自然资源综合执法大队。</w:t>
      </w:r>
    </w:p>
    <w:p w14:paraId="7AEF4147">
      <w:pPr>
        <w:pStyle w:val="8"/>
        <w:adjustRightInd w:val="0"/>
        <w:snapToGrid w:val="0"/>
        <w:spacing w:before="93" w:line="600" w:lineRule="exact"/>
        <w:ind w:firstLine="1120" w:firstLineChars="350"/>
        <w:rPr>
          <w:rFonts w:ascii="Times New Roman" w:cs="仿宋_GB2312"/>
          <w:sz w:val="32"/>
          <w:szCs w:val="32"/>
        </w:rPr>
      </w:pPr>
    </w:p>
    <w:p w14:paraId="47A844BE">
      <w:pPr>
        <w:pStyle w:val="5"/>
        <w:jc w:val="center"/>
        <w:rPr>
          <w:rFonts w:eastAsia="方正小标宋简体" w:cs="方正小标宋简体"/>
          <w:b w:val="0"/>
        </w:rPr>
        <w:sectPr>
          <w:footerReference r:id="rId11" w:type="first"/>
          <w:footerReference r:id="rId10" w:type="default"/>
          <w:pgSz w:w="11906" w:h="16838"/>
          <w:pgMar w:top="1440" w:right="1800" w:bottom="1440" w:left="1800" w:header="851" w:footer="992" w:gutter="0"/>
          <w:pgNumType w:fmt="numberInDash" w:start="1"/>
          <w:cols w:space="425" w:num="1"/>
          <w:titlePg/>
          <w:docGrid w:type="lines" w:linePitch="312" w:charSpace="0"/>
        </w:sectPr>
      </w:pPr>
      <w:bookmarkStart w:id="17" w:name="_Toc15396602"/>
      <w:bookmarkStart w:id="18" w:name="_Toc15377204"/>
    </w:p>
    <w:p w14:paraId="1D6201EB">
      <w:pPr>
        <w:pStyle w:val="5"/>
        <w:jc w:val="center"/>
        <w:rPr>
          <w:rFonts w:eastAsia="方正小标宋简体" w:cs="方正小标宋简体"/>
          <w:b w:val="0"/>
        </w:rPr>
      </w:pPr>
      <w:r>
        <w:rPr>
          <w:rFonts w:hint="eastAsia" w:eastAsia="方正小标宋简体" w:cs="方正小标宋简体"/>
          <w:b w:val="0"/>
        </w:rPr>
        <w:t>第二部分  2025年度部门决算情况说明</w:t>
      </w:r>
      <w:bookmarkEnd w:id="17"/>
      <w:bookmarkEnd w:id="18"/>
    </w:p>
    <w:p w14:paraId="53F0667E"/>
    <w:p w14:paraId="4898CC9C">
      <w:pPr>
        <w:pStyle w:val="27"/>
        <w:spacing w:line="600" w:lineRule="exact"/>
        <w:ind w:firstLine="640"/>
        <w:outlineLvl w:val="1"/>
        <w:rPr>
          <w:rStyle w:val="29"/>
          <w:rFonts w:ascii="Times New Roman" w:hAnsi="Times New Roman" w:eastAsia="黑体"/>
          <w:b w:val="0"/>
        </w:rPr>
      </w:pPr>
      <w:bookmarkStart w:id="19" w:name="_Toc15396603"/>
      <w:bookmarkStart w:id="20" w:name="_Toc15377205"/>
      <w:r>
        <w:rPr>
          <w:rFonts w:hint="eastAsia" w:eastAsia="黑体"/>
          <w:sz w:val="32"/>
          <w:szCs w:val="32"/>
        </w:rPr>
        <w:t>一、收</w:t>
      </w:r>
      <w:r>
        <w:rPr>
          <w:rStyle w:val="29"/>
          <w:rFonts w:hint="eastAsia" w:ascii="Times New Roman" w:hAnsi="Times New Roman" w:eastAsia="黑体"/>
          <w:b w:val="0"/>
        </w:rPr>
        <w:t>入支出决算总体情况说明</w:t>
      </w:r>
      <w:bookmarkEnd w:id="19"/>
      <w:bookmarkEnd w:id="20"/>
    </w:p>
    <w:p w14:paraId="28EE5889">
      <w:pPr>
        <w:pStyle w:val="27"/>
        <w:spacing w:line="600" w:lineRule="exact"/>
        <w:ind w:firstLine="640"/>
        <w:outlineLvl w:val="1"/>
        <w:rPr>
          <w:rFonts w:eastAsia="仿宋_GB2312" w:cs="仿宋_GB2312"/>
          <w:sz w:val="32"/>
          <w:szCs w:val="32"/>
        </w:rPr>
      </w:pPr>
      <w:r>
        <w:rPr>
          <w:rFonts w:hint="eastAsia" w:eastAsia="仿宋_GB2312" w:cs="仿宋_GB2312"/>
          <w:sz w:val="32"/>
          <w:szCs w:val="32"/>
        </w:rPr>
        <w:t>2025年度收入、支出总计均为</w:t>
      </w:r>
      <w:r>
        <w:rPr>
          <w:rFonts w:hint="eastAsia" w:ascii="仿宋_GB2312" w:hAnsi="仿宋_GB2312" w:eastAsia="仿宋_GB2312" w:cs="仿宋_GB2312"/>
          <w:sz w:val="32"/>
          <w:szCs w:val="32"/>
        </w:rPr>
        <w:t>1440.41</w:t>
      </w:r>
      <w:r>
        <w:rPr>
          <w:rFonts w:hint="eastAsia" w:eastAsia="仿宋_GB2312" w:cs="仿宋_GB2312"/>
          <w:sz w:val="32"/>
          <w:szCs w:val="32"/>
        </w:rPr>
        <w:t>万元。与2024年度相比，收入、支出总计各减少413.97万元，下降22.32%。主要变动原因是2025年在节能环保、城乡社区、灾害防治及应急管理方面支出较2024年下降。</w:t>
      </w:r>
    </w:p>
    <w:p w14:paraId="5AC74DC5">
      <w:pPr>
        <w:ind w:firstLine="640" w:firstLineChars="200"/>
        <w:rPr>
          <w:rFonts w:eastAsia="仿宋_GB2312" w:cs="仿宋_GB2312"/>
          <w:sz w:val="32"/>
          <w:szCs w:val="32"/>
        </w:rPr>
      </w:pPr>
      <w:r>
        <w:rPr>
          <w:rFonts w:hint="eastAsia" w:eastAsia="仿宋_GB2312" w:cs="仿宋_GB2312"/>
          <w:sz w:val="32"/>
          <w:szCs w:val="32"/>
        </w:rPr>
        <w:t>（图1：收入、支出决算总计变动情况图）（柱状图）</w:t>
      </w:r>
      <w:r>
        <w:rPr>
          <w:rFonts w:ascii="仿宋_GB2312" w:eastAsia="仿宋_GB2312"/>
          <w:sz w:val="32"/>
          <w:szCs w:val="32"/>
        </w:rPr>
        <w:pict>
          <v:shape id="Object 2" o:spid="_x0000_s2051" o:spt="75" type="#_x0000_t75" style="position:absolute;left:0pt;margin-left:14.05pt;margin-top:0.9pt;height:206.45pt;width:401.9pt;mso-wrap-distance-left:9pt;mso-wrap-distance-right:9pt;z-index:-251657216;mso-width-relative:page;mso-height-relative:page;" o:ole="t" filled="t" o:preferrelative="t" stroked="t" coordsize="21600,21600" wrapcoords="21592 -2 0 0 0 21600 21592 21602 8 21602 21600 21600 21600 0 8 -2 21592 -2">
            <v:path/>
            <v:fill on="t" focussize="0,0"/>
            <v:stroke weight="0pt" joinstyle="miter"/>
            <v:imagedata r:id="rId17" o:title=""/>
            <o:lock v:ext="edit" aspectratio="t"/>
            <w10:wrap type="tight"/>
          </v:shape>
          <o:OLEObject Type="Embed" ProgID="Excel.Chart.8" ShapeID="Object 2" DrawAspect="Content" ObjectID="_1468075725" r:id="rId16">
            <o:LockedField>false</o:LockedField>
          </o:OLEObject>
        </w:pict>
      </w:r>
    </w:p>
    <w:p w14:paraId="2AFF5BC7">
      <w:pPr>
        <w:pStyle w:val="27"/>
        <w:spacing w:line="600" w:lineRule="exact"/>
        <w:ind w:firstLine="640"/>
        <w:outlineLvl w:val="1"/>
        <w:rPr>
          <w:rFonts w:eastAsia="黑体"/>
          <w:sz w:val="32"/>
          <w:szCs w:val="32"/>
        </w:rPr>
      </w:pPr>
      <w:bookmarkStart w:id="21" w:name="_Toc15396604"/>
      <w:bookmarkStart w:id="22" w:name="_Toc15377206"/>
      <w:r>
        <w:rPr>
          <w:rFonts w:hint="eastAsia" w:eastAsia="黑体"/>
          <w:sz w:val="32"/>
          <w:szCs w:val="32"/>
        </w:rPr>
        <w:t>二、收入决算情况说明</w:t>
      </w:r>
      <w:bookmarkEnd w:id="21"/>
      <w:bookmarkEnd w:id="22"/>
    </w:p>
    <w:p w14:paraId="2170B9A3">
      <w:pPr>
        <w:pStyle w:val="27"/>
        <w:spacing w:line="600" w:lineRule="exact"/>
        <w:ind w:firstLine="640"/>
        <w:jc w:val="left"/>
        <w:outlineLvl w:val="1"/>
        <w:rPr>
          <w:rFonts w:eastAsia="仿宋_GB2312" w:cs="仿宋_GB2312"/>
          <w:b/>
          <w:bCs/>
          <w:sz w:val="32"/>
          <w:szCs w:val="32"/>
        </w:rPr>
      </w:pPr>
      <w:r>
        <w:rPr>
          <w:rFonts w:hint="eastAsia" w:ascii="仿宋_GB2312" w:hAnsi="仿宋_GB2312" w:eastAsia="仿宋_GB2312" w:cs="仿宋_GB2312"/>
          <w:sz w:val="32"/>
          <w:szCs w:val="32"/>
        </w:rPr>
        <w:t>2025年度本年收入合计1440.41万元，其中：一般公共预算财政拨款收入431.63万元，占29.97%；政府性基金预算财政拨款收入0万元，占0%；国有资本经营预算财政拨款收入0万元，占0%；上级补助收入0万元，占0%；事业收入0万元，占0%；经营收入0万元，占0%；附属单位上缴收入0万元，占0%；其他收入1008.78万元，占70.03%。</w:t>
      </w:r>
    </w:p>
    <w:p w14:paraId="7C8E5B9B">
      <w:pPr>
        <w:ind w:firstLine="800" w:firstLineChars="250"/>
        <w:rPr>
          <w:rFonts w:eastAsia="仿宋_GB2312" w:cs="仿宋_GB2312"/>
          <w:sz w:val="32"/>
          <w:szCs w:val="32"/>
        </w:rPr>
        <w:sectPr>
          <w:footerReference r:id="rId13" w:type="first"/>
          <w:footerReference r:id="rId12" w:type="default"/>
          <w:pgSz w:w="11906" w:h="16838"/>
          <w:pgMar w:top="1440" w:right="1800" w:bottom="1440" w:left="1800" w:header="851" w:footer="992" w:gutter="0"/>
          <w:pgNumType w:fmt="numberInDash" w:start="2"/>
          <w:cols w:space="425" w:num="1"/>
          <w:docGrid w:type="lines" w:linePitch="312" w:charSpace="0"/>
        </w:sectPr>
      </w:pPr>
    </w:p>
    <w:p w14:paraId="7C5D4EC1">
      <w:pPr>
        <w:ind w:firstLine="800" w:firstLineChars="250"/>
        <w:rPr>
          <w:rFonts w:eastAsia="仿宋_GB2312" w:cs="仿宋_GB2312"/>
          <w:sz w:val="32"/>
          <w:szCs w:val="32"/>
        </w:rPr>
      </w:pPr>
      <w:r>
        <w:rPr>
          <w:rFonts w:hint="eastAsia" w:eastAsia="仿宋_GB2312" w:cs="仿宋_GB2312"/>
          <w:sz w:val="32"/>
          <w:szCs w:val="32"/>
        </w:rPr>
        <w:t>（图2：收入决算结构图）（饼状图）</w:t>
      </w:r>
    </w:p>
    <w:p w14:paraId="22A32F49">
      <w:pPr>
        <w:jc w:val="center"/>
        <w:rPr>
          <w:rFonts w:eastAsia="仿宋_GB2312" w:cs="仿宋_GB2312"/>
          <w:sz w:val="32"/>
          <w:szCs w:val="32"/>
        </w:rPr>
      </w:pPr>
      <w:r>
        <w:rPr>
          <w:rFonts w:hint="eastAsia" w:ascii="仿宋_GB2312" w:eastAsia="仿宋_GB2312"/>
          <w:sz w:val="32"/>
          <w:szCs w:val="32"/>
        </w:rPr>
        <w:object>
          <v:shape id="_x0000_i1025" o:spt="75" type="#_x0000_t75" style="height:240.3pt;width:376.45pt;" o:ole="t" filled="f" o:preferrelative="t" stroked="f" coordsize="21600,21600">
            <v:path/>
            <v:fill on="f" focussize="0,0"/>
            <v:stroke on="f" joinstyle="miter"/>
            <v:imagedata r:id="rId19" o:title=""/>
            <o:lock v:ext="edit" aspectratio="t"/>
            <w10:wrap type="none"/>
            <w10:anchorlock/>
          </v:shape>
          <o:OLEObject Type="Embed" ProgID="Excel.Chart.8" ShapeID="_x0000_i1025" DrawAspect="Content" ObjectID="_1468075726" r:id="rId18">
            <o:LockedField>false</o:LockedField>
          </o:OLEObject>
        </w:object>
      </w:r>
    </w:p>
    <w:p w14:paraId="6959D005">
      <w:pPr>
        <w:pStyle w:val="27"/>
        <w:spacing w:line="600" w:lineRule="exact"/>
        <w:ind w:firstLine="640"/>
        <w:outlineLvl w:val="1"/>
        <w:rPr>
          <w:rStyle w:val="29"/>
          <w:rFonts w:ascii="Times New Roman" w:hAnsi="Times New Roman" w:eastAsia="黑体"/>
          <w:b w:val="0"/>
        </w:rPr>
      </w:pPr>
      <w:bookmarkStart w:id="23" w:name="_Toc15377207"/>
      <w:bookmarkStart w:id="24" w:name="_Toc15396605"/>
      <w:r>
        <w:rPr>
          <w:rFonts w:hint="eastAsia" w:eastAsia="黑体"/>
          <w:sz w:val="32"/>
          <w:szCs w:val="32"/>
        </w:rPr>
        <w:t>三、支</w:t>
      </w:r>
      <w:r>
        <w:rPr>
          <w:rStyle w:val="29"/>
          <w:rFonts w:hint="eastAsia" w:ascii="Times New Roman" w:hAnsi="Times New Roman" w:eastAsia="黑体"/>
          <w:b w:val="0"/>
        </w:rPr>
        <w:t>出决算情况说明</w:t>
      </w:r>
      <w:bookmarkEnd w:id="23"/>
      <w:bookmarkEnd w:id="24"/>
    </w:p>
    <w:p w14:paraId="358E3B1D">
      <w:pPr>
        <w:pStyle w:val="27"/>
        <w:spacing w:line="600" w:lineRule="exact"/>
        <w:ind w:firstLine="640"/>
        <w:jc w:val="left"/>
        <w:outlineLvl w:val="1"/>
        <w:rPr>
          <w:rFonts w:eastAsia="仿宋_GB2312" w:cs="仿宋_GB2312"/>
          <w:sz w:val="32"/>
          <w:szCs w:val="32"/>
        </w:rPr>
      </w:pPr>
      <w:r>
        <w:rPr>
          <w:rFonts w:hint="eastAsia" w:ascii="仿宋_GB2312" w:hAnsi="仿宋_GB2312" w:eastAsia="仿宋_GB2312" w:cs="仿宋_GB2312"/>
          <w:sz w:val="32"/>
          <w:szCs w:val="32"/>
        </w:rPr>
        <w:t>2025年度本年支出合计1440.41万元，其中：基本支出139.3万元，占9.67%；项目支出1301.11万元，占90.33%；上缴上级支出0万元，占0%；经营支出0万元，占0%；对附属单位补助支出0万元，占0%%。</w:t>
      </w:r>
    </w:p>
    <w:p w14:paraId="2C7EA592">
      <w:pPr>
        <w:ind w:firstLine="800" w:firstLineChars="250"/>
        <w:rPr>
          <w:rFonts w:eastAsia="仿宋_GB2312" w:cs="仿宋_GB2312"/>
          <w:sz w:val="32"/>
          <w:szCs w:val="32"/>
        </w:rPr>
      </w:pPr>
      <w:r>
        <w:rPr>
          <w:rFonts w:eastAsia="仿宋_GB2312"/>
          <w:sz w:val="32"/>
          <w:szCs w:val="32"/>
        </w:rPr>
        <w:pict>
          <v:shape id="Object 4" o:spid="_x0000_s2052" o:spt="75" type="#_x0000_t75" style="position:absolute;left:0pt;margin-left:3.75pt;margin-top:35.5pt;height:210.3pt;width:411.2pt;mso-wrap-distance-bottom:0pt;mso-wrap-distance-left:9pt;mso-wrap-distance-right:9pt;mso-wrap-distance-top:0pt;z-index:251660288;mso-width-relative:page;mso-height-relative:page;" o:ole="t" filled="f" o:preferrelative="t" stroked="t" coordsize="21600,21600">
            <v:path/>
            <v:fill on="f" focussize="0,0"/>
            <v:stroke joinstyle="miter"/>
            <v:imagedata r:id="rId21" o:title=""/>
            <o:lock v:ext="edit" aspectratio="t"/>
            <w10:wrap type="square"/>
          </v:shape>
          <o:OLEObject Type="Embed" ProgID="Excel.Chart.8" ShapeID="Object 4" DrawAspect="Content" ObjectID="_1468075727" r:id="rId20">
            <o:LockedField>false</o:LockedField>
          </o:OLEObject>
        </w:pict>
      </w:r>
      <w:r>
        <w:rPr>
          <w:rFonts w:hint="eastAsia" w:eastAsia="仿宋_GB2312" w:cs="仿宋_GB2312"/>
          <w:sz w:val="32"/>
          <w:szCs w:val="32"/>
        </w:rPr>
        <w:t>（图3：支出决算结构图）（饼状图）</w:t>
      </w:r>
    </w:p>
    <w:p w14:paraId="11A2AA4F">
      <w:pPr>
        <w:ind w:firstLine="800" w:firstLineChars="250"/>
        <w:rPr>
          <w:rFonts w:eastAsia="仿宋_GB2312" w:cs="仿宋_GB2312"/>
          <w:sz w:val="32"/>
          <w:szCs w:val="32"/>
        </w:rPr>
      </w:pPr>
    </w:p>
    <w:p w14:paraId="286C4B21">
      <w:pPr>
        <w:spacing w:line="600" w:lineRule="exact"/>
        <w:ind w:firstLine="640" w:firstLineChars="200"/>
        <w:outlineLvl w:val="1"/>
        <w:rPr>
          <w:rStyle w:val="29"/>
          <w:rFonts w:ascii="Times New Roman" w:hAnsi="Times New Roman" w:eastAsia="黑体"/>
          <w:b w:val="0"/>
        </w:rPr>
      </w:pPr>
      <w:bookmarkStart w:id="25" w:name="_Toc15396606"/>
      <w:bookmarkStart w:id="26" w:name="_Toc15377208"/>
      <w:r>
        <w:rPr>
          <w:rFonts w:hint="eastAsia" w:eastAsia="黑体"/>
          <w:sz w:val="32"/>
          <w:szCs w:val="32"/>
        </w:rPr>
        <w:t>四、财</w:t>
      </w:r>
      <w:r>
        <w:rPr>
          <w:rStyle w:val="29"/>
          <w:rFonts w:hint="eastAsia" w:ascii="Times New Roman" w:hAnsi="Times New Roman" w:eastAsia="黑体"/>
          <w:b w:val="0"/>
        </w:rPr>
        <w:t>政拨款收入支出决算总体情况说明</w:t>
      </w:r>
      <w:bookmarkEnd w:id="25"/>
      <w:bookmarkEnd w:id="26"/>
    </w:p>
    <w:p w14:paraId="5D8AEDD4">
      <w:pPr>
        <w:spacing w:line="600" w:lineRule="exact"/>
        <w:ind w:firstLine="640"/>
        <w:rPr>
          <w:rFonts w:eastAsia="仿宋_GB2312" w:cs="仿宋_GB2312"/>
          <w:sz w:val="32"/>
          <w:szCs w:val="32"/>
        </w:rPr>
      </w:pPr>
      <w:r>
        <w:rPr>
          <w:rFonts w:hint="eastAsia" w:eastAsia="仿宋_GB2312" w:cs="仿宋_GB2312"/>
          <w:sz w:val="32"/>
          <w:szCs w:val="32"/>
        </w:rPr>
        <w:t>2025年度财政拨款收入、支出总计均为</w:t>
      </w:r>
      <w:r>
        <w:rPr>
          <w:rFonts w:hint="eastAsia" w:ascii="仿宋_GB2312" w:hAnsi="仿宋_GB2312" w:eastAsia="仿宋_GB2312" w:cs="仿宋_GB2312"/>
          <w:sz w:val="32"/>
          <w:szCs w:val="32"/>
        </w:rPr>
        <w:t>431.63</w:t>
      </w:r>
      <w:r>
        <w:rPr>
          <w:rFonts w:hint="eastAsia" w:eastAsia="仿宋_GB2312" w:cs="仿宋_GB2312"/>
          <w:sz w:val="32"/>
          <w:szCs w:val="32"/>
        </w:rPr>
        <w:t>万元。与2024年度相比，财政拨款收入总计、支出总计各减少98.74万元，下降18.62%。主要变动原因是城乡社区支出、自然资源海洋气象等支出较2024年下降。</w:t>
      </w:r>
    </w:p>
    <w:p w14:paraId="35D2CABD">
      <w:pPr>
        <w:spacing w:line="600" w:lineRule="exact"/>
        <w:ind w:firstLine="640" w:firstLineChars="200"/>
        <w:rPr>
          <w:rFonts w:eastAsia="仿宋_GB2312" w:cs="仿宋_GB2312"/>
          <w:sz w:val="32"/>
          <w:szCs w:val="32"/>
        </w:rPr>
      </w:pPr>
      <w:r>
        <w:rPr>
          <w:rFonts w:hint="eastAsia" w:eastAsia="仿宋_GB2312" w:cs="仿宋_GB2312"/>
          <w:sz w:val="32"/>
          <w:szCs w:val="32"/>
        </w:rPr>
        <w:t>（图4：财政拨款收、支决算总计变动情况）（柱状图）</w:t>
      </w:r>
    </w:p>
    <w:p w14:paraId="72B87DA3">
      <w:pPr>
        <w:pStyle w:val="8"/>
        <w:spacing w:before="93"/>
      </w:pPr>
      <w:r>
        <w:rPr>
          <w:rFonts w:hint="eastAsia" w:ascii="仿宋" w:hAnsi="仿宋" w:eastAsia="仿宋"/>
          <w:b/>
          <w:sz w:val="32"/>
          <w:szCs w:val="32"/>
        </w:rPr>
        <w:object>
          <v:shape id="_x0000_i1026" o:spt="75" type="#_x0000_t75" style="height:221.2pt;width:413.15pt;" o:ole="t" filled="f" o:preferrelative="t" stroked="f" coordsize="21600,21600">
            <v:path/>
            <v:fill on="f" focussize="0,0"/>
            <v:stroke on="f" joinstyle="miter"/>
            <v:imagedata r:id="rId23" o:title=""/>
            <o:lock v:ext="edit" aspectratio="t"/>
            <w10:wrap type="none"/>
            <w10:anchorlock/>
          </v:shape>
          <o:OLEObject Type="Embed" ProgID="Excel.Chart.8" ShapeID="_x0000_i1026" DrawAspect="Content" ObjectID="_1468075728" r:id="rId22">
            <o:LockedField>false</o:LockedField>
          </o:OLEObject>
        </w:object>
      </w:r>
    </w:p>
    <w:p w14:paraId="2AB8D346">
      <w:pPr>
        <w:spacing w:line="600" w:lineRule="exact"/>
        <w:ind w:firstLine="640" w:firstLineChars="200"/>
        <w:outlineLvl w:val="1"/>
        <w:rPr>
          <w:rStyle w:val="29"/>
          <w:rFonts w:ascii="Times New Roman" w:hAnsi="Times New Roman" w:eastAsia="黑体"/>
          <w:b w:val="0"/>
        </w:rPr>
      </w:pPr>
      <w:bookmarkStart w:id="27" w:name="_Toc15396607"/>
      <w:bookmarkStart w:id="28" w:name="_Toc15377209"/>
      <w:r>
        <w:rPr>
          <w:rFonts w:hint="eastAsia" w:eastAsia="黑体"/>
          <w:sz w:val="32"/>
          <w:szCs w:val="32"/>
        </w:rPr>
        <w:t>五、</w:t>
      </w:r>
      <w:r>
        <w:rPr>
          <w:rFonts w:hint="eastAsia" w:eastAsia="黑体"/>
          <w:b/>
          <w:sz w:val="32"/>
          <w:szCs w:val="32"/>
        </w:rPr>
        <w:t>一</w:t>
      </w:r>
      <w:r>
        <w:rPr>
          <w:rStyle w:val="29"/>
          <w:rFonts w:hint="eastAsia" w:ascii="Times New Roman" w:hAnsi="Times New Roman" w:eastAsia="黑体"/>
          <w:b w:val="0"/>
        </w:rPr>
        <w:t>般公共预算财政拨款支出决算情况说明</w:t>
      </w:r>
      <w:bookmarkEnd w:id="27"/>
      <w:bookmarkEnd w:id="28"/>
    </w:p>
    <w:p w14:paraId="0F8DDE0E">
      <w:pPr>
        <w:spacing w:line="600" w:lineRule="exact"/>
        <w:ind w:firstLine="643" w:firstLineChars="200"/>
        <w:outlineLvl w:val="2"/>
        <w:rPr>
          <w:rFonts w:eastAsia="楷体_GB2312" w:cs="楷体_GB2312"/>
          <w:b/>
          <w:sz w:val="32"/>
          <w:szCs w:val="32"/>
        </w:rPr>
      </w:pPr>
      <w:bookmarkStart w:id="29" w:name="_Toc15377210"/>
      <w:r>
        <w:rPr>
          <w:rFonts w:hint="eastAsia" w:eastAsia="楷体_GB2312" w:cs="楷体_GB2312"/>
          <w:b/>
          <w:sz w:val="32"/>
          <w:szCs w:val="32"/>
        </w:rPr>
        <w:t>（一）一般公共预算财政拨款支出决算总体情况</w:t>
      </w:r>
      <w:bookmarkEnd w:id="29"/>
    </w:p>
    <w:p w14:paraId="508C6659">
      <w:pPr>
        <w:spacing w:line="600" w:lineRule="exact"/>
        <w:ind w:firstLine="640"/>
        <w:rPr>
          <w:rFonts w:eastAsia="仿宋_GB2312" w:cs="仿宋_GB2312"/>
          <w:sz w:val="32"/>
          <w:szCs w:val="32"/>
        </w:rPr>
      </w:pPr>
      <w:r>
        <w:rPr>
          <w:rFonts w:hint="eastAsia" w:ascii="仿宋_GB2312" w:hAnsi="仿宋_GB2312" w:eastAsia="仿宋_GB2312" w:cs="仿宋_GB2312"/>
          <w:sz w:val="32"/>
          <w:szCs w:val="32"/>
        </w:rPr>
        <w:t>2025年度一般公共预算财政拨款支出431.63万元，占本年支出合计的29.97%。与2024年度相比，一般公共预算财政拨款支出增加84.66万元，增长24.4%。主要变动原因是</w:t>
      </w:r>
      <w:r>
        <w:rPr>
          <w:rFonts w:hint="eastAsia" w:eastAsia="仿宋_GB2312" w:cs="仿宋_GB2312"/>
          <w:sz w:val="32"/>
          <w:szCs w:val="32"/>
        </w:rPr>
        <w:t>自然资源海洋气象等支出、灾害防治及应急管理支出较2024年增加。</w:t>
      </w:r>
    </w:p>
    <w:p w14:paraId="353F4511">
      <w:pPr>
        <w:spacing w:line="600" w:lineRule="exact"/>
        <w:ind w:firstLine="640"/>
        <w:rPr>
          <w:rFonts w:eastAsia="仿宋_GB2312" w:cs="仿宋_GB2312"/>
          <w:sz w:val="32"/>
          <w:szCs w:val="32"/>
        </w:rPr>
      </w:pPr>
      <w:r>
        <w:rPr>
          <w:rFonts w:hint="eastAsia" w:eastAsia="仿宋_GB2312" w:cs="仿宋_GB2312"/>
          <w:sz w:val="32"/>
          <w:szCs w:val="32"/>
        </w:rPr>
        <w:t>（图5：一般公共预算财政拨款支出决算变动情况）（柱状图）</w:t>
      </w:r>
    </w:p>
    <w:p w14:paraId="574963C2">
      <w:pPr>
        <w:spacing w:line="600" w:lineRule="exact"/>
        <w:rPr>
          <w:rFonts w:eastAsia="仿宋_GB2312" w:cs="仿宋_GB2312"/>
          <w:sz w:val="32"/>
          <w:szCs w:val="32"/>
        </w:rPr>
      </w:pPr>
    </w:p>
    <w:p w14:paraId="3584E75D">
      <w:pPr>
        <w:pStyle w:val="8"/>
        <w:spacing w:before="93"/>
      </w:pPr>
      <w:r>
        <w:rPr>
          <w:rFonts w:hint="eastAsia" w:ascii="仿宋" w:hAnsi="仿宋" w:eastAsia="仿宋"/>
          <w:sz w:val="32"/>
          <w:szCs w:val="32"/>
        </w:rPr>
        <w:object>
          <v:shape id="_x0000_i1027" o:spt="75" type="#_x0000_t75" style="height:219.35pt;width:413.15pt;" o:ole="t" filled="f" o:preferrelative="t" stroked="f" coordsize="21600,21600">
            <v:path/>
            <v:fill on="f" focussize="0,0"/>
            <v:stroke on="f" joinstyle="miter"/>
            <v:imagedata r:id="rId25" o:title=""/>
            <o:lock v:ext="edit" aspectratio="t"/>
            <w10:wrap type="none"/>
            <w10:anchorlock/>
          </v:shape>
          <o:OLEObject Type="Embed" ProgID="Excel.Chart.8" ShapeID="_x0000_i1027" DrawAspect="Content" ObjectID="_1468075729" r:id="rId24">
            <o:LockedField>false</o:LockedField>
          </o:OLEObject>
        </w:object>
      </w:r>
    </w:p>
    <w:p w14:paraId="46ACA51D">
      <w:pPr>
        <w:spacing w:line="600" w:lineRule="exact"/>
        <w:ind w:firstLine="643" w:firstLineChars="200"/>
        <w:outlineLvl w:val="2"/>
        <w:rPr>
          <w:rFonts w:eastAsia="楷体_GB2312" w:cs="楷体_GB2312"/>
          <w:b/>
          <w:sz w:val="32"/>
          <w:szCs w:val="32"/>
        </w:rPr>
      </w:pPr>
      <w:bookmarkStart w:id="30" w:name="_Toc15377211"/>
      <w:r>
        <w:rPr>
          <w:rFonts w:hint="eastAsia" w:eastAsia="楷体_GB2312" w:cs="楷体_GB2312"/>
          <w:b/>
          <w:sz w:val="32"/>
          <w:szCs w:val="32"/>
        </w:rPr>
        <w:t>（二）一般公共预算财政拨款支出决算结构情况</w:t>
      </w:r>
      <w:bookmarkEnd w:id="30"/>
    </w:p>
    <w:p w14:paraId="68472A91">
      <w:pPr>
        <w:spacing w:line="600" w:lineRule="exact"/>
        <w:ind w:firstLine="640"/>
        <w:rPr>
          <w:rFonts w:eastAsia="仿宋" w:cs="仿宋_GB2312"/>
          <w:sz w:val="32"/>
          <w:szCs w:val="32"/>
        </w:rPr>
      </w:pPr>
      <w:r>
        <w:rPr>
          <w:rFonts w:hint="eastAsia" w:eastAsia="仿宋" w:cs="仿宋_GB2312"/>
          <w:sz w:val="32"/>
          <w:szCs w:val="32"/>
        </w:rPr>
        <w:t>2025年度一般公共预算财政拨款支出431.63万元，主要用于以下方面：人大事务0.3万元，占0.07%；社会保障和就业支出14.79万元，占3.43%；卫生健康支出6.95万元，占1.61%；自然资源海洋气象等支出170.77万元，占39.56%；住房保障支出9.47万元，占2.19%；灾害防治及应急管理支出229.35万元，占53.14</w:t>
      </w:r>
      <w:r>
        <w:rPr>
          <w:rFonts w:eastAsia="仿宋" w:cs="仿宋_GB2312"/>
          <w:sz w:val="32"/>
          <w:szCs w:val="32"/>
        </w:rPr>
        <w:t>%</w:t>
      </w:r>
      <w:r>
        <w:rPr>
          <w:rFonts w:hint="eastAsia" w:eastAsia="仿宋" w:cs="仿宋_GB2312"/>
          <w:sz w:val="32"/>
          <w:szCs w:val="32"/>
        </w:rPr>
        <w:t>。</w:t>
      </w:r>
    </w:p>
    <w:p w14:paraId="0D38DF23">
      <w:pPr>
        <w:spacing w:line="600" w:lineRule="exact"/>
        <w:ind w:firstLine="640"/>
        <w:rPr>
          <w:rFonts w:eastAsia="仿宋_GB2312" w:cs="仿宋_GB2312"/>
          <w:sz w:val="32"/>
          <w:szCs w:val="32"/>
        </w:rPr>
      </w:pPr>
      <w:r>
        <w:rPr>
          <w:rFonts w:eastAsia="仿宋_GB2312"/>
          <w:sz w:val="32"/>
          <w:szCs w:val="32"/>
        </w:rPr>
        <w:pict>
          <v:shape id="Object 5" o:spid="_x0000_s2053" o:spt="75" type="#_x0000_t75" style="position:absolute;left:0pt;margin-left:-6.05pt;margin-top:150.8pt;height:225.55pt;width:492.95pt;mso-wrap-distance-bottom:0pt;mso-wrap-distance-left:9pt;mso-wrap-distance-right:9pt;mso-wrap-distance-top:0pt;z-index:251661312;mso-width-relative:page;mso-height-relative:page;" o:ole="t" filled="f" o:preferrelative="t" stroked="t" coordsize="21600,21600">
            <v:path/>
            <v:fill on="f" focussize="0,0"/>
            <v:stroke joinstyle="miter"/>
            <v:imagedata r:id="rId27" o:title=""/>
            <o:lock v:ext="edit" aspectratio="t"/>
            <w10:wrap type="square"/>
          </v:shape>
          <o:OLEObject Type="Embed" ProgID="Excel.Chart.8" ShapeID="Object 5" DrawAspect="Content" ObjectID="_1468075730" r:id="rId26">
            <o:LockedField>false</o:LockedField>
          </o:OLEObject>
        </w:pict>
      </w:r>
      <w:r>
        <w:rPr>
          <w:rFonts w:hint="eastAsia" w:eastAsia="仿宋_GB2312" w:cs="仿宋_GB2312"/>
          <w:sz w:val="32"/>
          <w:szCs w:val="32"/>
        </w:rPr>
        <w:t>（图6：一般公共预算财政拨款支出决算结构）（饼状图）</w:t>
      </w:r>
    </w:p>
    <w:p w14:paraId="59D4E8C0">
      <w:pPr>
        <w:pStyle w:val="8"/>
        <w:spacing w:before="93"/>
      </w:pPr>
    </w:p>
    <w:p w14:paraId="57F1FFF1">
      <w:pPr>
        <w:spacing w:line="600" w:lineRule="exact"/>
        <w:ind w:firstLine="643" w:firstLineChars="200"/>
        <w:outlineLvl w:val="2"/>
        <w:rPr>
          <w:rFonts w:eastAsia="楷体_GB2312" w:cs="楷体_GB2312"/>
          <w:b/>
          <w:sz w:val="32"/>
          <w:szCs w:val="32"/>
        </w:rPr>
      </w:pPr>
      <w:bookmarkStart w:id="31" w:name="_Toc15377212"/>
      <w:r>
        <w:rPr>
          <w:rFonts w:hint="eastAsia" w:eastAsia="楷体_GB2312" w:cs="楷体_GB2312"/>
          <w:b/>
          <w:sz w:val="32"/>
          <w:szCs w:val="32"/>
        </w:rPr>
        <w:t>（三）一般公共预算财政拨款支出决算具体情况</w:t>
      </w:r>
      <w:bookmarkEnd w:id="31"/>
    </w:p>
    <w:p w14:paraId="79F4937E">
      <w:pPr>
        <w:spacing w:line="600" w:lineRule="exact"/>
        <w:ind w:firstLine="640"/>
        <w:rPr>
          <w:rFonts w:eastAsia="仿宋_GB2312" w:cs="仿宋_GB2312"/>
          <w:sz w:val="32"/>
          <w:szCs w:val="32"/>
        </w:rPr>
      </w:pPr>
      <w:bookmarkStart w:id="32" w:name="_Toc15378460"/>
      <w:bookmarkStart w:id="33" w:name="_Toc15377213"/>
      <w:bookmarkStart w:id="34" w:name="_Toc15377444"/>
      <w:r>
        <w:rPr>
          <w:rFonts w:hint="eastAsia" w:eastAsia="仿宋_GB2312" w:cs="仿宋_GB2312"/>
          <w:sz w:val="32"/>
          <w:szCs w:val="32"/>
        </w:rPr>
        <w:t>2025年度一般公共预算财政拨款支出决算数为</w:t>
      </w:r>
      <w:r>
        <w:rPr>
          <w:rFonts w:hint="eastAsia" w:ascii="仿宋_GB2312" w:hAnsi="仿宋_GB2312" w:eastAsia="仿宋_GB2312" w:cs="仿宋_GB2312"/>
          <w:sz w:val="32"/>
          <w:szCs w:val="32"/>
        </w:rPr>
        <w:t>431.63，</w:t>
      </w:r>
      <w:r>
        <w:rPr>
          <w:rFonts w:hint="eastAsia" w:eastAsia="仿宋_GB2312" w:cs="仿宋_GB2312"/>
          <w:sz w:val="32"/>
          <w:szCs w:val="32"/>
        </w:rPr>
        <w:t>完成预算100%。其中：</w:t>
      </w:r>
      <w:bookmarkEnd w:id="32"/>
      <w:bookmarkEnd w:id="33"/>
      <w:bookmarkEnd w:id="34"/>
    </w:p>
    <w:p w14:paraId="36CB4BE6">
      <w:pPr>
        <w:pStyle w:val="2"/>
        <w:ind w:firstLine="640" w:firstLineChars="200"/>
      </w:pPr>
      <w:r>
        <w:rPr>
          <w:rFonts w:hint="eastAsia" w:eastAsia="仿宋_GB2312" w:cs="仿宋_GB2312"/>
          <w:sz w:val="32"/>
          <w:szCs w:val="32"/>
        </w:rPr>
        <w:t>1.一般公共服务支出（类）人大事务（款）行政运行（项）：支出决算为0.3万元，完成率100%，决算数等于预算数。</w:t>
      </w:r>
    </w:p>
    <w:p w14:paraId="302B8B99">
      <w:pPr>
        <w:spacing w:line="600" w:lineRule="exact"/>
        <w:ind w:firstLine="640"/>
        <w:rPr>
          <w:rFonts w:eastAsia="仿宋_GB2312" w:cs="仿宋_GB2312"/>
          <w:sz w:val="32"/>
          <w:szCs w:val="32"/>
        </w:rPr>
      </w:pPr>
      <w:r>
        <w:rPr>
          <w:rFonts w:hint="eastAsia" w:eastAsia="仿宋_GB2312" w:cs="仿宋_GB2312"/>
          <w:sz w:val="32"/>
          <w:szCs w:val="32"/>
        </w:rPr>
        <w:t>2.社会保障和就业支出（类）行政事业单位养老支出（款）行政单位离退休（项）: 支出决算为2.84万元，完成预算100%，决算数等于预算数。</w:t>
      </w:r>
    </w:p>
    <w:p w14:paraId="11974CA5">
      <w:pPr>
        <w:spacing w:line="600" w:lineRule="exact"/>
        <w:ind w:firstLine="640"/>
        <w:rPr>
          <w:rFonts w:eastAsia="仿宋_GB2312" w:cs="仿宋_GB2312"/>
          <w:sz w:val="32"/>
          <w:szCs w:val="32"/>
        </w:rPr>
      </w:pPr>
      <w:r>
        <w:rPr>
          <w:rFonts w:hint="eastAsia" w:eastAsia="仿宋_GB2312" w:cs="仿宋_GB2312"/>
          <w:sz w:val="32"/>
          <w:szCs w:val="32"/>
        </w:rPr>
        <w:t>3.社会保障和就业支出（类）行政事业单位养老支出（款）机关事业单位基本养老保险缴费支出（项）: 支出决算为11.95万元，完成预算100%，决算数等于预算数。</w:t>
      </w:r>
    </w:p>
    <w:p w14:paraId="7464042B">
      <w:pPr>
        <w:spacing w:line="600" w:lineRule="exact"/>
        <w:ind w:firstLine="640"/>
        <w:rPr>
          <w:rFonts w:eastAsia="仿宋_GB2312" w:cs="仿宋_GB2312"/>
          <w:sz w:val="32"/>
          <w:szCs w:val="32"/>
        </w:rPr>
      </w:pPr>
      <w:r>
        <w:rPr>
          <w:rFonts w:hint="eastAsia" w:eastAsia="仿宋_GB2312" w:cs="仿宋_GB2312"/>
          <w:sz w:val="32"/>
          <w:szCs w:val="32"/>
        </w:rPr>
        <w:t>4.卫生健康支出（类）行政事业单位医疗（款）行政单位医疗（项）: 支出决算为4.22万元，完成预算100%，决算数等于预算数。</w:t>
      </w:r>
    </w:p>
    <w:p w14:paraId="3C00E899">
      <w:pPr>
        <w:spacing w:line="600" w:lineRule="exact"/>
        <w:ind w:firstLine="640"/>
        <w:rPr>
          <w:rFonts w:eastAsia="仿宋_GB2312" w:cs="仿宋_GB2312"/>
          <w:sz w:val="32"/>
          <w:szCs w:val="32"/>
        </w:rPr>
      </w:pPr>
      <w:r>
        <w:rPr>
          <w:rFonts w:hint="eastAsia" w:eastAsia="仿宋_GB2312" w:cs="仿宋_GB2312"/>
          <w:sz w:val="32"/>
          <w:szCs w:val="32"/>
        </w:rPr>
        <w:t>5.卫生健康支出（类）行政事业单位医疗（款）事业单位医疗（项）: 支出决算为2.01万元，完成预算100%，决算数等于预算数。</w:t>
      </w:r>
    </w:p>
    <w:p w14:paraId="09E7FC8B">
      <w:pPr>
        <w:spacing w:line="600" w:lineRule="exact"/>
        <w:ind w:firstLine="640"/>
        <w:rPr>
          <w:rFonts w:eastAsia="仿宋_GB2312" w:cs="仿宋_GB2312"/>
          <w:sz w:val="32"/>
          <w:szCs w:val="32"/>
        </w:rPr>
      </w:pPr>
      <w:r>
        <w:rPr>
          <w:rFonts w:hint="eastAsia" w:eastAsia="仿宋_GB2312" w:cs="仿宋_GB2312"/>
          <w:sz w:val="32"/>
          <w:szCs w:val="32"/>
        </w:rPr>
        <w:t>6.卫生健康支出（类）行政事业单位医疗（款）公务员医疗补助（项）: 支出决算为0.72万元，完成预算100%，决算数等于预算数。</w:t>
      </w:r>
    </w:p>
    <w:p w14:paraId="23D01480">
      <w:pPr>
        <w:spacing w:line="600" w:lineRule="exact"/>
        <w:ind w:firstLine="640"/>
        <w:rPr>
          <w:rFonts w:eastAsia="仿宋_GB2312" w:cs="仿宋_GB2312"/>
          <w:sz w:val="32"/>
          <w:szCs w:val="32"/>
        </w:rPr>
      </w:pPr>
      <w:r>
        <w:rPr>
          <w:rFonts w:hint="eastAsia" w:eastAsia="仿宋_GB2312" w:cs="仿宋_GB2312"/>
          <w:sz w:val="32"/>
          <w:szCs w:val="32"/>
        </w:rPr>
        <w:t>7.自然资源海洋气象等支出（类）自然资源事务（款）行政运行（项）: 支出决算为51.78万元，完成预算100%，决算数等于预算数。</w:t>
      </w:r>
    </w:p>
    <w:p w14:paraId="00AF283A">
      <w:pPr>
        <w:spacing w:line="600" w:lineRule="exact"/>
        <w:ind w:firstLine="640"/>
        <w:rPr>
          <w:rFonts w:eastAsia="仿宋_GB2312" w:cs="仿宋_GB2312"/>
          <w:sz w:val="32"/>
          <w:szCs w:val="32"/>
        </w:rPr>
      </w:pPr>
      <w:r>
        <w:rPr>
          <w:rFonts w:hint="eastAsia" w:eastAsia="仿宋_GB2312" w:cs="仿宋_GB2312"/>
          <w:sz w:val="32"/>
          <w:szCs w:val="32"/>
        </w:rPr>
        <w:t>9.自然资源海洋气象等支出（类）自然资源事务（款）自然资源行业业务管理（项）: 支出决算为41.94万元，完成预算100%，决算数预算数。</w:t>
      </w:r>
    </w:p>
    <w:p w14:paraId="5AA6F59C">
      <w:pPr>
        <w:spacing w:line="360" w:lineRule="auto"/>
        <w:ind w:firstLine="640"/>
        <w:rPr>
          <w:rFonts w:eastAsia="仿宋_GB2312" w:cs="仿宋_GB2312"/>
          <w:sz w:val="32"/>
          <w:szCs w:val="32"/>
        </w:rPr>
      </w:pPr>
      <w:r>
        <w:rPr>
          <w:rFonts w:hint="eastAsia" w:eastAsia="仿宋_GB2312" w:cs="仿宋_GB2312"/>
          <w:sz w:val="32"/>
          <w:szCs w:val="32"/>
        </w:rPr>
        <w:t>10.自然资源海洋气象等支出（类）自然资源事务（款）事业运行（项）: 支出决算为33.14万元，完成预算100%，决算数等于预算数。</w:t>
      </w:r>
    </w:p>
    <w:p w14:paraId="522958E2">
      <w:pPr>
        <w:pStyle w:val="2"/>
        <w:spacing w:line="360" w:lineRule="auto"/>
        <w:ind w:firstLine="640" w:firstLineChars="200"/>
        <w:rPr>
          <w:rFonts w:eastAsia="仿宋_GB2312" w:cs="仿宋_GB2312"/>
          <w:sz w:val="32"/>
          <w:szCs w:val="32"/>
        </w:rPr>
      </w:pPr>
      <w:r>
        <w:rPr>
          <w:rFonts w:hint="eastAsia" w:eastAsia="仿宋_GB2312" w:cs="仿宋_GB2312"/>
          <w:sz w:val="32"/>
          <w:szCs w:val="32"/>
        </w:rPr>
        <w:t>11.自然资源海洋气象等支出（类）自然资源事务（款）其他自然资源事务支出（项）: 支出决算为43.91万元，完成预算100%，决算数等于预算数。</w:t>
      </w:r>
    </w:p>
    <w:p w14:paraId="1743BB08">
      <w:pPr>
        <w:pStyle w:val="2"/>
        <w:spacing w:line="360" w:lineRule="auto"/>
        <w:ind w:firstLine="640" w:firstLineChars="200"/>
        <w:rPr>
          <w:rFonts w:eastAsia="仿宋_GB2312" w:cs="仿宋_GB2312"/>
          <w:sz w:val="32"/>
          <w:szCs w:val="32"/>
        </w:rPr>
      </w:pPr>
      <w:r>
        <w:rPr>
          <w:rFonts w:hint="eastAsia" w:eastAsia="仿宋_GB2312" w:cs="仿宋_GB2312"/>
          <w:sz w:val="32"/>
          <w:szCs w:val="32"/>
        </w:rPr>
        <w:t>12.住房保障支出（类）住房改革支出（款）住房公积金（项）:支出决算为9.47万元，完成预算100%，决算数等于预算数。</w:t>
      </w:r>
    </w:p>
    <w:p w14:paraId="1C6AEF16">
      <w:pPr>
        <w:spacing w:line="600" w:lineRule="exact"/>
        <w:ind w:firstLine="640"/>
        <w:rPr>
          <w:rFonts w:eastAsia="仿宋_GB2312" w:cs="仿宋_GB2312"/>
          <w:sz w:val="32"/>
          <w:szCs w:val="32"/>
        </w:rPr>
      </w:pPr>
      <w:r>
        <w:rPr>
          <w:rFonts w:hint="eastAsia" w:eastAsia="仿宋_GB2312" w:cs="仿宋_GB2312"/>
          <w:sz w:val="32"/>
          <w:szCs w:val="32"/>
        </w:rPr>
        <w:t>12.灾害防治及应急管理支出（类）自然灾害防治（款）地质灾害防治（项）:支出决算为229.35万元，完成预算100%，决算数等于预算数。</w:t>
      </w:r>
    </w:p>
    <w:p w14:paraId="4D62D5EA">
      <w:pPr>
        <w:tabs>
          <w:tab w:val="right" w:pos="8306"/>
        </w:tabs>
        <w:spacing w:line="600" w:lineRule="exact"/>
        <w:ind w:firstLine="640"/>
        <w:outlineLvl w:val="1"/>
        <w:rPr>
          <w:rStyle w:val="29"/>
          <w:rFonts w:ascii="Times New Roman" w:hAnsi="Times New Roman"/>
        </w:rPr>
      </w:pPr>
      <w:bookmarkStart w:id="35" w:name="_Toc15377214"/>
      <w:bookmarkStart w:id="36" w:name="_Toc15396608"/>
      <w:r>
        <w:rPr>
          <w:rFonts w:hint="eastAsia" w:eastAsia="黑体"/>
          <w:sz w:val="32"/>
          <w:szCs w:val="32"/>
        </w:rPr>
        <w:t>六</w:t>
      </w:r>
      <w:r>
        <w:rPr>
          <w:rFonts w:hint="eastAsia" w:eastAsia="黑体"/>
          <w:b/>
          <w:sz w:val="32"/>
          <w:szCs w:val="32"/>
        </w:rPr>
        <w:t>、一</w:t>
      </w:r>
      <w:r>
        <w:rPr>
          <w:rStyle w:val="29"/>
          <w:rFonts w:hint="eastAsia" w:ascii="Times New Roman" w:hAnsi="Times New Roman" w:eastAsia="黑体"/>
          <w:b w:val="0"/>
        </w:rPr>
        <w:t>般公共预算财政拨款基本支出决算情况说明</w:t>
      </w:r>
      <w:bookmarkEnd w:id="35"/>
      <w:bookmarkEnd w:id="36"/>
      <w:r>
        <w:rPr>
          <w:rStyle w:val="29"/>
          <w:rFonts w:ascii="Times New Roman" w:hAnsi="Times New Roman" w:eastAsia="黑体"/>
          <w:b w:val="0"/>
        </w:rPr>
        <w:tab/>
      </w:r>
    </w:p>
    <w:p w14:paraId="63B55151">
      <w:pPr>
        <w:spacing w:line="600" w:lineRule="exact"/>
        <w:ind w:firstLine="640"/>
        <w:rPr>
          <w:rFonts w:eastAsia="仿宋_GB2312" w:cs="仿宋_GB2312"/>
          <w:sz w:val="32"/>
          <w:szCs w:val="32"/>
        </w:rPr>
      </w:pPr>
      <w:r>
        <w:rPr>
          <w:rFonts w:hint="eastAsia" w:eastAsia="仿宋_GB2312" w:cs="仿宋_GB2312"/>
          <w:sz w:val="32"/>
          <w:szCs w:val="32"/>
        </w:rPr>
        <w:t>2025年度一般公共预算财政拨款基本支出</w:t>
      </w:r>
      <w:r>
        <w:rPr>
          <w:rFonts w:hint="eastAsia" w:ascii="仿宋_GB2312" w:hAnsi="仿宋_GB2312" w:eastAsia="仿宋_GB2312" w:cs="仿宋_GB2312"/>
          <w:sz w:val="32"/>
          <w:szCs w:val="32"/>
        </w:rPr>
        <w:t>116.43万</w:t>
      </w:r>
      <w:r>
        <w:rPr>
          <w:rFonts w:hint="eastAsia" w:eastAsia="仿宋_GB2312" w:cs="仿宋_GB2312"/>
          <w:sz w:val="32"/>
          <w:szCs w:val="32"/>
        </w:rPr>
        <w:t>元，其中：</w:t>
      </w:r>
    </w:p>
    <w:p w14:paraId="3DFD6C10">
      <w:pPr>
        <w:spacing w:line="600" w:lineRule="exact"/>
        <w:ind w:firstLine="640"/>
        <w:rPr>
          <w:rFonts w:eastAsia="仿宋_GB2312" w:cs="仿宋_GB2312"/>
          <w:sz w:val="32"/>
          <w:szCs w:val="32"/>
        </w:rPr>
      </w:pPr>
      <w:r>
        <w:rPr>
          <w:rFonts w:hint="eastAsia" w:eastAsia="仿宋_GB2312" w:cs="仿宋_GB2312"/>
          <w:sz w:val="32"/>
          <w:szCs w:val="32"/>
        </w:rPr>
        <w:t>人员经费</w:t>
      </w:r>
      <w:r>
        <w:rPr>
          <w:rFonts w:hint="eastAsia" w:ascii="仿宋_GB2312" w:hAnsi="仿宋_GB2312" w:eastAsia="仿宋_GB2312" w:cs="仿宋_GB2312"/>
          <w:sz w:val="32"/>
          <w:szCs w:val="32"/>
        </w:rPr>
        <w:t>99.52万</w:t>
      </w:r>
      <w:r>
        <w:rPr>
          <w:rFonts w:hint="eastAsia" w:eastAsia="仿宋_GB2312" w:cs="仿宋_GB2312"/>
          <w:sz w:val="32"/>
          <w:szCs w:val="32"/>
        </w:rPr>
        <w:t>元，主要包括：基本工资、津贴补贴、奖金、伙食补助费、绩效工资、机关事业单位基本养老保险缴费、职工基本医疗保险缴费、公务员医疗补助缴费、其他社会保障缴费、住房公积金、其他工资福利支出、离休费、退休费、抚恤金、生活补助、医疗费补助、奖励金、其他对个人和家庭的补助支出等。</w:t>
      </w:r>
      <w:r>
        <w:rPr>
          <w:rFonts w:hint="eastAsia" w:eastAsia="仿宋_GB2312" w:cs="仿宋_GB2312"/>
          <w:sz w:val="32"/>
          <w:szCs w:val="32"/>
        </w:rPr>
        <w:br w:type="textWrapping"/>
      </w:r>
      <w:r>
        <w:rPr>
          <w:rFonts w:hint="eastAsia" w:eastAsia="仿宋_GB2312" w:cs="仿宋_GB2312"/>
          <w:sz w:val="32"/>
          <w:szCs w:val="32"/>
        </w:rPr>
        <w:t xml:space="preserve">    公用经费</w:t>
      </w:r>
      <w:r>
        <w:rPr>
          <w:rFonts w:hint="eastAsia" w:ascii="仿宋_GB2312" w:hAnsi="仿宋_GB2312" w:eastAsia="仿宋_GB2312" w:cs="仿宋_GB2312"/>
          <w:sz w:val="32"/>
          <w:szCs w:val="32"/>
        </w:rPr>
        <w:t>16.91万</w:t>
      </w:r>
      <w:r>
        <w:rPr>
          <w:rFonts w:hint="eastAsia" w:eastAsia="仿宋_GB2312" w:cs="仿宋_GB2312"/>
          <w:sz w:val="32"/>
          <w:szCs w:val="32"/>
        </w:rPr>
        <w:t>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3E278146">
      <w:pPr>
        <w:spacing w:line="600" w:lineRule="exact"/>
        <w:ind w:firstLine="640"/>
        <w:outlineLvl w:val="1"/>
        <w:rPr>
          <w:rStyle w:val="29"/>
          <w:rFonts w:ascii="Times New Roman" w:hAnsi="Times New Roman" w:eastAsia="黑体"/>
          <w:b w:val="0"/>
        </w:rPr>
      </w:pPr>
      <w:bookmarkStart w:id="37" w:name="_Toc15396609"/>
      <w:bookmarkStart w:id="38" w:name="_Toc15377215"/>
      <w:r>
        <w:rPr>
          <w:rFonts w:hint="eastAsia" w:eastAsia="黑体"/>
          <w:sz w:val="32"/>
          <w:szCs w:val="32"/>
        </w:rPr>
        <w:t>七、</w:t>
      </w:r>
      <w:r>
        <w:rPr>
          <w:rStyle w:val="29"/>
          <w:rFonts w:hint="eastAsia" w:ascii="Times New Roman" w:hAnsi="Times New Roman" w:eastAsia="黑体"/>
          <w:b w:val="0"/>
        </w:rPr>
        <w:t>财政拨款</w:t>
      </w:r>
      <w:r>
        <w:rPr>
          <w:rStyle w:val="29"/>
          <w:rFonts w:hint="eastAsia" w:ascii="Times New Roman" w:hAnsi="Times New Roman" w:eastAsia="黑体"/>
        </w:rPr>
        <w:t>“</w:t>
      </w:r>
      <w:r>
        <w:rPr>
          <w:rStyle w:val="29"/>
          <w:rFonts w:hint="eastAsia" w:ascii="Times New Roman" w:hAnsi="Times New Roman" w:eastAsia="黑体"/>
          <w:b w:val="0"/>
        </w:rPr>
        <w:t>三公”经费支出决算情况说明</w:t>
      </w:r>
      <w:bookmarkEnd w:id="37"/>
      <w:bookmarkEnd w:id="38"/>
    </w:p>
    <w:p w14:paraId="0C971DA5">
      <w:pPr>
        <w:spacing w:line="600" w:lineRule="exact"/>
        <w:ind w:firstLine="643" w:firstLineChars="200"/>
        <w:outlineLvl w:val="2"/>
        <w:rPr>
          <w:rFonts w:eastAsia="楷体_GB2312" w:cs="楷体_GB2312"/>
          <w:b/>
          <w:sz w:val="32"/>
          <w:szCs w:val="32"/>
        </w:rPr>
      </w:pPr>
      <w:bookmarkStart w:id="39" w:name="_Toc15377216"/>
      <w:r>
        <w:rPr>
          <w:rFonts w:hint="eastAsia" w:eastAsia="楷体_GB2312" w:cs="楷体_GB2312"/>
          <w:b/>
          <w:sz w:val="32"/>
          <w:szCs w:val="32"/>
        </w:rPr>
        <w:t>（一）“三公”经费财政拨款支出决算总体情况说明</w:t>
      </w:r>
      <w:bookmarkEnd w:id="39"/>
    </w:p>
    <w:p w14:paraId="1C58F3CC">
      <w:pPr>
        <w:spacing w:line="600" w:lineRule="exact"/>
        <w:ind w:firstLine="640"/>
        <w:rPr>
          <w:rFonts w:eastAsia="仿宋_GB2312" w:cs="仿宋_GB2312"/>
          <w:b/>
          <w:bCs/>
          <w:sz w:val="32"/>
          <w:szCs w:val="32"/>
        </w:rPr>
      </w:pPr>
      <w:r>
        <w:rPr>
          <w:rFonts w:hint="eastAsia" w:eastAsia="仿宋_GB2312" w:cs="仿宋_GB2312"/>
          <w:sz w:val="32"/>
          <w:szCs w:val="32"/>
        </w:rPr>
        <w:t>2025年度“三公”经费财政拨款支出决算为</w:t>
      </w:r>
      <w:r>
        <w:rPr>
          <w:rFonts w:hint="eastAsia" w:ascii="仿宋_GB2312" w:hAnsi="仿宋_GB2312" w:eastAsia="仿宋_GB2312" w:cs="仿宋_GB2312"/>
          <w:sz w:val="32"/>
          <w:szCs w:val="32"/>
        </w:rPr>
        <w:t>2.41万元，完成预算100%，</w:t>
      </w:r>
      <w:r>
        <w:rPr>
          <w:rFonts w:hint="eastAsia" w:eastAsia="仿宋_GB2312" w:cs="仿宋_GB2312"/>
          <w:sz w:val="32"/>
          <w:szCs w:val="32"/>
        </w:rPr>
        <w:t>较上年度减少0.14万元，下降5.49%。决算数与预算数持平的主要原因是</w:t>
      </w:r>
      <w:r>
        <w:rPr>
          <w:rFonts w:hint="eastAsia" w:ascii="仿宋_GB2312" w:eastAsia="仿宋_GB2312"/>
          <w:sz w:val="32"/>
          <w:szCs w:val="32"/>
        </w:rPr>
        <w:t>按进度完成拨付计划。</w:t>
      </w:r>
    </w:p>
    <w:p w14:paraId="1B8D9D12">
      <w:pPr>
        <w:spacing w:line="600" w:lineRule="exact"/>
        <w:ind w:firstLine="643" w:firstLineChars="200"/>
        <w:outlineLvl w:val="2"/>
        <w:rPr>
          <w:rFonts w:eastAsia="楷体_GB2312" w:cs="楷体_GB2312"/>
          <w:b/>
          <w:sz w:val="32"/>
          <w:szCs w:val="32"/>
        </w:rPr>
      </w:pPr>
      <w:bookmarkStart w:id="40" w:name="_Toc15377217"/>
      <w:r>
        <w:rPr>
          <w:rFonts w:hint="eastAsia" w:eastAsia="楷体_GB2312" w:cs="楷体_GB2312"/>
          <w:b/>
          <w:sz w:val="32"/>
          <w:szCs w:val="32"/>
        </w:rPr>
        <w:t>（二）“三公”经费财政拨款支出决算具体情况说明</w:t>
      </w:r>
      <w:bookmarkEnd w:id="40"/>
    </w:p>
    <w:p w14:paraId="22CF8BB7">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2025年度“三公”经费财政拨款支出决算中，因公出国（境）费支出决算0万元，占0%；公务用车购置及运行维护费支出决算2.22万元，占92.12%；公务接待费支出决算0.19万元，占7.88%。具体情况如下：</w:t>
      </w:r>
    </w:p>
    <w:p w14:paraId="0F2FAC99">
      <w:pPr>
        <w:spacing w:line="600" w:lineRule="exact"/>
        <w:ind w:firstLine="640"/>
        <w:rPr>
          <w:rFonts w:eastAsia="仿宋_GB2312" w:cs="仿宋_GB2312"/>
          <w:sz w:val="32"/>
          <w:szCs w:val="32"/>
        </w:rPr>
      </w:pPr>
      <w:r>
        <w:rPr>
          <w:rFonts w:hint="eastAsia" w:eastAsia="仿宋_GB2312" w:cs="仿宋_GB2312"/>
          <w:sz w:val="32"/>
          <w:szCs w:val="32"/>
        </w:rPr>
        <w:t>（图7：“三公”经费财政拨款支出结构）（饼状图）</w:t>
      </w:r>
    </w:p>
    <w:p w14:paraId="32FD1724">
      <w:pPr>
        <w:pStyle w:val="8"/>
        <w:spacing w:before="93"/>
        <w:rPr>
          <w:rFonts w:ascii="Times New Roman" w:cs="仿宋_GB2312"/>
          <w:kern w:val="2"/>
          <w:sz w:val="32"/>
          <w:szCs w:val="32"/>
        </w:rPr>
      </w:pPr>
      <w:r>
        <w:rPr>
          <w:rFonts w:hint="eastAsia" w:ascii="仿宋" w:hAnsi="仿宋" w:eastAsia="仿宋"/>
          <w:sz w:val="32"/>
          <w:szCs w:val="32"/>
        </w:rPr>
        <w:object>
          <v:shape id="_x0000_i1028" o:spt="75" type="#_x0000_t75" style="height:214.9pt;width:336.7pt;" o:ole="t" filled="f" o:preferrelative="t" stroked="f" coordsize="21600,21600">
            <v:path/>
            <v:fill on="f" focussize="0,0"/>
            <v:stroke on="f" joinstyle="miter"/>
            <v:imagedata r:id="rId29" o:title=""/>
            <o:lock v:ext="edit" aspectratio="t"/>
            <w10:wrap type="none"/>
            <w10:anchorlock/>
          </v:shape>
          <o:OLEObject Type="Embed" ProgID="Excel.Chart.8" ShapeID="_x0000_i1028" DrawAspect="Content" ObjectID="_1468075731" r:id="rId28">
            <o:LockedField>false</o:LockedField>
          </o:OLEObject>
        </w:object>
      </w:r>
    </w:p>
    <w:p w14:paraId="326D8457">
      <w:pPr>
        <w:pStyle w:val="8"/>
        <w:spacing w:before="93"/>
        <w:rPr>
          <w:rFonts w:ascii="Times New Roman" w:cs="仿宋_GB2312"/>
          <w:kern w:val="2"/>
          <w:sz w:val="32"/>
          <w:szCs w:val="32"/>
        </w:rPr>
      </w:pPr>
    </w:p>
    <w:p w14:paraId="2E7AC34A">
      <w:pPr>
        <w:numPr>
          <w:ilvl w:val="0"/>
          <w:numId w:val="2"/>
        </w:numPr>
        <w:spacing w:line="600" w:lineRule="exact"/>
        <w:ind w:firstLine="640"/>
        <w:rPr>
          <w:rFonts w:eastAsia="仿宋_GB2312" w:cs="仿宋_GB2312"/>
          <w:sz w:val="32"/>
          <w:szCs w:val="32"/>
        </w:rPr>
      </w:pPr>
      <w:r>
        <w:rPr>
          <w:rFonts w:hint="eastAsia" w:eastAsia="仿宋_GB2312" w:cs="仿宋_GB2312"/>
          <w:b/>
          <w:bCs/>
          <w:sz w:val="32"/>
          <w:szCs w:val="32"/>
        </w:rPr>
        <w:t>因公出国（境）经费支出0万元，完成预算0%。</w:t>
      </w:r>
      <w:r>
        <w:rPr>
          <w:rFonts w:hint="eastAsia" w:eastAsia="仿宋_GB2312" w:cs="仿宋_GB2312"/>
          <w:sz w:val="32"/>
          <w:szCs w:val="32"/>
        </w:rPr>
        <w:t>全年安排因公出国（境）团</w:t>
      </w:r>
      <w:r>
        <w:rPr>
          <w:rFonts w:hint="eastAsia" w:ascii="仿宋_GB2312" w:hAnsi="仿宋_GB2312" w:eastAsia="仿宋_GB2312" w:cs="仿宋_GB2312"/>
          <w:sz w:val="32"/>
          <w:szCs w:val="32"/>
        </w:rPr>
        <w:t>组0</w:t>
      </w:r>
      <w:r>
        <w:rPr>
          <w:rFonts w:hint="eastAsia" w:eastAsia="仿宋_GB2312" w:cs="仿宋_GB2312"/>
          <w:sz w:val="32"/>
          <w:szCs w:val="32"/>
        </w:rPr>
        <w:t>次，出国（境）</w:t>
      </w:r>
      <w:r>
        <w:rPr>
          <w:rFonts w:hint="eastAsia" w:ascii="仿宋_GB2312" w:hAnsi="仿宋_GB2312" w:eastAsia="仿宋_GB2312" w:cs="仿宋_GB2312"/>
          <w:sz w:val="32"/>
          <w:szCs w:val="32"/>
        </w:rPr>
        <w:t>0人</w:t>
      </w:r>
      <w:r>
        <w:rPr>
          <w:rFonts w:hint="eastAsia" w:eastAsia="仿宋_GB2312" w:cs="仿宋_GB2312"/>
          <w:sz w:val="32"/>
          <w:szCs w:val="32"/>
        </w:rPr>
        <w:t>。因公出国（境）支出决算比2024年增加0万元，增长0%。</w:t>
      </w:r>
    </w:p>
    <w:p w14:paraId="36A2C4E0">
      <w:pPr>
        <w:spacing w:line="600" w:lineRule="exact"/>
        <w:ind w:firstLine="643" w:firstLineChars="200"/>
        <w:rPr>
          <w:rFonts w:eastAsia="仿宋_GB2312" w:cs="仿宋_GB2312"/>
          <w:sz w:val="32"/>
          <w:szCs w:val="32"/>
        </w:rPr>
      </w:pPr>
      <w:r>
        <w:rPr>
          <w:rFonts w:hint="eastAsia" w:eastAsia="仿宋_GB2312" w:cs="仿宋_GB2312"/>
          <w:b/>
          <w:bCs/>
          <w:sz w:val="32"/>
          <w:szCs w:val="32"/>
        </w:rPr>
        <w:t>2.公务用车购置及运行维护费支出</w:t>
      </w:r>
      <w:r>
        <w:rPr>
          <w:rFonts w:hint="eastAsia" w:ascii="仿宋_GB2312" w:hAnsi="仿宋_GB2312" w:eastAsia="仿宋_GB2312" w:cs="仿宋_GB2312"/>
          <w:b/>
          <w:bCs/>
          <w:sz w:val="32"/>
          <w:szCs w:val="32"/>
        </w:rPr>
        <w:t>2.22万</w:t>
      </w:r>
      <w:r>
        <w:rPr>
          <w:rFonts w:hint="eastAsia" w:eastAsia="仿宋_GB2312" w:cs="仿宋_GB2312"/>
          <w:b/>
          <w:bCs/>
          <w:sz w:val="32"/>
          <w:szCs w:val="32"/>
        </w:rPr>
        <w:t>元，完成预算100%。</w:t>
      </w:r>
      <w:r>
        <w:rPr>
          <w:rFonts w:hint="eastAsia" w:eastAsia="仿宋_GB2312" w:cs="仿宋_GB2312"/>
          <w:sz w:val="32"/>
          <w:szCs w:val="32"/>
        </w:rPr>
        <w:t>公务用车购置及运行维护费支出决算比2024年度减少0.23万元，下降9.39%。主要原因是</w:t>
      </w:r>
      <w:r>
        <w:rPr>
          <w:rFonts w:hint="eastAsia" w:ascii="仿宋_GB2312" w:eastAsia="仿宋_GB2312"/>
          <w:sz w:val="32"/>
          <w:szCs w:val="32"/>
        </w:rPr>
        <w:t>三公经费调整。</w:t>
      </w:r>
    </w:p>
    <w:p w14:paraId="1D679ACC">
      <w:pPr>
        <w:spacing w:line="600" w:lineRule="exact"/>
        <w:ind w:firstLine="640"/>
        <w:rPr>
          <w:rFonts w:eastAsia="仿宋_GB2312" w:cs="仿宋_GB2312"/>
          <w:sz w:val="32"/>
          <w:szCs w:val="32"/>
        </w:rPr>
      </w:pPr>
      <w:r>
        <w:rPr>
          <w:rFonts w:hint="eastAsia" w:eastAsia="仿宋_GB2312" w:cs="仿宋_GB2312"/>
          <w:sz w:val="32"/>
          <w:szCs w:val="32"/>
        </w:rPr>
        <w:t>其中：公务用车购置支</w:t>
      </w:r>
      <w:r>
        <w:rPr>
          <w:rFonts w:hint="eastAsia" w:ascii="仿宋_GB2312" w:hAnsi="仿宋_GB2312" w:eastAsia="仿宋_GB2312" w:cs="仿宋_GB2312"/>
          <w:sz w:val="32"/>
          <w:szCs w:val="32"/>
        </w:rPr>
        <w:t>出0</w:t>
      </w:r>
      <w:r>
        <w:rPr>
          <w:rFonts w:hint="eastAsia" w:eastAsia="仿宋_GB2312" w:cs="仿宋_GB2312"/>
          <w:sz w:val="32"/>
          <w:szCs w:val="32"/>
        </w:rPr>
        <w:t>万元。全年按规定更新购置公务用车0辆，其中：轿车0辆、金额0万元，越野车0辆、金额0万元，载客汽车0辆、金额0万元。截至2025年12月31日，单位共有公务用车1辆，其中：轿车0辆、越野车1辆、载客汽车0辆。</w:t>
      </w:r>
    </w:p>
    <w:p w14:paraId="2AAA3A49">
      <w:pPr>
        <w:spacing w:line="600" w:lineRule="exact"/>
        <w:ind w:firstLine="640"/>
        <w:rPr>
          <w:rFonts w:eastAsia="仿宋_GB2312" w:cs="仿宋_GB2312"/>
          <w:sz w:val="32"/>
          <w:szCs w:val="32"/>
        </w:rPr>
      </w:pPr>
      <w:r>
        <w:rPr>
          <w:rFonts w:hint="eastAsia" w:eastAsia="仿宋_GB2312" w:cs="仿宋_GB2312"/>
          <w:sz w:val="32"/>
          <w:szCs w:val="32"/>
        </w:rPr>
        <w:t>公务用车运行维护费支</w:t>
      </w:r>
      <w:r>
        <w:rPr>
          <w:rFonts w:hint="eastAsia" w:ascii="仿宋_GB2312" w:hAnsi="仿宋_GB2312" w:eastAsia="仿宋_GB2312" w:cs="仿宋_GB2312"/>
          <w:sz w:val="32"/>
          <w:szCs w:val="32"/>
        </w:rPr>
        <w:t>出2.22</w:t>
      </w:r>
      <w:r>
        <w:rPr>
          <w:rFonts w:hint="eastAsia" w:eastAsia="仿宋_GB2312" w:cs="仿宋_GB2312"/>
          <w:sz w:val="32"/>
          <w:szCs w:val="32"/>
        </w:rPr>
        <w:t>万元。主要用于</w:t>
      </w:r>
      <w:r>
        <w:rPr>
          <w:rFonts w:eastAsia="仿宋_GB2312"/>
          <w:color w:val="000000"/>
          <w:sz w:val="32"/>
          <w:szCs w:val="32"/>
        </w:rPr>
        <w:t>地灾巡查、耕地保护、土地开发利用现场勘察、土地执法巡查</w:t>
      </w:r>
      <w:r>
        <w:rPr>
          <w:rFonts w:hint="eastAsia" w:ascii="仿宋_GB2312" w:eastAsia="仿宋_GB2312"/>
          <w:sz w:val="32"/>
          <w:szCs w:val="32"/>
        </w:rPr>
        <w:t>等</w:t>
      </w:r>
      <w:r>
        <w:rPr>
          <w:rFonts w:hint="eastAsia" w:eastAsia="仿宋_GB2312" w:cs="仿宋_GB2312"/>
          <w:sz w:val="32"/>
          <w:szCs w:val="32"/>
        </w:rPr>
        <w:t>所需的公务用车燃料费、维修费、过路过桥费、保险费等支出。</w:t>
      </w:r>
    </w:p>
    <w:p w14:paraId="5F8AC282">
      <w:pPr>
        <w:spacing w:line="600" w:lineRule="exact"/>
        <w:ind w:firstLine="640"/>
        <w:rPr>
          <w:rFonts w:eastAsia="仿宋_GB2312" w:cs="仿宋_GB2312"/>
          <w:sz w:val="32"/>
          <w:szCs w:val="32"/>
        </w:rPr>
      </w:pPr>
      <w:r>
        <w:rPr>
          <w:rFonts w:hint="eastAsia" w:eastAsia="仿宋_GB2312" w:cs="仿宋_GB2312"/>
          <w:b/>
          <w:bCs/>
          <w:sz w:val="32"/>
          <w:szCs w:val="32"/>
        </w:rPr>
        <w:t>3.公务接待费支出</w:t>
      </w:r>
      <w:r>
        <w:rPr>
          <w:rFonts w:hint="eastAsia" w:ascii="仿宋_GB2312" w:hAnsi="仿宋_GB2312" w:eastAsia="仿宋_GB2312" w:cs="仿宋_GB2312"/>
          <w:b/>
          <w:bCs/>
          <w:sz w:val="32"/>
          <w:szCs w:val="32"/>
        </w:rPr>
        <w:t>0.19万</w:t>
      </w:r>
      <w:r>
        <w:rPr>
          <w:rFonts w:hint="eastAsia" w:eastAsia="仿宋_GB2312" w:cs="仿宋_GB2312"/>
          <w:b/>
          <w:bCs/>
          <w:sz w:val="32"/>
          <w:szCs w:val="32"/>
        </w:rPr>
        <w:t>元，完成预算100%。</w:t>
      </w:r>
      <w:r>
        <w:rPr>
          <w:rFonts w:hint="eastAsia" w:eastAsia="仿宋_GB2312" w:cs="仿宋_GB2312"/>
          <w:sz w:val="32"/>
          <w:szCs w:val="32"/>
        </w:rPr>
        <w:t>公务接待费支出决算比2024年度增加0.09万元，增长90%。主要用于接待省厅、市局督导检查组。</w:t>
      </w:r>
    </w:p>
    <w:p w14:paraId="6954D3B5">
      <w:pPr>
        <w:spacing w:line="600" w:lineRule="exact"/>
        <w:ind w:firstLine="640"/>
        <w:rPr>
          <w:rFonts w:eastAsia="仿宋_GB2312" w:cs="仿宋_GB2312"/>
          <w:sz w:val="32"/>
          <w:szCs w:val="32"/>
        </w:rPr>
      </w:pPr>
      <w:r>
        <w:rPr>
          <w:rFonts w:hint="eastAsia" w:eastAsia="仿宋_GB2312" w:cs="仿宋_GB2312"/>
          <w:sz w:val="32"/>
          <w:szCs w:val="32"/>
        </w:rPr>
        <w:t>国内公务接待支</w:t>
      </w:r>
      <w:r>
        <w:rPr>
          <w:rFonts w:hint="eastAsia" w:ascii="仿宋_GB2312" w:hAnsi="仿宋_GB2312" w:eastAsia="仿宋_GB2312" w:cs="仿宋_GB2312"/>
          <w:sz w:val="32"/>
          <w:szCs w:val="32"/>
        </w:rPr>
        <w:t>出0.19万</w:t>
      </w:r>
      <w:r>
        <w:rPr>
          <w:rFonts w:hint="eastAsia" w:eastAsia="仿宋_GB2312" w:cs="仿宋_GB2312"/>
          <w:sz w:val="32"/>
          <w:szCs w:val="32"/>
        </w:rPr>
        <w:t>元，主要用于接待省厅、市局督导检查组。国内公务接</w:t>
      </w:r>
      <w:r>
        <w:rPr>
          <w:rFonts w:hint="eastAsia" w:ascii="仿宋_GB2312" w:hAnsi="仿宋_GB2312" w:eastAsia="仿宋_GB2312" w:cs="仿宋_GB2312"/>
          <w:sz w:val="32"/>
          <w:szCs w:val="32"/>
        </w:rPr>
        <w:t>待3批次，分别为4人次一次</w:t>
      </w:r>
      <w:r>
        <w:rPr>
          <w:rFonts w:hint="eastAsia" w:eastAsia="仿宋_GB2312" w:cs="仿宋_GB2312"/>
          <w:sz w:val="32"/>
          <w:szCs w:val="32"/>
        </w:rPr>
        <w:t>（不包括陪同人员）</w:t>
      </w:r>
      <w:r>
        <w:rPr>
          <w:rFonts w:hint="eastAsia" w:ascii="仿宋_GB2312" w:hAnsi="仿宋_GB2312" w:eastAsia="仿宋_GB2312" w:cs="仿宋_GB2312"/>
          <w:sz w:val="32"/>
          <w:szCs w:val="32"/>
        </w:rPr>
        <w:t>，9</w:t>
      </w:r>
      <w:r>
        <w:rPr>
          <w:rFonts w:hint="eastAsia" w:eastAsia="仿宋_GB2312" w:cs="仿宋_GB2312"/>
          <w:sz w:val="32"/>
          <w:szCs w:val="32"/>
        </w:rPr>
        <w:t>人次一次（不包括陪同人员），</w:t>
      </w:r>
      <w:r>
        <w:rPr>
          <w:rFonts w:hint="eastAsia" w:ascii="仿宋_GB2312" w:hAnsi="仿宋_GB2312" w:eastAsia="仿宋_GB2312" w:cs="仿宋_GB2312"/>
          <w:sz w:val="32"/>
          <w:szCs w:val="32"/>
        </w:rPr>
        <w:t>5</w:t>
      </w:r>
      <w:r>
        <w:rPr>
          <w:rFonts w:hint="eastAsia" w:eastAsia="仿宋_GB2312" w:cs="仿宋_GB2312"/>
          <w:sz w:val="32"/>
          <w:szCs w:val="32"/>
        </w:rPr>
        <w:t>人次一次（不包括陪同人员），共计支出0.19万元，具体内容包括：市局督导检查打击私挖乱采矿产资源工作0.06万元；省厅综合执法监督局到西区格里坪镇核查土地矿产卫片执法图斑0.09万元；市级督导组检查耕地“非农化”问题0.04万元。</w:t>
      </w:r>
    </w:p>
    <w:p w14:paraId="764AC8D4">
      <w:pPr>
        <w:spacing w:line="600" w:lineRule="exact"/>
        <w:ind w:firstLine="640"/>
        <w:rPr>
          <w:rFonts w:eastAsia="仿宋_GB2312" w:cs="仿宋_GB2312"/>
          <w:sz w:val="32"/>
          <w:szCs w:val="32"/>
        </w:rPr>
      </w:pPr>
      <w:r>
        <w:rPr>
          <w:rFonts w:hint="eastAsia" w:eastAsia="仿宋_GB2312" w:cs="仿宋_GB2312"/>
          <w:sz w:val="32"/>
          <w:szCs w:val="32"/>
        </w:rPr>
        <w:t>外事接待支</w:t>
      </w:r>
      <w:r>
        <w:rPr>
          <w:rFonts w:hint="eastAsia" w:ascii="仿宋_GB2312" w:hAnsi="仿宋_GB2312" w:eastAsia="仿宋_GB2312" w:cs="仿宋_GB2312"/>
          <w:sz w:val="32"/>
          <w:szCs w:val="32"/>
        </w:rPr>
        <w:t>出0万元。外事接待0批次，0人次（不包括陪同人员），共计支出0万</w:t>
      </w:r>
      <w:r>
        <w:rPr>
          <w:rFonts w:hint="eastAsia" w:eastAsia="仿宋_GB2312" w:cs="仿宋_GB2312"/>
          <w:sz w:val="32"/>
          <w:szCs w:val="32"/>
        </w:rPr>
        <w:t>元。</w:t>
      </w:r>
    </w:p>
    <w:p w14:paraId="2E075372">
      <w:pPr>
        <w:spacing w:line="600" w:lineRule="exact"/>
        <w:ind w:firstLine="640"/>
        <w:outlineLvl w:val="1"/>
        <w:rPr>
          <w:rStyle w:val="29"/>
          <w:rFonts w:ascii="Times New Roman" w:hAnsi="Times New Roman" w:eastAsia="黑体"/>
        </w:rPr>
      </w:pPr>
      <w:bookmarkStart w:id="41" w:name="_Toc15377218"/>
      <w:bookmarkStart w:id="42" w:name="_Toc15396610"/>
      <w:r>
        <w:rPr>
          <w:rFonts w:hint="eastAsia" w:eastAsia="黑体"/>
          <w:sz w:val="32"/>
          <w:szCs w:val="32"/>
        </w:rPr>
        <w:t>八、</w:t>
      </w:r>
      <w:r>
        <w:rPr>
          <w:rStyle w:val="29"/>
          <w:rFonts w:hint="eastAsia" w:ascii="Times New Roman" w:hAnsi="Times New Roman" w:eastAsia="黑体"/>
          <w:b w:val="0"/>
        </w:rPr>
        <w:t>政府性基金预算支出决算情况说明</w:t>
      </w:r>
      <w:bookmarkEnd w:id="41"/>
      <w:bookmarkEnd w:id="42"/>
    </w:p>
    <w:p w14:paraId="6A18FB94">
      <w:pPr>
        <w:spacing w:line="600" w:lineRule="exact"/>
        <w:ind w:firstLine="640"/>
        <w:rPr>
          <w:rFonts w:eastAsia="仿宋_GB2312" w:cs="仿宋_GB2312"/>
          <w:b/>
          <w:bCs/>
          <w:sz w:val="32"/>
          <w:szCs w:val="32"/>
        </w:rPr>
      </w:pPr>
      <w:r>
        <w:rPr>
          <w:rFonts w:hint="eastAsia" w:ascii="仿宋_GB2312" w:hAnsi="仿宋_GB2312" w:eastAsia="仿宋_GB2312" w:cs="仿宋_GB2312"/>
          <w:sz w:val="32"/>
          <w:szCs w:val="32"/>
        </w:rPr>
        <w:t>2025年度政府性基金预算财政拨款支出0万元，占本年支出合计的0%</w:t>
      </w:r>
      <w:r>
        <w:rPr>
          <w:rFonts w:hint="eastAsia" w:eastAsia="仿宋_GB2312" w:cs="仿宋_GB2312"/>
          <w:sz w:val="32"/>
          <w:szCs w:val="32"/>
        </w:rPr>
        <w:t>。与2024年度相比，政府性基金预算财政拨款支出减少183.4万元，下降100%。主要变动原因是减少了土地开发支出。</w:t>
      </w:r>
    </w:p>
    <w:p w14:paraId="5B783B53">
      <w:pPr>
        <w:spacing w:line="600" w:lineRule="exact"/>
        <w:ind w:left="630"/>
        <w:outlineLvl w:val="1"/>
        <w:rPr>
          <w:rStyle w:val="29"/>
          <w:rFonts w:ascii="Times New Roman" w:hAnsi="Times New Roman" w:eastAsia="黑体"/>
          <w:b w:val="0"/>
        </w:rPr>
      </w:pPr>
      <w:bookmarkStart w:id="43" w:name="_Toc15396611"/>
      <w:bookmarkStart w:id="44" w:name="_Toc15377219"/>
      <w:r>
        <w:rPr>
          <w:rStyle w:val="29"/>
          <w:rFonts w:hint="eastAsia" w:ascii="Times New Roman" w:hAnsi="Times New Roman" w:eastAsia="黑体"/>
          <w:b w:val="0"/>
        </w:rPr>
        <w:t>九、国有资本经营预算支出决算情况说明</w:t>
      </w:r>
      <w:bookmarkEnd w:id="43"/>
      <w:bookmarkEnd w:id="44"/>
    </w:p>
    <w:p w14:paraId="2E88C1D6">
      <w:pPr>
        <w:spacing w:line="600" w:lineRule="exact"/>
        <w:ind w:firstLine="640"/>
        <w:rPr>
          <w:rFonts w:eastAsia="仿宋_GB2312" w:cs="仿宋_GB2312"/>
          <w:sz w:val="32"/>
          <w:szCs w:val="32"/>
        </w:rPr>
      </w:pPr>
      <w:r>
        <w:rPr>
          <w:rFonts w:hint="eastAsia" w:eastAsia="仿宋_GB2312" w:cs="仿宋_GB2312"/>
          <w:sz w:val="32"/>
          <w:szCs w:val="32"/>
        </w:rPr>
        <w:t>2025年度国有资本经营预算财政拨款支出</w:t>
      </w:r>
      <w:r>
        <w:rPr>
          <w:rFonts w:hint="eastAsia" w:ascii="仿宋_GB2312" w:hAnsi="仿宋_GB2312" w:eastAsia="仿宋_GB2312" w:cs="仿宋_GB2312"/>
          <w:sz w:val="32"/>
          <w:szCs w:val="32"/>
        </w:rPr>
        <w:t>0万元，占本年支出合计的0%</w:t>
      </w:r>
      <w:r>
        <w:rPr>
          <w:rFonts w:hint="eastAsia" w:eastAsia="仿宋_GB2312" w:cs="仿宋_GB2312"/>
          <w:sz w:val="32"/>
          <w:szCs w:val="32"/>
        </w:rPr>
        <w:t>。与2024年度相比，国有资本经营预算财政拨款支出增加0万元，增长0%。</w:t>
      </w:r>
    </w:p>
    <w:p w14:paraId="4F80EAAF">
      <w:pPr>
        <w:spacing w:line="600" w:lineRule="exact"/>
        <w:ind w:left="630"/>
        <w:outlineLvl w:val="1"/>
        <w:rPr>
          <w:rStyle w:val="29"/>
          <w:rFonts w:ascii="Times New Roman" w:hAnsi="Times New Roman" w:eastAsia="黑体"/>
          <w:b w:val="0"/>
        </w:rPr>
      </w:pPr>
      <w:bookmarkStart w:id="45" w:name="_Toc15377221"/>
      <w:bookmarkStart w:id="46" w:name="_Toc15396612"/>
      <w:r>
        <w:rPr>
          <w:rStyle w:val="29"/>
          <w:rFonts w:hint="eastAsia" w:ascii="Times New Roman" w:hAnsi="Times New Roman" w:eastAsia="黑体"/>
          <w:b w:val="0"/>
        </w:rPr>
        <w:t>十、其他重要事项的情况说明</w:t>
      </w:r>
      <w:bookmarkEnd w:id="45"/>
      <w:bookmarkEnd w:id="46"/>
    </w:p>
    <w:p w14:paraId="1FB82167">
      <w:pPr>
        <w:spacing w:line="600" w:lineRule="exact"/>
        <w:ind w:firstLine="643" w:firstLineChars="200"/>
        <w:outlineLvl w:val="2"/>
        <w:rPr>
          <w:rFonts w:eastAsia="楷体_GB2312" w:cs="楷体_GB2312"/>
          <w:b/>
          <w:sz w:val="32"/>
          <w:szCs w:val="32"/>
        </w:rPr>
      </w:pPr>
      <w:bookmarkStart w:id="47" w:name="_Toc15377222"/>
      <w:r>
        <w:rPr>
          <w:rFonts w:hint="eastAsia" w:eastAsia="楷体_GB2312" w:cs="楷体_GB2312"/>
          <w:b/>
          <w:sz w:val="32"/>
          <w:szCs w:val="32"/>
        </w:rPr>
        <w:t>（一）机关运行经费支出情况</w:t>
      </w:r>
      <w:bookmarkEnd w:id="47"/>
    </w:p>
    <w:p w14:paraId="75E6407C">
      <w:pPr>
        <w:spacing w:line="600" w:lineRule="exact"/>
        <w:ind w:firstLine="640"/>
        <w:rPr>
          <w:rFonts w:eastAsia="仿宋_GB2312" w:cs="仿宋_GB2312"/>
          <w:sz w:val="32"/>
          <w:szCs w:val="32"/>
        </w:rPr>
      </w:pPr>
      <w:r>
        <w:rPr>
          <w:rFonts w:hint="eastAsia" w:eastAsia="仿宋_GB2312" w:cs="仿宋_GB2312"/>
          <w:sz w:val="32"/>
          <w:szCs w:val="32"/>
        </w:rPr>
        <w:t>2025年度</w:t>
      </w:r>
      <w:r>
        <w:rPr>
          <w:rFonts w:hint="eastAsia" w:ascii="仿宋_GB2312" w:hAnsi="仿宋_GB2312" w:eastAsia="仿宋_GB2312" w:cs="仿宋_GB2312"/>
          <w:sz w:val="32"/>
          <w:szCs w:val="32"/>
        </w:rPr>
        <w:t>，四川省攀枝花市自然资源和规划局西区分局机关运行经费支出16.91万</w:t>
      </w:r>
      <w:r>
        <w:rPr>
          <w:rFonts w:hint="eastAsia" w:eastAsia="仿宋_GB2312" w:cs="仿宋_GB2312"/>
          <w:sz w:val="32"/>
          <w:szCs w:val="32"/>
        </w:rPr>
        <w:t>元，比2024年度增加4.1万元，增长32%。主要原因是</w:t>
      </w:r>
      <w:r>
        <w:rPr>
          <w:rFonts w:hint="eastAsia" w:ascii="仿宋_GB2312" w:eastAsia="仿宋_GB2312"/>
          <w:sz w:val="32"/>
          <w:szCs w:val="32"/>
        </w:rPr>
        <w:t>维持运转的必要支出应付金额增加。</w:t>
      </w:r>
    </w:p>
    <w:p w14:paraId="1D44CD9C">
      <w:pPr>
        <w:spacing w:line="600" w:lineRule="exact"/>
        <w:ind w:firstLine="643" w:firstLineChars="200"/>
        <w:outlineLvl w:val="2"/>
        <w:rPr>
          <w:rFonts w:eastAsia="楷体_GB2312" w:cs="楷体_GB2312"/>
          <w:b/>
          <w:sz w:val="32"/>
          <w:szCs w:val="32"/>
        </w:rPr>
      </w:pPr>
      <w:bookmarkStart w:id="48" w:name="_Toc15377223"/>
      <w:r>
        <w:rPr>
          <w:rFonts w:hint="eastAsia" w:eastAsia="楷体_GB2312" w:cs="楷体_GB2312"/>
          <w:b/>
          <w:sz w:val="32"/>
          <w:szCs w:val="32"/>
        </w:rPr>
        <w:t>（二）政府采购支出情况</w:t>
      </w:r>
      <w:bookmarkEnd w:id="48"/>
    </w:p>
    <w:p w14:paraId="7390972F">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2024年度，四川省攀枝花市自然资源和规划局西区分局政府采购支出总额95.18万元，其中：政府采购货物支出0万元、政府采购工程支出0万元、政府采购服务支出95.18万元。主要用于地质灾害及车辆相关服务政府采购。授予中小企业合同金额94.7万元，占政府采购支出总额的99.5%，其中：授予小微企业合同金额0.5万元，占政府采购支出总额的0.5%。</w:t>
      </w:r>
    </w:p>
    <w:p w14:paraId="0D04EB26">
      <w:pPr>
        <w:spacing w:line="600" w:lineRule="exact"/>
        <w:ind w:firstLine="643" w:firstLineChars="200"/>
        <w:outlineLvl w:val="2"/>
        <w:rPr>
          <w:rFonts w:eastAsia="楷体_GB2312" w:cs="楷体_GB2312"/>
          <w:b/>
          <w:sz w:val="32"/>
          <w:szCs w:val="32"/>
        </w:rPr>
      </w:pPr>
      <w:bookmarkStart w:id="49" w:name="_Toc15377224"/>
      <w:r>
        <w:rPr>
          <w:rFonts w:hint="eastAsia" w:eastAsia="楷体_GB2312" w:cs="楷体_GB2312"/>
          <w:b/>
          <w:sz w:val="32"/>
          <w:szCs w:val="32"/>
        </w:rPr>
        <w:t>（三）国有资产占有使用情况</w:t>
      </w:r>
      <w:bookmarkEnd w:id="49"/>
    </w:p>
    <w:p w14:paraId="10BDDB10">
      <w:pPr>
        <w:spacing w:line="600" w:lineRule="exact"/>
        <w:ind w:firstLine="640"/>
        <w:rPr>
          <w:rFonts w:eastAsia="仿宋_GB2312" w:cs="仿宋_GB2312"/>
          <w:sz w:val="32"/>
          <w:szCs w:val="32"/>
        </w:rPr>
      </w:pPr>
      <w:r>
        <w:rPr>
          <w:rFonts w:hint="eastAsia" w:ascii="仿宋_GB2312" w:hAnsi="仿宋_GB2312" w:eastAsia="仿宋_GB2312" w:cs="仿宋_GB2312"/>
          <w:sz w:val="32"/>
          <w:szCs w:val="32"/>
        </w:rPr>
        <w:t>截至2025年12月31日，四川省攀枝花市自然资源和规划局西区分局共有车辆1辆，其中：主要负责人用车0辆、机要通信用车0辆、应急保障用车0辆、其他用车1辆，其他用车主要是用于</w:t>
      </w:r>
      <w:r>
        <w:rPr>
          <w:rFonts w:ascii="仿宋_GB2312" w:eastAsia="仿宋_GB2312"/>
          <w:sz w:val="32"/>
          <w:szCs w:val="32"/>
        </w:rPr>
        <w:t>地灾巡查、耕地保护、土地开发利用现场勘察、土地执法巡查</w:t>
      </w:r>
      <w:r>
        <w:rPr>
          <w:rFonts w:hint="eastAsia" w:ascii="仿宋_GB2312" w:eastAsia="仿宋_GB2312"/>
          <w:sz w:val="32"/>
          <w:szCs w:val="32"/>
        </w:rPr>
        <w:t>。</w:t>
      </w:r>
      <w:r>
        <w:rPr>
          <w:rFonts w:hint="eastAsia" w:ascii="仿宋_GB2312" w:hAnsi="仿宋_GB2312" w:eastAsia="仿宋_GB2312" w:cs="仿宋_GB2312"/>
          <w:sz w:val="32"/>
          <w:szCs w:val="32"/>
        </w:rPr>
        <w:t>单价100万元（含）以上设备（不含车辆）0台（套）</w:t>
      </w:r>
      <w:r>
        <w:rPr>
          <w:rFonts w:hint="eastAsia" w:eastAsia="仿宋_GB2312" w:cs="仿宋_GB2312"/>
          <w:sz w:val="32"/>
          <w:szCs w:val="32"/>
        </w:rPr>
        <w:t>。</w:t>
      </w:r>
    </w:p>
    <w:p w14:paraId="5E89A883">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（四）预算绩效管理情况</w:t>
      </w:r>
    </w:p>
    <w:p w14:paraId="6212902A">
      <w:pPr>
        <w:spacing w:line="600" w:lineRule="exact"/>
        <w:ind w:firstLine="640" w:firstLineChars="200"/>
        <w:rPr>
          <w:rFonts w:ascii="仿宋_GB2312" w:eastAsia="仿宋_GB2312"/>
          <w:sz w:val="32"/>
          <w:szCs w:val="32"/>
        </w:rPr>
      </w:pPr>
      <w:r>
        <w:rPr>
          <w:rFonts w:hint="eastAsia" w:eastAsia="仿宋_GB2312" w:cs="仿宋_GB2312"/>
          <w:sz w:val="32"/>
          <w:szCs w:val="32"/>
        </w:rPr>
        <w:t>根据预算绩效管理要求，本单位在专职监测、攀枝花市西区陶家渡街道三十六中小花山校区滑坡工程治理、攀枝花市西区斜坡地质灾害隐患风险详查及重点乡镇1:10000精细化、专项地质灾害隐患排查.、2025年清理拖欠企业欠款.（市级）、2025年清理拖欠企业欠款.（区级）等6个项目开展了预算事前绩效评估，对6个项目编制了绩效目标，预算执行过程中，选取6个项目开展绩效监控，</w:t>
      </w:r>
      <w:r>
        <w:rPr>
          <w:rFonts w:hint="eastAsia" w:ascii="仿宋_GB2312" w:eastAsia="仿宋_GB2312"/>
          <w:sz w:val="32"/>
          <w:szCs w:val="32"/>
        </w:rPr>
        <w:t>组织对6个项目开展绩效自评，绩效自评表详见第四部分附件。</w:t>
      </w:r>
    </w:p>
    <w:p w14:paraId="7D318EA5">
      <w:pPr>
        <w:spacing w:line="600" w:lineRule="exact"/>
        <w:ind w:firstLine="640"/>
        <w:rPr>
          <w:rFonts w:eastAsia="仿宋_GB2312" w:cs="仿宋_GB2312"/>
          <w:sz w:val="32"/>
          <w:szCs w:val="32"/>
        </w:rPr>
      </w:pPr>
    </w:p>
    <w:p w14:paraId="713A45A7">
      <w:pPr>
        <w:spacing w:line="600" w:lineRule="exact"/>
        <w:rPr>
          <w:rFonts w:eastAsia="仿宋_GB2312" w:cs="仿宋_GB2312"/>
          <w:sz w:val="32"/>
          <w:szCs w:val="32"/>
        </w:rPr>
      </w:pPr>
    </w:p>
    <w:p w14:paraId="638EFF4B">
      <w:pPr>
        <w:spacing w:line="600" w:lineRule="exact"/>
        <w:ind w:firstLine="640"/>
        <w:rPr>
          <w:rFonts w:eastAsia="仿宋_GB2312" w:cs="仿宋_GB2312"/>
          <w:sz w:val="32"/>
          <w:szCs w:val="32"/>
        </w:rPr>
      </w:pPr>
    </w:p>
    <w:p w14:paraId="7FE4C22C">
      <w:pPr>
        <w:pStyle w:val="8"/>
        <w:spacing w:before="93"/>
        <w:rPr>
          <w:rFonts w:ascii="Times New Roman" w:cs="仿宋_GB2312"/>
          <w:kern w:val="2"/>
          <w:sz w:val="32"/>
          <w:szCs w:val="32"/>
        </w:rPr>
      </w:pPr>
    </w:p>
    <w:p w14:paraId="05FA21B3">
      <w:pPr>
        <w:pStyle w:val="8"/>
        <w:spacing w:before="93"/>
        <w:rPr>
          <w:rFonts w:ascii="Times New Roman" w:cs="仿宋_GB2312"/>
          <w:kern w:val="2"/>
          <w:sz w:val="32"/>
          <w:szCs w:val="32"/>
        </w:rPr>
      </w:pPr>
    </w:p>
    <w:p w14:paraId="67EB927D">
      <w:pPr>
        <w:pStyle w:val="8"/>
        <w:spacing w:before="93"/>
        <w:rPr>
          <w:rFonts w:ascii="Times New Roman" w:cs="仿宋_GB2312"/>
          <w:kern w:val="2"/>
          <w:sz w:val="32"/>
          <w:szCs w:val="32"/>
        </w:rPr>
      </w:pPr>
    </w:p>
    <w:p w14:paraId="535FA3AB">
      <w:pPr>
        <w:pStyle w:val="11"/>
        <w:rPr>
          <w:rFonts w:ascii="Times New Roman" w:hAnsi="Times New Roman" w:eastAsia="仿宋_GB2312" w:cs="仿宋_GB2312"/>
          <w:kern w:val="2"/>
          <w:sz w:val="32"/>
          <w:szCs w:val="32"/>
        </w:rPr>
      </w:pPr>
    </w:p>
    <w:p w14:paraId="1716C44B">
      <w:pPr>
        <w:pStyle w:val="11"/>
        <w:rPr>
          <w:rFonts w:ascii="Times New Roman" w:hAnsi="Times New Roman" w:eastAsia="仿宋_GB2312" w:cs="仿宋_GB2312"/>
          <w:kern w:val="2"/>
          <w:sz w:val="32"/>
          <w:szCs w:val="32"/>
        </w:rPr>
      </w:pPr>
    </w:p>
    <w:p w14:paraId="5F753DAC">
      <w:pPr>
        <w:pStyle w:val="11"/>
        <w:rPr>
          <w:rFonts w:ascii="Times New Roman" w:hAnsi="Times New Roman" w:eastAsia="仿宋_GB2312" w:cs="仿宋_GB2312"/>
          <w:kern w:val="2"/>
          <w:sz w:val="32"/>
          <w:szCs w:val="32"/>
        </w:rPr>
      </w:pPr>
    </w:p>
    <w:p w14:paraId="2FCBD3D1">
      <w:pPr>
        <w:pStyle w:val="11"/>
        <w:rPr>
          <w:rFonts w:ascii="Times New Roman" w:hAnsi="Times New Roman" w:eastAsia="仿宋_GB2312" w:cs="仿宋_GB2312"/>
          <w:kern w:val="2"/>
          <w:sz w:val="32"/>
          <w:szCs w:val="32"/>
        </w:rPr>
      </w:pPr>
    </w:p>
    <w:p w14:paraId="3989B4B8">
      <w:pPr>
        <w:pStyle w:val="11"/>
        <w:rPr>
          <w:rFonts w:ascii="Times New Roman" w:hAnsi="Times New Roman" w:eastAsia="仿宋_GB2312" w:cs="仿宋_GB2312"/>
          <w:kern w:val="2"/>
          <w:sz w:val="32"/>
          <w:szCs w:val="32"/>
        </w:rPr>
      </w:pPr>
    </w:p>
    <w:p w14:paraId="72E6CEBB">
      <w:pPr>
        <w:pStyle w:val="11"/>
        <w:rPr>
          <w:rFonts w:ascii="Times New Roman" w:hAnsi="Times New Roman" w:eastAsia="仿宋_GB2312" w:cs="仿宋_GB2312"/>
          <w:kern w:val="2"/>
          <w:sz w:val="32"/>
          <w:szCs w:val="32"/>
        </w:rPr>
      </w:pPr>
    </w:p>
    <w:p w14:paraId="1B95DE9C">
      <w:pPr>
        <w:pStyle w:val="11"/>
        <w:rPr>
          <w:rFonts w:ascii="Times New Roman" w:hAnsi="Times New Roman" w:eastAsia="仿宋_GB2312" w:cs="仿宋_GB2312"/>
          <w:kern w:val="2"/>
          <w:sz w:val="32"/>
          <w:szCs w:val="32"/>
        </w:rPr>
      </w:pPr>
    </w:p>
    <w:p w14:paraId="5F89D81E">
      <w:pPr>
        <w:pStyle w:val="8"/>
        <w:spacing w:before="93"/>
        <w:rPr>
          <w:rFonts w:ascii="Times New Roman" w:cs="仿宋_GB2312"/>
          <w:kern w:val="2"/>
          <w:sz w:val="32"/>
          <w:szCs w:val="32"/>
        </w:rPr>
      </w:pPr>
    </w:p>
    <w:p w14:paraId="4634E1BF">
      <w:pPr>
        <w:pStyle w:val="8"/>
        <w:spacing w:before="93"/>
        <w:rPr>
          <w:rFonts w:ascii="Times New Roman" w:cs="仿宋_GB2312"/>
          <w:kern w:val="2"/>
          <w:sz w:val="32"/>
          <w:szCs w:val="32"/>
        </w:rPr>
      </w:pPr>
    </w:p>
    <w:p w14:paraId="75C536F9">
      <w:pPr>
        <w:spacing w:line="600" w:lineRule="exact"/>
        <w:jc w:val="center"/>
        <w:outlineLvl w:val="0"/>
        <w:rPr>
          <w:rFonts w:eastAsia="黑体"/>
          <w:sz w:val="44"/>
          <w:szCs w:val="44"/>
        </w:rPr>
      </w:pPr>
      <w:bookmarkStart w:id="50" w:name="_Toc15396613"/>
      <w:bookmarkStart w:id="51" w:name="_Toc15377225"/>
    </w:p>
    <w:p w14:paraId="29DADF73">
      <w:pPr>
        <w:spacing w:line="600" w:lineRule="exact"/>
        <w:jc w:val="center"/>
        <w:outlineLvl w:val="0"/>
        <w:rPr>
          <w:rFonts w:eastAsia="黑体"/>
          <w:sz w:val="44"/>
          <w:szCs w:val="44"/>
        </w:rPr>
      </w:pPr>
    </w:p>
    <w:p w14:paraId="4CBB1552">
      <w:pPr>
        <w:spacing w:line="600" w:lineRule="exact"/>
        <w:jc w:val="center"/>
        <w:outlineLvl w:val="0"/>
        <w:rPr>
          <w:rFonts w:eastAsia="黑体"/>
          <w:sz w:val="44"/>
          <w:szCs w:val="44"/>
        </w:rPr>
      </w:pPr>
    </w:p>
    <w:p w14:paraId="402DBCC3">
      <w:pPr>
        <w:spacing w:line="600" w:lineRule="exact"/>
        <w:jc w:val="center"/>
        <w:outlineLvl w:val="0"/>
        <w:rPr>
          <w:rFonts w:eastAsia="黑体"/>
          <w:sz w:val="44"/>
          <w:szCs w:val="44"/>
        </w:rPr>
      </w:pPr>
    </w:p>
    <w:p w14:paraId="35AF53BE">
      <w:pPr>
        <w:spacing w:line="600" w:lineRule="exact"/>
        <w:jc w:val="center"/>
        <w:outlineLvl w:val="0"/>
        <w:rPr>
          <w:rFonts w:eastAsia="黑体"/>
          <w:sz w:val="44"/>
          <w:szCs w:val="44"/>
        </w:rPr>
      </w:pPr>
    </w:p>
    <w:p w14:paraId="222C5DC4">
      <w:pPr>
        <w:spacing w:line="600" w:lineRule="exact"/>
        <w:jc w:val="center"/>
        <w:outlineLvl w:val="0"/>
        <w:rPr>
          <w:rFonts w:eastAsia="黑体"/>
          <w:sz w:val="44"/>
          <w:szCs w:val="44"/>
        </w:rPr>
      </w:pPr>
      <w:r>
        <w:rPr>
          <w:rFonts w:hint="eastAsia" w:eastAsia="黑体"/>
          <w:sz w:val="44"/>
          <w:szCs w:val="44"/>
        </w:rPr>
        <w:t>第三部分  名词解释</w:t>
      </w:r>
      <w:bookmarkEnd w:id="50"/>
      <w:bookmarkEnd w:id="51"/>
    </w:p>
    <w:p w14:paraId="1B15F575">
      <w:pPr>
        <w:spacing w:line="600" w:lineRule="exact"/>
        <w:jc w:val="left"/>
        <w:rPr>
          <w:b/>
          <w:sz w:val="44"/>
          <w:szCs w:val="44"/>
        </w:rPr>
      </w:pPr>
    </w:p>
    <w:p w14:paraId="34764765">
      <w:pPr>
        <w:numPr>
          <w:ilvl w:val="0"/>
          <w:numId w:val="3"/>
        </w:numPr>
        <w:spacing w:line="600" w:lineRule="exact"/>
        <w:ind w:firstLine="640"/>
        <w:rPr>
          <w:rFonts w:eastAsia="仿宋_GB2312" w:cs="仿宋_GB2312"/>
          <w:sz w:val="32"/>
          <w:szCs w:val="32"/>
        </w:rPr>
      </w:pPr>
      <w:r>
        <w:rPr>
          <w:rFonts w:hint="eastAsia" w:eastAsia="仿宋_GB2312" w:cs="仿宋_GB2312"/>
          <w:sz w:val="32"/>
          <w:szCs w:val="32"/>
        </w:rPr>
        <w:t>财政拨款收入：指单位从同级财政部门取得的财政预算资金。</w:t>
      </w:r>
    </w:p>
    <w:p w14:paraId="389DC8E1">
      <w:pPr>
        <w:pStyle w:val="26"/>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2</w:t>
      </w:r>
      <w:r>
        <w:rPr>
          <w:rFonts w:ascii="仿宋_GB2312" w:eastAsia="仿宋_GB2312"/>
          <w:color w:val="auto"/>
          <w:sz w:val="32"/>
          <w:szCs w:val="32"/>
        </w:rPr>
        <w:t>.</w:t>
      </w:r>
      <w:r>
        <w:rPr>
          <w:rFonts w:hint="eastAsia" w:ascii="仿宋_GB2312" w:eastAsia="仿宋_GB2312"/>
          <w:color w:val="auto"/>
          <w:sz w:val="32"/>
          <w:szCs w:val="32"/>
        </w:rPr>
        <w:t>年初结转和结余：指以前年度尚未完成、结转到本年按有关规定继续使用的资金。</w:t>
      </w:r>
      <w:r>
        <w:rPr>
          <w:rFonts w:ascii="仿宋_GB2312" w:eastAsia="仿宋_GB2312"/>
          <w:color w:val="auto"/>
          <w:sz w:val="32"/>
          <w:szCs w:val="32"/>
        </w:rPr>
        <w:t xml:space="preserve"> </w:t>
      </w:r>
    </w:p>
    <w:p w14:paraId="18303BC1">
      <w:pPr>
        <w:pStyle w:val="26"/>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3.年末结转和结余：指单位按有关规定结转到下年或以后年度继续使用的资金。</w:t>
      </w:r>
    </w:p>
    <w:p w14:paraId="0D7110B1">
      <w:pPr>
        <w:ind w:firstLine="640" w:firstLineChars="200"/>
        <w:rPr>
          <w:rFonts w:ascii="仿宋_GB2312" w:eastAsia="仿宋_GB2312"/>
          <w:sz w:val="32"/>
          <w:szCs w:val="32"/>
        </w:rPr>
      </w:pPr>
      <w:r>
        <w:rPr>
          <w:rFonts w:hint="eastAsia" w:ascii="仿宋_GB2312" w:eastAsia="仿宋_GB2312"/>
          <w:sz w:val="32"/>
          <w:szCs w:val="32"/>
        </w:rPr>
        <w:t>4</w:t>
      </w:r>
      <w:r>
        <w:rPr>
          <w:rFonts w:ascii="仿宋_GB2312" w:eastAsia="仿宋_GB2312"/>
          <w:sz w:val="32"/>
          <w:szCs w:val="32"/>
        </w:rPr>
        <w:t>.</w:t>
      </w:r>
      <w:r>
        <w:rPr>
          <w:rFonts w:hint="eastAsia" w:ascii="仿宋_GB2312" w:eastAsia="仿宋_GB2312"/>
          <w:sz w:val="32"/>
          <w:szCs w:val="32"/>
        </w:rPr>
        <w:t>社会保障和就业支出（类）行政事业单位养老支出（款）行政单位离退休（项）：指反映行政单位(包括实行公务员管理的事业单位)开支的离退休经费。</w:t>
      </w:r>
    </w:p>
    <w:p w14:paraId="459A04E8">
      <w:pPr>
        <w:ind w:firstLine="640" w:firstLineChars="200"/>
        <w:rPr>
          <w:rFonts w:ascii="仿宋_GB2312" w:eastAsia="仿宋_GB2312"/>
          <w:sz w:val="32"/>
          <w:szCs w:val="32"/>
        </w:rPr>
      </w:pPr>
      <w:r>
        <w:rPr>
          <w:rFonts w:hint="eastAsia" w:ascii="仿宋_GB2312" w:eastAsia="仿宋_GB2312"/>
          <w:sz w:val="32"/>
          <w:szCs w:val="32"/>
        </w:rPr>
        <w:t>5</w:t>
      </w:r>
      <w:r>
        <w:rPr>
          <w:rFonts w:ascii="仿宋_GB2312" w:eastAsia="仿宋_GB2312"/>
          <w:sz w:val="32"/>
          <w:szCs w:val="32"/>
        </w:rPr>
        <w:t>.</w:t>
      </w:r>
      <w:r>
        <w:rPr>
          <w:rFonts w:hint="eastAsia" w:ascii="仿宋_GB2312" w:eastAsia="仿宋_GB2312"/>
          <w:sz w:val="32"/>
          <w:szCs w:val="32"/>
        </w:rPr>
        <w:t>社会保障和就业支出（类）行政事业单位养老支出（款）机关事业单位基本养老保险缴费支出（项）：指反映机关事业单位实施养老保险制度由单位缴纳的基本养老保险费支出。</w:t>
      </w:r>
    </w:p>
    <w:p w14:paraId="40BB115F">
      <w:pPr>
        <w:ind w:firstLine="640" w:firstLineChars="200"/>
        <w:rPr>
          <w:rFonts w:ascii="仿宋_GB2312" w:eastAsia="仿宋_GB2312"/>
          <w:sz w:val="32"/>
          <w:szCs w:val="32"/>
        </w:rPr>
      </w:pPr>
      <w:r>
        <w:rPr>
          <w:rFonts w:hint="eastAsia" w:ascii="仿宋_GB2312" w:eastAsia="仿宋_GB2312"/>
          <w:sz w:val="32"/>
          <w:szCs w:val="32"/>
        </w:rPr>
        <w:t>6</w:t>
      </w:r>
      <w:r>
        <w:rPr>
          <w:rFonts w:ascii="仿宋_GB2312" w:eastAsia="仿宋_GB2312"/>
          <w:sz w:val="32"/>
          <w:szCs w:val="32"/>
        </w:rPr>
        <w:t>.</w:t>
      </w:r>
      <w:r>
        <w:rPr>
          <w:rFonts w:hint="eastAsia" w:ascii="仿宋_GB2312" w:eastAsia="仿宋_GB2312"/>
          <w:sz w:val="32"/>
          <w:szCs w:val="32"/>
        </w:rPr>
        <w:t>自然资源海洋气象等支出（类）自然资源事务（款）行政运行（项）：指反映</w:t>
      </w:r>
      <w:r>
        <w:rPr>
          <w:rFonts w:eastAsia="仿宋_GB2312"/>
          <w:color w:val="000000"/>
          <w:sz w:val="32"/>
          <w:szCs w:val="32"/>
        </w:rPr>
        <w:t>行政单位(包括实行公务员管理是事业单位)的基本支出</w:t>
      </w:r>
      <w:r>
        <w:rPr>
          <w:rFonts w:hint="eastAsia" w:ascii="仿宋_GB2312" w:eastAsia="仿宋_GB2312"/>
          <w:sz w:val="32"/>
          <w:szCs w:val="32"/>
        </w:rPr>
        <w:t>。</w:t>
      </w:r>
    </w:p>
    <w:p w14:paraId="6396423A">
      <w:pPr>
        <w:ind w:firstLine="640" w:firstLineChars="200"/>
        <w:rPr>
          <w:rFonts w:ascii="仿宋_GB2312" w:eastAsia="仿宋_GB2312"/>
          <w:sz w:val="32"/>
          <w:szCs w:val="32"/>
        </w:rPr>
      </w:pPr>
      <w:r>
        <w:rPr>
          <w:rFonts w:hint="eastAsia" w:ascii="仿宋_GB2312" w:eastAsia="仿宋_GB2312"/>
          <w:sz w:val="32"/>
          <w:szCs w:val="32"/>
        </w:rPr>
        <w:t>7</w:t>
      </w:r>
      <w:r>
        <w:rPr>
          <w:rFonts w:ascii="仿宋_GB2312" w:eastAsia="仿宋_GB2312"/>
          <w:sz w:val="32"/>
          <w:szCs w:val="32"/>
        </w:rPr>
        <w:t>.</w:t>
      </w:r>
      <w:r>
        <w:rPr>
          <w:rFonts w:hint="eastAsia" w:ascii="仿宋_GB2312" w:eastAsia="仿宋_GB2312"/>
          <w:sz w:val="32"/>
          <w:szCs w:val="32"/>
        </w:rPr>
        <w:t>自然资源海洋气象等支出（类）自然资源事务（款）自然资源利用与保护（项）：指反映用于自然资源有偿使用与合理开发利用，国土空间生态修复，国土整治，耕地保护等方面的支出。</w:t>
      </w:r>
    </w:p>
    <w:p w14:paraId="1677874F">
      <w:pPr>
        <w:ind w:firstLine="640" w:firstLineChars="200"/>
        <w:rPr>
          <w:rFonts w:ascii="仿宋_GB2312" w:eastAsia="仿宋_GB2312"/>
          <w:sz w:val="32"/>
          <w:szCs w:val="32"/>
        </w:rPr>
      </w:pPr>
      <w:r>
        <w:rPr>
          <w:rFonts w:hint="eastAsia" w:ascii="仿宋_GB2312" w:eastAsia="仿宋_GB2312"/>
          <w:sz w:val="32"/>
          <w:szCs w:val="32"/>
        </w:rPr>
        <w:t>8</w:t>
      </w:r>
      <w:r>
        <w:rPr>
          <w:rFonts w:ascii="仿宋_GB2312" w:eastAsia="仿宋_GB2312"/>
          <w:sz w:val="32"/>
          <w:szCs w:val="32"/>
        </w:rPr>
        <w:t>.</w:t>
      </w:r>
      <w:r>
        <w:rPr>
          <w:rFonts w:hint="eastAsia" w:ascii="仿宋_GB2312" w:eastAsia="仿宋_GB2312"/>
          <w:sz w:val="32"/>
          <w:szCs w:val="32"/>
        </w:rPr>
        <w:t>自然资源海洋气象等支出（类）自然资源事务（款）事业运行（项）：指反映</w:t>
      </w:r>
      <w:r>
        <w:rPr>
          <w:rFonts w:eastAsia="仿宋_GB2312"/>
          <w:color w:val="000000"/>
          <w:sz w:val="32"/>
          <w:szCs w:val="32"/>
        </w:rPr>
        <w:t>事业单位的基本支出,不包括行政单位(包括实行公务员管理的事业单位)后勤服务中心,医务室等附属事业单位</w:t>
      </w:r>
      <w:r>
        <w:rPr>
          <w:rFonts w:hint="eastAsia" w:ascii="仿宋_GB2312" w:eastAsia="仿宋_GB2312"/>
          <w:sz w:val="32"/>
          <w:szCs w:val="32"/>
        </w:rPr>
        <w:t>。</w:t>
      </w:r>
    </w:p>
    <w:p w14:paraId="028EAC2F">
      <w:pPr>
        <w:ind w:firstLine="640" w:firstLineChars="200"/>
        <w:rPr>
          <w:rFonts w:ascii="仿宋_GB2312" w:eastAsia="仿宋_GB2312"/>
          <w:sz w:val="32"/>
          <w:szCs w:val="32"/>
        </w:rPr>
      </w:pPr>
      <w:r>
        <w:rPr>
          <w:rFonts w:hint="eastAsia" w:ascii="仿宋_GB2312" w:eastAsia="仿宋_GB2312"/>
          <w:sz w:val="32"/>
          <w:szCs w:val="32"/>
        </w:rPr>
        <w:t>9</w:t>
      </w:r>
      <w:r>
        <w:rPr>
          <w:rFonts w:ascii="仿宋_GB2312" w:eastAsia="仿宋_GB2312"/>
          <w:sz w:val="32"/>
          <w:szCs w:val="32"/>
        </w:rPr>
        <w:t>.</w:t>
      </w:r>
      <w:r>
        <w:rPr>
          <w:rFonts w:hint="eastAsia" w:ascii="仿宋_GB2312" w:eastAsia="仿宋_GB2312"/>
          <w:sz w:val="32"/>
          <w:szCs w:val="32"/>
        </w:rPr>
        <w:t>自然资源海洋气象等支出（类）自然资源事务（款） 其他自然资源事务支出（项）：指反映除上述项目以外其他用于自然资源事务方面的支出。</w:t>
      </w:r>
    </w:p>
    <w:p w14:paraId="36702951">
      <w:pPr>
        <w:ind w:firstLine="640" w:firstLineChars="200"/>
        <w:rPr>
          <w:rFonts w:ascii="仿宋_GB2312" w:eastAsia="仿宋_GB2312"/>
          <w:sz w:val="32"/>
          <w:szCs w:val="32"/>
        </w:rPr>
      </w:pPr>
      <w:r>
        <w:rPr>
          <w:rFonts w:hint="eastAsia" w:ascii="仿宋_GB2312" w:eastAsia="仿宋_GB2312"/>
          <w:sz w:val="32"/>
          <w:szCs w:val="32"/>
        </w:rPr>
        <w:t>10</w:t>
      </w:r>
      <w:r>
        <w:rPr>
          <w:rFonts w:ascii="仿宋_GB2312" w:eastAsia="仿宋_GB2312"/>
          <w:sz w:val="32"/>
          <w:szCs w:val="32"/>
        </w:rPr>
        <w:t>.</w:t>
      </w:r>
      <w:r>
        <w:rPr>
          <w:rFonts w:hint="eastAsia" w:ascii="仿宋_GB2312" w:eastAsia="仿宋_GB2312"/>
          <w:sz w:val="32"/>
          <w:szCs w:val="32"/>
        </w:rPr>
        <w:t>住房保障支出（类）住房改革支出（款）住房公积金（项）：指</w:t>
      </w:r>
      <w:r>
        <w:rPr>
          <w:rFonts w:eastAsia="仿宋_GB2312"/>
          <w:color w:val="000000"/>
          <w:sz w:val="32"/>
          <w:szCs w:val="32"/>
        </w:rPr>
        <w:t>行政事业单位按人力资源和社会保障部、财政规定的基本工资和津贴补贴以及规定比例为职工缴纳的住房公积金</w:t>
      </w:r>
      <w:r>
        <w:rPr>
          <w:rFonts w:hint="eastAsia" w:ascii="仿宋_GB2312" w:eastAsia="仿宋_GB2312"/>
          <w:sz w:val="32"/>
          <w:szCs w:val="32"/>
        </w:rPr>
        <w:t>。</w:t>
      </w:r>
    </w:p>
    <w:p w14:paraId="07EDE2A5">
      <w:pPr>
        <w:ind w:firstLine="640" w:firstLineChars="200"/>
        <w:rPr>
          <w:rFonts w:ascii="仿宋_GB2312" w:eastAsia="仿宋_GB2312"/>
          <w:sz w:val="32"/>
          <w:szCs w:val="32"/>
        </w:rPr>
      </w:pPr>
      <w:r>
        <w:rPr>
          <w:rFonts w:hint="eastAsia" w:ascii="仿宋_GB2312" w:eastAsia="仿宋_GB2312"/>
          <w:sz w:val="32"/>
          <w:szCs w:val="32"/>
        </w:rPr>
        <w:t>11</w:t>
      </w:r>
      <w:r>
        <w:rPr>
          <w:rFonts w:ascii="仿宋_GB2312" w:eastAsia="仿宋_GB2312"/>
          <w:sz w:val="32"/>
          <w:szCs w:val="32"/>
        </w:rPr>
        <w:t>.</w:t>
      </w:r>
      <w:r>
        <w:rPr>
          <w:rFonts w:hint="eastAsia" w:ascii="仿宋_GB2312" w:eastAsia="仿宋_GB2312"/>
          <w:sz w:val="32"/>
          <w:szCs w:val="32"/>
        </w:rPr>
        <w:t>灾害防治及应急管理支出（类）自然灾害防治（款）地质灾害防治（项）：指反映防治地质灾害方面的支出。</w:t>
      </w:r>
    </w:p>
    <w:p w14:paraId="4C1C92BB">
      <w:pPr>
        <w:spacing w:line="600" w:lineRule="exact"/>
        <w:ind w:firstLine="640"/>
        <w:rPr>
          <w:rFonts w:eastAsia="仿宋_GB2312" w:cs="仿宋_GB2312"/>
          <w:sz w:val="32"/>
          <w:szCs w:val="32"/>
        </w:rPr>
      </w:pPr>
      <w:r>
        <w:rPr>
          <w:rFonts w:hint="eastAsia" w:eastAsia="仿宋_GB2312" w:cs="仿宋_GB2312"/>
          <w:sz w:val="32"/>
          <w:szCs w:val="32"/>
        </w:rPr>
        <w:t>12.基本支出：指为保障机构正常运转、完成日常工作任务而发生的人员支出和公用支出。</w:t>
      </w:r>
    </w:p>
    <w:p w14:paraId="7F35F203">
      <w:pPr>
        <w:spacing w:line="600" w:lineRule="exact"/>
        <w:ind w:firstLine="640"/>
        <w:rPr>
          <w:rFonts w:eastAsia="仿宋_GB2312" w:cs="仿宋_GB2312"/>
          <w:sz w:val="32"/>
          <w:szCs w:val="32"/>
        </w:rPr>
      </w:pPr>
      <w:r>
        <w:rPr>
          <w:rFonts w:hint="eastAsia" w:eastAsia="仿宋_GB2312" w:cs="仿宋_GB2312"/>
          <w:sz w:val="32"/>
          <w:szCs w:val="32"/>
        </w:rPr>
        <w:t xml:space="preserve">13.项目支出：指在基本支出之外为完成特定行政任务和事业发展目标所发生的支出。 </w:t>
      </w:r>
    </w:p>
    <w:p w14:paraId="53925460">
      <w:pPr>
        <w:spacing w:line="600" w:lineRule="exact"/>
        <w:ind w:firstLine="640"/>
        <w:rPr>
          <w:rFonts w:eastAsia="仿宋_GB2312" w:cs="仿宋_GB2312"/>
          <w:sz w:val="32"/>
          <w:szCs w:val="32"/>
        </w:rPr>
      </w:pPr>
      <w:r>
        <w:rPr>
          <w:rFonts w:hint="eastAsia" w:eastAsia="仿宋_GB2312" w:cs="仿宋_GB2312"/>
          <w:sz w:val="32"/>
          <w:szCs w:val="32"/>
        </w:rPr>
        <w:t>14.“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2FBBC74F">
      <w:pPr>
        <w:spacing w:line="600" w:lineRule="exact"/>
        <w:ind w:firstLine="640"/>
        <w:rPr>
          <w:rFonts w:eastAsia="仿宋_GB2312" w:cs="仿宋_GB2312"/>
          <w:sz w:val="32"/>
          <w:szCs w:val="32"/>
        </w:rPr>
      </w:pPr>
      <w:r>
        <w:rPr>
          <w:rFonts w:hint="eastAsia" w:eastAsia="仿宋_GB2312" w:cs="仿宋_GB2312"/>
          <w:sz w:val="32"/>
          <w:szCs w:val="32"/>
        </w:rPr>
        <w:t>15.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51D9F2C5">
      <w:pPr>
        <w:spacing w:line="600" w:lineRule="exact"/>
        <w:jc w:val="center"/>
        <w:rPr>
          <w:rFonts w:eastAsia="仿宋_GB2312" w:cs="仿宋_GB2312"/>
          <w:sz w:val="32"/>
          <w:szCs w:val="32"/>
        </w:rPr>
      </w:pPr>
      <w:bookmarkStart w:id="52" w:name="_Toc15377226"/>
    </w:p>
    <w:p w14:paraId="31435DF0">
      <w:pPr>
        <w:spacing w:line="600" w:lineRule="exact"/>
        <w:jc w:val="center"/>
        <w:rPr>
          <w:rStyle w:val="28"/>
          <w:rFonts w:eastAsia="黑体"/>
          <w:b w:val="0"/>
        </w:rPr>
      </w:pPr>
      <w:r>
        <w:rPr>
          <w:rFonts w:hint="eastAsia" w:eastAsia="仿宋_GB2312" w:cs="仿宋_GB2312"/>
          <w:sz w:val="32"/>
          <w:szCs w:val="32"/>
        </w:rPr>
        <w:br w:type="page"/>
      </w:r>
      <w:bookmarkStart w:id="53" w:name="_Toc15396614"/>
      <w:r>
        <w:rPr>
          <w:rFonts w:hint="eastAsia" w:eastAsia="黑体"/>
          <w:sz w:val="44"/>
          <w:szCs w:val="44"/>
        </w:rPr>
        <w:t>第四部分  附件</w:t>
      </w:r>
      <w:bookmarkEnd w:id="53"/>
    </w:p>
    <w:p w14:paraId="00778906">
      <w:pPr>
        <w:pStyle w:val="8"/>
        <w:spacing w:before="93"/>
      </w:pPr>
    </w:p>
    <w:p w14:paraId="04D04D93">
      <w:pPr>
        <w:spacing w:line="578" w:lineRule="exact"/>
        <w:ind w:firstLine="640"/>
        <w:rPr>
          <w:sz w:val="32"/>
          <w:szCs w:val="32"/>
        </w:rPr>
      </w:pPr>
      <w:bookmarkStart w:id="54" w:name="_Toc9955"/>
      <w:r>
        <w:rPr>
          <w:rFonts w:hint="eastAsia"/>
          <w:sz w:val="32"/>
          <w:szCs w:val="32"/>
        </w:rPr>
        <w:t>攀枝花市自然资源和规划局西区分局部门预算项目支出绩效自评表（2025年度）</w:t>
      </w:r>
      <w:bookmarkEnd w:id="54"/>
    </w:p>
    <w:p w14:paraId="463CC231">
      <w:pPr>
        <w:pStyle w:val="8"/>
        <w:spacing w:before="93"/>
        <w:rPr>
          <w:sz w:val="32"/>
          <w:szCs w:val="32"/>
        </w:rPr>
      </w:pPr>
    </w:p>
    <w:p w14:paraId="23F2A335">
      <w:pPr>
        <w:pStyle w:val="8"/>
        <w:spacing w:before="93"/>
        <w:rPr>
          <w:sz w:val="32"/>
          <w:szCs w:val="32"/>
        </w:rPr>
      </w:pPr>
    </w:p>
    <w:p w14:paraId="2E6BF4D5">
      <w:pPr>
        <w:pStyle w:val="8"/>
        <w:spacing w:before="93"/>
        <w:rPr>
          <w:sz w:val="32"/>
          <w:szCs w:val="32"/>
        </w:rPr>
      </w:pPr>
    </w:p>
    <w:p w14:paraId="7E9C5B47">
      <w:pPr>
        <w:pStyle w:val="8"/>
        <w:spacing w:before="93"/>
        <w:rPr>
          <w:sz w:val="32"/>
          <w:szCs w:val="32"/>
        </w:rPr>
      </w:pPr>
    </w:p>
    <w:p w14:paraId="4F66B312">
      <w:pPr>
        <w:pStyle w:val="8"/>
        <w:spacing w:before="93"/>
        <w:rPr>
          <w:sz w:val="32"/>
          <w:szCs w:val="32"/>
        </w:rPr>
      </w:pPr>
    </w:p>
    <w:p w14:paraId="31F0922E">
      <w:pPr>
        <w:spacing w:line="578" w:lineRule="exact"/>
        <w:ind w:firstLine="640"/>
        <w:rPr>
          <w:rFonts w:eastAsia="仿宋_GB2312" w:cs="仿宋_GB2312"/>
          <w:kern w:val="0"/>
          <w:sz w:val="32"/>
          <w:szCs w:val="32"/>
        </w:rPr>
      </w:pPr>
    </w:p>
    <w:p w14:paraId="7524C3FA">
      <w:pPr>
        <w:spacing w:line="578" w:lineRule="exact"/>
        <w:ind w:firstLine="640"/>
        <w:rPr>
          <w:rFonts w:eastAsia="仿宋_GB2312" w:cs="仿宋_GB2312"/>
          <w:kern w:val="0"/>
          <w:sz w:val="32"/>
          <w:szCs w:val="32"/>
        </w:rPr>
      </w:pPr>
      <w:bookmarkStart w:id="55" w:name="_Toc15396618"/>
      <w:r>
        <w:rPr>
          <w:rFonts w:hint="eastAsia" w:eastAsia="仿宋_GB2312" w:cs="仿宋_GB2312"/>
          <w:kern w:val="0"/>
          <w:sz w:val="32"/>
          <w:szCs w:val="32"/>
        </w:rPr>
        <w:br w:type="page"/>
      </w:r>
    </w:p>
    <w:p w14:paraId="1E7F42C9">
      <w:pPr>
        <w:widowControl/>
        <w:jc w:val="center"/>
        <w:rPr>
          <w:rFonts w:eastAsia="仿宋"/>
        </w:rPr>
      </w:pPr>
      <w:r>
        <w:rPr>
          <w:rFonts w:hint="eastAsia" w:eastAsia="黑体"/>
          <w:sz w:val="44"/>
          <w:szCs w:val="44"/>
        </w:rPr>
        <w:t>第</w:t>
      </w:r>
      <w:r>
        <w:rPr>
          <w:rStyle w:val="28"/>
          <w:rFonts w:hint="eastAsia" w:eastAsia="黑体"/>
          <w:b w:val="0"/>
        </w:rPr>
        <w:t>五部分 附表</w:t>
      </w:r>
      <w:bookmarkEnd w:id="52"/>
      <w:bookmarkEnd w:id="55"/>
      <w:bookmarkStart w:id="56" w:name="_Toc15396619"/>
    </w:p>
    <w:p w14:paraId="1331E154">
      <w:pPr>
        <w:pStyle w:val="14"/>
        <w:adjustRightInd w:val="0"/>
        <w:snapToGrid w:val="0"/>
        <w:spacing w:line="560" w:lineRule="exact"/>
        <w:jc w:val="left"/>
        <w:rPr>
          <w:rFonts w:eastAsia="仿宋_GB2312" w:cs="仿宋_GB2312"/>
          <w:sz w:val="32"/>
          <w:szCs w:val="32"/>
        </w:rPr>
      </w:pPr>
    </w:p>
    <w:p w14:paraId="7B9E11DA">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一、收入支出决算总表</w:t>
      </w:r>
      <w:bookmarkEnd w:id="56"/>
    </w:p>
    <w:p w14:paraId="7A1FDD31">
      <w:pPr>
        <w:pStyle w:val="14"/>
        <w:adjustRightInd w:val="0"/>
        <w:snapToGrid w:val="0"/>
        <w:spacing w:line="560" w:lineRule="exact"/>
        <w:jc w:val="left"/>
        <w:rPr>
          <w:rFonts w:eastAsia="仿宋_GB2312" w:cs="仿宋_GB2312"/>
          <w:sz w:val="32"/>
          <w:szCs w:val="32"/>
        </w:rPr>
      </w:pPr>
      <w:bookmarkStart w:id="57" w:name="_Toc15396620"/>
      <w:r>
        <w:rPr>
          <w:rFonts w:hint="eastAsia" w:eastAsia="仿宋_GB2312" w:cs="仿宋_GB2312"/>
          <w:sz w:val="32"/>
          <w:szCs w:val="32"/>
        </w:rPr>
        <w:t>二、收入决算表</w:t>
      </w:r>
      <w:bookmarkEnd w:id="57"/>
    </w:p>
    <w:p w14:paraId="33758A87">
      <w:pPr>
        <w:pStyle w:val="14"/>
        <w:adjustRightInd w:val="0"/>
        <w:snapToGrid w:val="0"/>
        <w:spacing w:line="560" w:lineRule="exact"/>
        <w:jc w:val="left"/>
        <w:rPr>
          <w:rFonts w:eastAsia="仿宋_GB2312" w:cs="仿宋_GB2312"/>
          <w:sz w:val="32"/>
          <w:szCs w:val="32"/>
        </w:rPr>
      </w:pPr>
      <w:bookmarkStart w:id="58" w:name="_Toc15396621"/>
      <w:r>
        <w:rPr>
          <w:rFonts w:hint="eastAsia" w:eastAsia="仿宋_GB2312" w:cs="仿宋_GB2312"/>
          <w:sz w:val="32"/>
          <w:szCs w:val="32"/>
        </w:rPr>
        <w:t>三、支出决算表</w:t>
      </w:r>
      <w:bookmarkEnd w:id="58"/>
    </w:p>
    <w:p w14:paraId="3F501BE8">
      <w:pPr>
        <w:pStyle w:val="14"/>
        <w:adjustRightInd w:val="0"/>
        <w:snapToGrid w:val="0"/>
        <w:spacing w:line="560" w:lineRule="exact"/>
        <w:jc w:val="left"/>
        <w:rPr>
          <w:rFonts w:eastAsia="仿宋_GB2312" w:cs="仿宋_GB2312"/>
          <w:sz w:val="32"/>
          <w:szCs w:val="32"/>
        </w:rPr>
      </w:pPr>
      <w:bookmarkStart w:id="59" w:name="_Toc15396622"/>
      <w:r>
        <w:rPr>
          <w:rFonts w:hint="eastAsia" w:eastAsia="仿宋_GB2312" w:cs="仿宋_GB2312"/>
          <w:sz w:val="32"/>
          <w:szCs w:val="32"/>
        </w:rPr>
        <w:t>四、财政拨款收入支出决算总表</w:t>
      </w:r>
      <w:bookmarkEnd w:id="59"/>
    </w:p>
    <w:p w14:paraId="7F4B7C54">
      <w:pPr>
        <w:pStyle w:val="14"/>
        <w:adjustRightInd w:val="0"/>
        <w:snapToGrid w:val="0"/>
        <w:spacing w:line="560" w:lineRule="exact"/>
        <w:jc w:val="left"/>
        <w:rPr>
          <w:rFonts w:eastAsia="仿宋_GB2312" w:cs="仿宋_GB2312"/>
          <w:sz w:val="32"/>
          <w:szCs w:val="32"/>
        </w:rPr>
      </w:pPr>
      <w:bookmarkStart w:id="60" w:name="_Toc15396623"/>
      <w:r>
        <w:rPr>
          <w:rFonts w:hint="eastAsia" w:eastAsia="仿宋_GB2312" w:cs="仿宋_GB2312"/>
          <w:sz w:val="32"/>
          <w:szCs w:val="32"/>
        </w:rPr>
        <w:t>五、财政拨款支出决算明细表</w:t>
      </w:r>
      <w:bookmarkEnd w:id="60"/>
      <w:bookmarkStart w:id="61" w:name="_Toc15396624"/>
    </w:p>
    <w:p w14:paraId="0DED95AF">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六、一般公共预算财政拨款支出决算表</w:t>
      </w:r>
      <w:bookmarkEnd w:id="61"/>
    </w:p>
    <w:p w14:paraId="6E941517">
      <w:pPr>
        <w:pStyle w:val="14"/>
        <w:adjustRightInd w:val="0"/>
        <w:snapToGrid w:val="0"/>
        <w:spacing w:line="560" w:lineRule="exact"/>
        <w:jc w:val="left"/>
        <w:rPr>
          <w:rFonts w:eastAsia="仿宋_GB2312" w:cs="仿宋_GB2312"/>
          <w:sz w:val="32"/>
          <w:szCs w:val="32"/>
        </w:rPr>
      </w:pPr>
      <w:bookmarkStart w:id="62" w:name="_Toc15396625"/>
      <w:r>
        <w:rPr>
          <w:rFonts w:hint="eastAsia" w:eastAsia="仿宋_GB2312" w:cs="仿宋_GB2312"/>
          <w:sz w:val="32"/>
          <w:szCs w:val="32"/>
        </w:rPr>
        <w:t>七、一般公共预算财政拨款支出决算明细表</w:t>
      </w:r>
      <w:bookmarkEnd w:id="62"/>
    </w:p>
    <w:p w14:paraId="41FA0E3D">
      <w:pPr>
        <w:pStyle w:val="14"/>
        <w:adjustRightInd w:val="0"/>
        <w:snapToGrid w:val="0"/>
        <w:spacing w:line="560" w:lineRule="exact"/>
        <w:jc w:val="left"/>
        <w:rPr>
          <w:rFonts w:eastAsia="仿宋_GB2312" w:cs="仿宋_GB2312"/>
          <w:sz w:val="32"/>
          <w:szCs w:val="32"/>
        </w:rPr>
      </w:pPr>
      <w:bookmarkStart w:id="63" w:name="_Toc15396626"/>
      <w:r>
        <w:rPr>
          <w:rFonts w:hint="eastAsia" w:eastAsia="仿宋_GB2312" w:cs="仿宋_GB2312"/>
          <w:sz w:val="32"/>
          <w:szCs w:val="32"/>
        </w:rPr>
        <w:t>八、一般公共预算财政拨款基本支出决算表</w:t>
      </w:r>
      <w:bookmarkEnd w:id="63"/>
    </w:p>
    <w:p w14:paraId="31010FCE">
      <w:pPr>
        <w:pStyle w:val="14"/>
        <w:adjustRightInd w:val="0"/>
        <w:snapToGrid w:val="0"/>
        <w:spacing w:line="560" w:lineRule="exact"/>
        <w:jc w:val="left"/>
        <w:rPr>
          <w:rFonts w:eastAsia="仿宋_GB2312" w:cs="仿宋_GB2312"/>
          <w:sz w:val="32"/>
          <w:szCs w:val="32"/>
        </w:rPr>
      </w:pPr>
      <w:bookmarkStart w:id="64" w:name="_Toc15396627"/>
      <w:r>
        <w:rPr>
          <w:rFonts w:hint="eastAsia" w:eastAsia="仿宋_GB2312" w:cs="仿宋_GB2312"/>
          <w:sz w:val="32"/>
          <w:szCs w:val="32"/>
        </w:rPr>
        <w:t>九、一般公共预算财政拨款项目支出决算表</w:t>
      </w:r>
      <w:bookmarkEnd w:id="64"/>
    </w:p>
    <w:p w14:paraId="10C81CEB">
      <w:pPr>
        <w:pStyle w:val="14"/>
        <w:adjustRightInd w:val="0"/>
        <w:snapToGrid w:val="0"/>
        <w:spacing w:line="560" w:lineRule="exact"/>
        <w:jc w:val="left"/>
        <w:rPr>
          <w:rFonts w:eastAsia="仿宋_GB2312" w:cs="仿宋_GB2312"/>
          <w:sz w:val="32"/>
          <w:szCs w:val="32"/>
        </w:rPr>
      </w:pPr>
      <w:bookmarkStart w:id="65" w:name="_Toc15396628"/>
      <w:r>
        <w:rPr>
          <w:rFonts w:hint="eastAsia" w:eastAsia="仿宋_GB2312" w:cs="仿宋_GB2312"/>
          <w:sz w:val="32"/>
          <w:szCs w:val="32"/>
        </w:rPr>
        <w:t>十、</w:t>
      </w:r>
      <w:bookmarkEnd w:id="65"/>
      <w:r>
        <w:rPr>
          <w:rFonts w:hint="eastAsia" w:eastAsia="仿宋_GB2312" w:cs="仿宋_GB2312"/>
          <w:sz w:val="32"/>
          <w:szCs w:val="32"/>
        </w:rPr>
        <w:t>政府性基金预算财政拨款收入支出决算表</w:t>
      </w:r>
    </w:p>
    <w:p w14:paraId="680A16FF">
      <w:pPr>
        <w:pStyle w:val="14"/>
        <w:adjustRightInd w:val="0"/>
        <w:snapToGrid w:val="0"/>
        <w:spacing w:line="560" w:lineRule="exact"/>
        <w:jc w:val="left"/>
        <w:rPr>
          <w:rFonts w:eastAsia="仿宋_GB2312" w:cs="仿宋_GB2312"/>
          <w:sz w:val="32"/>
          <w:szCs w:val="32"/>
        </w:rPr>
      </w:pPr>
      <w:bookmarkStart w:id="66" w:name="_Toc15396629"/>
      <w:r>
        <w:rPr>
          <w:rFonts w:hint="eastAsia" w:eastAsia="仿宋_GB2312" w:cs="仿宋_GB2312"/>
          <w:sz w:val="32"/>
          <w:szCs w:val="32"/>
        </w:rPr>
        <w:t>十一、</w:t>
      </w:r>
      <w:bookmarkEnd w:id="66"/>
      <w:r>
        <w:rPr>
          <w:rFonts w:hint="eastAsia" w:eastAsia="仿宋_GB2312" w:cs="仿宋_GB2312"/>
          <w:sz w:val="32"/>
          <w:szCs w:val="32"/>
        </w:rPr>
        <w:t>国有资本经营预算财政拨款收入支出决算表</w:t>
      </w:r>
    </w:p>
    <w:p w14:paraId="6621143E">
      <w:pPr>
        <w:pStyle w:val="14"/>
        <w:adjustRightInd w:val="0"/>
        <w:snapToGrid w:val="0"/>
        <w:spacing w:line="560" w:lineRule="exact"/>
        <w:jc w:val="left"/>
        <w:rPr>
          <w:rFonts w:eastAsia="仿宋_GB2312" w:cs="仿宋_GB2312"/>
          <w:sz w:val="32"/>
          <w:szCs w:val="32"/>
        </w:rPr>
      </w:pPr>
      <w:bookmarkStart w:id="67" w:name="_Toc15396630"/>
      <w:r>
        <w:rPr>
          <w:rFonts w:hint="eastAsia" w:eastAsia="仿宋_GB2312" w:cs="仿宋_GB2312"/>
          <w:sz w:val="32"/>
          <w:szCs w:val="32"/>
        </w:rPr>
        <w:t>十二、</w:t>
      </w:r>
      <w:bookmarkEnd w:id="67"/>
      <w:r>
        <w:rPr>
          <w:rFonts w:hint="eastAsia" w:eastAsia="仿宋_GB2312" w:cs="仿宋_GB2312"/>
          <w:sz w:val="32"/>
          <w:szCs w:val="32"/>
        </w:rPr>
        <w:t>国有资本经营预算财政拨款支出决算表</w:t>
      </w:r>
    </w:p>
    <w:p w14:paraId="1E128609">
      <w:pPr>
        <w:pStyle w:val="14"/>
        <w:adjustRightInd w:val="0"/>
        <w:snapToGrid w:val="0"/>
        <w:spacing w:line="560" w:lineRule="exact"/>
        <w:jc w:val="left"/>
        <w:rPr>
          <w:rFonts w:eastAsia="仿宋_GB2312" w:cs="仿宋_GB2312"/>
          <w:sz w:val="32"/>
          <w:szCs w:val="32"/>
        </w:rPr>
      </w:pPr>
      <w:bookmarkStart w:id="68" w:name="_Toc15396631"/>
      <w:r>
        <w:rPr>
          <w:rFonts w:hint="eastAsia" w:eastAsia="仿宋_GB2312" w:cs="仿宋_GB2312"/>
          <w:sz w:val="32"/>
          <w:szCs w:val="32"/>
        </w:rPr>
        <w:t>十三、</w:t>
      </w:r>
      <w:bookmarkEnd w:id="68"/>
      <w:r>
        <w:rPr>
          <w:rFonts w:hint="eastAsia" w:eastAsia="仿宋_GB2312" w:cs="仿宋_GB2312"/>
          <w:sz w:val="32"/>
          <w:szCs w:val="32"/>
        </w:rPr>
        <w:t>财政拨款“三公”经费支出决算表</w:t>
      </w:r>
    </w:p>
    <w:p w14:paraId="47ACD63E"/>
    <w:sectPr>
      <w:footerReference r:id="rId14" w:type="default"/>
      <w:pgSz w:w="11906" w:h="16838"/>
      <w:pgMar w:top="1440" w:right="1800" w:bottom="1440" w:left="1800" w:header="851" w:footer="992" w:gutter="0"/>
      <w:pgNumType w:fmt="numberInDash" w:start="3"/>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37485EB-4442-4C41-8A4B-40D742398C6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686E28E7-BC3D-439B-8A56-5EF8AC1A73B1}"/>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embedRegular r:id="rId3" w:fontKey="{548B8FCA-8BEA-4C78-A23E-F401A90A01B0}"/>
  </w:font>
  <w:font w:name="仿宋">
    <w:panose1 w:val="02010609060101010101"/>
    <w:charset w:val="86"/>
    <w:family w:val="modern"/>
    <w:pitch w:val="default"/>
    <w:sig w:usb0="800002BF" w:usb1="38CF7CFA" w:usb2="00000016" w:usb3="00000000" w:csb0="00040001" w:csb1="00000000"/>
    <w:embedRegular r:id="rId4" w:fontKey="{14B2C8C0-16E7-4474-837C-6B3B134E71B2}"/>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auto"/>
    <w:pitch w:val="default"/>
    <w:sig w:usb0="00000001" w:usb1="08000000" w:usb2="00000000" w:usb3="00000000" w:csb0="00040000" w:csb1="00000000"/>
    <w:embedRegular r:id="rId5" w:fontKey="{7DA108D1-20A9-454C-8503-FA99D3E30451}"/>
  </w:font>
  <w:font w:name="楷体_GB2312">
    <w:altName w:val="楷体"/>
    <w:panose1 w:val="02010609030101010101"/>
    <w:charset w:val="86"/>
    <w:family w:val="modern"/>
    <w:pitch w:val="default"/>
    <w:sig w:usb0="00000000" w:usb1="00000000" w:usb2="00000010" w:usb3="00000000" w:csb0="00040000" w:csb1="00000000"/>
    <w:embedRegular r:id="rId6" w:fontKey="{43E600C9-AD7E-411D-8922-C9C5DE54C9AD}"/>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FD864">
    <w:pPr>
      <w:pStyle w:val="11"/>
      <w:jc w:val="center"/>
    </w:pPr>
  </w:p>
  <w:p w14:paraId="7A1D2CAC">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C8E7">
    <w:pPr>
      <w:pStyle w:val="11"/>
      <w:jc w:val="center"/>
    </w:pPr>
  </w:p>
  <w:p w14:paraId="14E22395">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6CE9F">
    <w:pPr>
      <w:pStyle w:val="11"/>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2D1994">
                          <w:pPr>
                            <w:pStyle w:val="11"/>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402D1994">
                    <w:pPr>
                      <w:pStyle w:val="11"/>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231E7">
    <w:pPr>
      <w:pStyle w:val="11"/>
      <w:jc w:val="center"/>
    </w:pPr>
  </w:p>
  <w:p w14:paraId="064127D7">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93064">
    <w:pPr>
      <w:pStyle w:val="11"/>
      <w:jc w:val="center"/>
    </w:pPr>
  </w:p>
  <w:p w14:paraId="4172516F">
    <w:pPr>
      <w:pStyle w:val="1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D32EE">
    <w:pPr>
      <w:pStyle w:val="11"/>
      <w:jc w:val="center"/>
    </w:pPr>
    <w: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9D6A0F">
                          <w:pPr>
                            <w:pStyle w:val="11"/>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x+U5ssAgAAV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H5TmywCAABXBAAADgAAAAAAAAABACAAAAAfAQAAZHJzL2Uyb0RvYy54bWxQSwUGAAAAAAYA&#10;BgBZAQAAvQUAAAAA&#10;">
              <v:fill on="f" focussize="0,0"/>
              <v:stroke on="f" weight="0.5pt"/>
              <v:imagedata o:title=""/>
              <o:lock v:ext="edit" aspectratio="f"/>
              <v:textbox inset="0mm,0mm,0mm,0mm" style="mso-fit-shape-to-text:t;">
                <w:txbxContent>
                  <w:p w14:paraId="609D6A0F">
                    <w:pPr>
                      <w:pStyle w:val="11"/>
                    </w:pPr>
                    <w:r>
                      <w:fldChar w:fldCharType="begin"/>
                    </w:r>
                    <w:r>
                      <w:instrText xml:space="preserve"> PAGE  \* MERGEFORMAT </w:instrText>
                    </w:r>
                    <w:r>
                      <w:fldChar w:fldCharType="separate"/>
                    </w:r>
                    <w:r>
                      <w:t>- 1 -</w:t>
                    </w:r>
                    <w:r>
                      <w:fldChar w:fldCharType="end"/>
                    </w:r>
                  </w:p>
                </w:txbxContent>
              </v:textbox>
            </v:shape>
          </w:pict>
        </mc:Fallback>
      </mc:AlternateContent>
    </w:r>
  </w:p>
  <w:p w14:paraId="2B679C2B">
    <w:pPr>
      <w:pStyle w:val="1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E26CA">
    <w:pPr>
      <w:pStyle w:val="11"/>
    </w:pPr>
    <w:r>
      <mc:AlternateContent>
        <mc:Choice Requires="wps">
          <w:drawing>
            <wp:anchor distT="0" distB="0" distL="114300" distR="114300" simplePos="0" relativeHeight="251668480" behindDoc="0" locked="0" layoutInCell="1" allowOverlap="1">
              <wp:simplePos x="0" y="0"/>
              <wp:positionH relativeFrom="margin">
                <wp:align>right</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499D8A">
                          <w:pPr>
                            <w:pStyle w:val="11"/>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opls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OrK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SoplstAgAAVwQAAA4AAAAAAAAAAQAgAAAAHwEAAGRycy9lMm9Eb2MueG1sUEsFBgAAAAAG&#10;AAYAWQEAAL4FAAAAAA==&#10;">
              <v:fill on="f" focussize="0,0"/>
              <v:stroke on="f" weight="0.5pt"/>
              <v:imagedata o:title=""/>
              <o:lock v:ext="edit" aspectratio="f"/>
              <v:textbox inset="0mm,0mm,0mm,0mm" style="mso-fit-shape-to-text:t;">
                <w:txbxContent>
                  <w:p w14:paraId="7F499D8A">
                    <w:pPr>
                      <w:pStyle w:val="11"/>
                    </w:pPr>
                    <w:r>
                      <w:fldChar w:fldCharType="begin"/>
                    </w:r>
                    <w:r>
                      <w:instrText xml:space="preserve"> PAGE  \* MERGEFORMAT </w:instrText>
                    </w:r>
                    <w:r>
                      <w:fldChar w:fldCharType="separate"/>
                    </w:r>
                    <w:r>
                      <w:t>- 1 -</w:t>
                    </w:r>
                    <w:r>
                      <w:fldChar w:fldCharType="end"/>
                    </w:r>
                  </w:p>
                </w:txbxContent>
              </v:textbox>
            </v:shape>
          </w:pict>
        </mc:Fallback>
      </mc:AlternateContent>
    </w:r>
  </w:p>
  <w:p w14:paraId="56B2FA09">
    <w:pPr>
      <w:pStyle w:val="1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39EEE">
    <w:pPr>
      <w:pStyle w:val="11"/>
      <w:jc w:val="center"/>
    </w:pPr>
    <w:r>
      <mc:AlternateContent>
        <mc:Choice Requires="wps">
          <w:drawing>
            <wp:anchor distT="0" distB="0" distL="114300" distR="114300" simplePos="0" relativeHeight="251669504" behindDoc="0" locked="0" layoutInCell="1" allowOverlap="1">
              <wp:simplePos x="0" y="0"/>
              <wp:positionH relativeFrom="margin">
                <wp:align>right</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BCFE2B">
                          <w:pPr>
                            <w:pStyle w:val="11"/>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l9RstAgAAVw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PrK0o0U6j4+fu3&#10;849f559fCc4gUGP9HHGPFpGhfWtatM1w7nEYebelU/ELRgR+yHu6yCvaQHi8NJvOZmO4OHzDBvjZ&#10;03XrfHgnjCLRyKlD/ZKs7Lj1oQsdQmI2bTa1lKmGUpMmpzdX1+N04eIBuNTIEUl0j41WaHdtz2xn&#10;ihOIOdP1hrd8UyP5lvnwwByaAQ/GuIR7LKU0SGJ6i5LKuC//Oo/xqBG8lDRorpxqzBIl8r1G7QAY&#10;BsMNxm4w9EHdGXTrBGNoeTJxwQU5mKUz6jNmaBVzwMU0R6achsG8C12DYwa5WK1SELrNsrDVj5ZH&#10;6Ciet6tDgIBJ1yhKp0SvFfotVaafjdjQf+5T1NP/YP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zl9RstAgAAVwQAAA4AAAAAAAAAAQAgAAAAHwEAAGRycy9lMm9Eb2MueG1sUEsFBgAAAAAG&#10;AAYAWQEAAL4FAAAAAA==&#10;">
              <v:fill on="f" focussize="0,0"/>
              <v:stroke on="f" weight="0.5pt"/>
              <v:imagedata o:title=""/>
              <o:lock v:ext="edit" aspectratio="f"/>
              <v:textbox inset="0mm,0mm,0mm,0mm" style="mso-fit-shape-to-text:t;">
                <w:txbxContent>
                  <w:p w14:paraId="0FBCFE2B">
                    <w:pPr>
                      <w:pStyle w:val="11"/>
                    </w:pPr>
                    <w:r>
                      <w:fldChar w:fldCharType="begin"/>
                    </w:r>
                    <w:r>
                      <w:instrText xml:space="preserve"> PAGE  \* MERGEFORMAT </w:instrText>
                    </w:r>
                    <w:r>
                      <w:fldChar w:fldCharType="separate"/>
                    </w:r>
                    <w:r>
                      <w:t>- 2 -</w:t>
                    </w:r>
                    <w:r>
                      <w:fldChar w:fldCharType="end"/>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E7C3A">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2F1E7C3A">
                    <w:pPr>
                      <w:pStyle w:val="11"/>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A429B5">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27A429B5">
                    <w:pPr>
                      <w:pStyle w:val="11"/>
                    </w:pPr>
                  </w:p>
                </w:txbxContent>
              </v:textbox>
            </v:shape>
          </w:pict>
        </mc:Fallback>
      </mc:AlternateContent>
    </w:r>
  </w:p>
  <w:p w14:paraId="36F4F863">
    <w:pPr>
      <w:pStyle w:val="1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41FC7">
    <w:pPr>
      <w:pStyle w:val="1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D0DB4E">
                          <w:pPr>
                            <w:pStyle w:val="11"/>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5D0DB4E">
                    <w:pPr>
                      <w:pStyle w:val="11"/>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D9BCE">
    <w:pPr>
      <w:pStyle w:val="11"/>
      <w:jc w:val="both"/>
    </w:pPr>
    <w:r>
      <mc:AlternateContent>
        <mc:Choice Requires="wps">
          <w:drawing>
            <wp:anchor distT="0" distB="0" distL="114300" distR="114300" simplePos="0" relativeHeight="251670528" behindDoc="0" locked="0" layoutInCell="1" allowOverlap="1">
              <wp:simplePos x="0" y="0"/>
              <wp:positionH relativeFrom="margin">
                <wp:align>right</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77EE05">
                          <w:pPr>
                            <w:pStyle w:val="11"/>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DPAEtAgAAV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PUDPAEtAgAAVwQAAA4AAAAAAAAAAQAgAAAAHwEAAGRycy9lMm9Eb2MueG1sUEsFBgAAAAAG&#10;AAYAWQEAAL4FAAAAAA==&#10;">
              <v:fill on="f" focussize="0,0"/>
              <v:stroke on="f" weight="0.5pt"/>
              <v:imagedata o:title=""/>
              <o:lock v:ext="edit" aspectratio="f"/>
              <v:textbox inset="0mm,0mm,0mm,0mm" style="mso-fit-shape-to-text:t;">
                <w:txbxContent>
                  <w:p w14:paraId="4F77EE05">
                    <w:pPr>
                      <w:pStyle w:val="11"/>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FACD8">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XU/0tAgAAVw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Ora0o0U6j4+fu3&#10;849f559fCc4gUGP9HHGPFpGhfWtatM1w7nEYebelU/ELRgR+yHu6yCvaQHi8NJvOZmO4OHzDBvjZ&#10;03XrfHgnjCLRyKlD/ZKs7Lj1oQsdQmI2bTa1lKmGUpMmpzdX1+N04eIBuNTIEUl0j41WaHdtz2xn&#10;ihOIOdP1hrd8UyP5lvnwwByaAQ/GuIR7LKU0SGJ6i5LKuC//Oo/xqBG8lDRorpxqzBIl8r1G7QAY&#10;BsMNxm4w9EHdGXTrBGNoeTJxwQU5mKUz6jNmaBVzwMU0R6achsG8C12DYwa5WK1SELrNsrDVj5ZH&#10;6Ciet6tDgIBJ1yhKp0SvFfotVaafjdjQf+5T1NP/YP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xXU/0tAgAAVwQAAA4AAAAAAAAAAQAgAAAAHwEAAGRycy9lMm9Eb2MueG1sUEsFBgAAAAAG&#10;AAYAWQEAAL4FAAAAAA==&#10;">
              <v:fill on="f" focussize="0,0"/>
              <v:stroke on="f" weight="0.5pt"/>
              <v:imagedata o:title=""/>
              <o:lock v:ext="edit" aspectratio="f"/>
              <v:textbox inset="0mm,0mm,0mm,0mm" style="mso-fit-shape-to-text:t;">
                <w:txbxContent>
                  <w:p w14:paraId="78DFACD8">
                    <w:pPr>
                      <w:pStyle w:val="11"/>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9513D3">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SBpj0tAgAAV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SBpj0tAgAAVwQAAA4AAAAAAAAAAQAgAAAAHwEAAGRycy9lMm9Eb2MueG1sUEsFBgAAAAAG&#10;AAYAWQEAAL4FAAAAAA==&#10;">
              <v:fill on="f" focussize="0,0"/>
              <v:stroke on="f" weight="0.5pt"/>
              <v:imagedata o:title=""/>
              <o:lock v:ext="edit" aspectratio="f"/>
              <v:textbox inset="0mm,0mm,0mm,0mm" style="mso-fit-shape-to-text:t;">
                <w:txbxContent>
                  <w:p w14:paraId="109513D3">
                    <w:pPr>
                      <w:pStyle w:val="11"/>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F0687">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EC695">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368E0"/>
    <w:multiLevelType w:val="singleLevel"/>
    <w:tmpl w:val="81F368E0"/>
    <w:lvl w:ilvl="0" w:tentative="0">
      <w:start w:val="1"/>
      <w:numFmt w:val="chineseCounting"/>
      <w:suff w:val="nothing"/>
      <w:lvlText w:val="%1、"/>
      <w:lvlJc w:val="left"/>
      <w:rPr>
        <w:rFonts w:hint="eastAsia"/>
      </w:rPr>
    </w:lvl>
  </w:abstractNum>
  <w:abstractNum w:abstractNumId="1">
    <w:nsid w:val="37F503EF"/>
    <w:multiLevelType w:val="singleLevel"/>
    <w:tmpl w:val="37F503EF"/>
    <w:lvl w:ilvl="0" w:tentative="0">
      <w:start w:val="1"/>
      <w:numFmt w:val="decimal"/>
      <w:lvlText w:val="%1."/>
      <w:lvlJc w:val="left"/>
      <w:pPr>
        <w:tabs>
          <w:tab w:val="left" w:pos="312"/>
        </w:tabs>
      </w:pPr>
    </w:lvl>
  </w:abstractNum>
  <w:abstractNum w:abstractNumId="2">
    <w:nsid w:val="7889A4B7"/>
    <w:multiLevelType w:val="singleLevel"/>
    <w:tmpl w:val="7889A4B7"/>
    <w:lvl w:ilvl="0" w:tentative="0">
      <w:start w:val="1"/>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38B"/>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557E3"/>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4BB"/>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86597"/>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0089"/>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0016E9"/>
    <w:rsid w:val="02FEBE30"/>
    <w:rsid w:val="04916F1E"/>
    <w:rsid w:val="061E35DE"/>
    <w:rsid w:val="065C6D08"/>
    <w:rsid w:val="066E0107"/>
    <w:rsid w:val="06CF5A14"/>
    <w:rsid w:val="06FD1421"/>
    <w:rsid w:val="07996F6E"/>
    <w:rsid w:val="07DFD8BA"/>
    <w:rsid w:val="08A90334"/>
    <w:rsid w:val="09867E8F"/>
    <w:rsid w:val="0A2032A3"/>
    <w:rsid w:val="0CA8290A"/>
    <w:rsid w:val="0D35B1ED"/>
    <w:rsid w:val="0E254B6B"/>
    <w:rsid w:val="0F98263C"/>
    <w:rsid w:val="101860EC"/>
    <w:rsid w:val="101F47CC"/>
    <w:rsid w:val="10C055FF"/>
    <w:rsid w:val="11694EBD"/>
    <w:rsid w:val="11772AA4"/>
    <w:rsid w:val="118107EC"/>
    <w:rsid w:val="12E24EE2"/>
    <w:rsid w:val="13D50BC4"/>
    <w:rsid w:val="14024ED8"/>
    <w:rsid w:val="147B2A31"/>
    <w:rsid w:val="14B17F78"/>
    <w:rsid w:val="165E0673"/>
    <w:rsid w:val="16B831D5"/>
    <w:rsid w:val="16BB723D"/>
    <w:rsid w:val="17E50567"/>
    <w:rsid w:val="186504BB"/>
    <w:rsid w:val="1899211B"/>
    <w:rsid w:val="19A445FC"/>
    <w:rsid w:val="1ACD08AB"/>
    <w:rsid w:val="1BE8440E"/>
    <w:rsid w:val="1C263E6E"/>
    <w:rsid w:val="1D13632A"/>
    <w:rsid w:val="1D155CEE"/>
    <w:rsid w:val="1D1638FE"/>
    <w:rsid w:val="1E312DEB"/>
    <w:rsid w:val="1E740ACF"/>
    <w:rsid w:val="1FF35744"/>
    <w:rsid w:val="1FF6BC77"/>
    <w:rsid w:val="2186353C"/>
    <w:rsid w:val="23860B96"/>
    <w:rsid w:val="240371BF"/>
    <w:rsid w:val="244F3473"/>
    <w:rsid w:val="24C97D99"/>
    <w:rsid w:val="25A718F0"/>
    <w:rsid w:val="25BB59F6"/>
    <w:rsid w:val="260F557C"/>
    <w:rsid w:val="26970054"/>
    <w:rsid w:val="281408E2"/>
    <w:rsid w:val="29FD04D3"/>
    <w:rsid w:val="2BFF7BC6"/>
    <w:rsid w:val="2C8A61B5"/>
    <w:rsid w:val="2DF04E50"/>
    <w:rsid w:val="2E586DFA"/>
    <w:rsid w:val="2F040D46"/>
    <w:rsid w:val="2F6B035B"/>
    <w:rsid w:val="2FAE5751"/>
    <w:rsid w:val="2FB1A395"/>
    <w:rsid w:val="2FD9A7D8"/>
    <w:rsid w:val="2FDBF714"/>
    <w:rsid w:val="30AB6865"/>
    <w:rsid w:val="319F7F4E"/>
    <w:rsid w:val="32BD1EF1"/>
    <w:rsid w:val="3304709D"/>
    <w:rsid w:val="33A773CB"/>
    <w:rsid w:val="349D6851"/>
    <w:rsid w:val="36AA5135"/>
    <w:rsid w:val="36BE0DA7"/>
    <w:rsid w:val="376B6AA6"/>
    <w:rsid w:val="376D39B2"/>
    <w:rsid w:val="37E16F03"/>
    <w:rsid w:val="37F53A3B"/>
    <w:rsid w:val="389B6C89"/>
    <w:rsid w:val="38D469F0"/>
    <w:rsid w:val="38E51705"/>
    <w:rsid w:val="39627CCD"/>
    <w:rsid w:val="397BAF1F"/>
    <w:rsid w:val="3AB79AF3"/>
    <w:rsid w:val="3AE834C0"/>
    <w:rsid w:val="3B7EF35A"/>
    <w:rsid w:val="3B9FDB6C"/>
    <w:rsid w:val="3BF5BC2F"/>
    <w:rsid w:val="3CEBA265"/>
    <w:rsid w:val="3D98207C"/>
    <w:rsid w:val="3DEE7CF3"/>
    <w:rsid w:val="3E740A63"/>
    <w:rsid w:val="3E78745D"/>
    <w:rsid w:val="3EE17838"/>
    <w:rsid w:val="3F55381A"/>
    <w:rsid w:val="3F7F7599"/>
    <w:rsid w:val="3FF4CAE0"/>
    <w:rsid w:val="3FF7B227"/>
    <w:rsid w:val="401B0614"/>
    <w:rsid w:val="414D2975"/>
    <w:rsid w:val="434A1D0D"/>
    <w:rsid w:val="44E268DA"/>
    <w:rsid w:val="450D13D7"/>
    <w:rsid w:val="45506656"/>
    <w:rsid w:val="486A6C7A"/>
    <w:rsid w:val="48DD5069"/>
    <w:rsid w:val="4A627F82"/>
    <w:rsid w:val="4B0E749A"/>
    <w:rsid w:val="4B2477C4"/>
    <w:rsid w:val="4B4F25DA"/>
    <w:rsid w:val="4BE068DB"/>
    <w:rsid w:val="4D577224"/>
    <w:rsid w:val="4DBF1CEB"/>
    <w:rsid w:val="4DF0007C"/>
    <w:rsid w:val="4EAB630A"/>
    <w:rsid w:val="4ECE2238"/>
    <w:rsid w:val="4F833267"/>
    <w:rsid w:val="4FE9BD67"/>
    <w:rsid w:val="4FFB052F"/>
    <w:rsid w:val="537E6D0A"/>
    <w:rsid w:val="53F74C96"/>
    <w:rsid w:val="55170BA8"/>
    <w:rsid w:val="551852A8"/>
    <w:rsid w:val="553218C9"/>
    <w:rsid w:val="567E1AA5"/>
    <w:rsid w:val="56E47B74"/>
    <w:rsid w:val="57175D52"/>
    <w:rsid w:val="57BD3DD4"/>
    <w:rsid w:val="5AF92295"/>
    <w:rsid w:val="5B250254"/>
    <w:rsid w:val="5BDD79E6"/>
    <w:rsid w:val="5BF561CA"/>
    <w:rsid w:val="5BFF5DFC"/>
    <w:rsid w:val="5CD71FC4"/>
    <w:rsid w:val="5D1F11B5"/>
    <w:rsid w:val="5D695134"/>
    <w:rsid w:val="5DAE1B18"/>
    <w:rsid w:val="5DE7D9E5"/>
    <w:rsid w:val="5ECEC941"/>
    <w:rsid w:val="5FBF4BA3"/>
    <w:rsid w:val="5FBF9FF3"/>
    <w:rsid w:val="5FCD4E2C"/>
    <w:rsid w:val="5FEF394A"/>
    <w:rsid w:val="5FF67715"/>
    <w:rsid w:val="62BF3928"/>
    <w:rsid w:val="63B3701E"/>
    <w:rsid w:val="647F5392"/>
    <w:rsid w:val="65E66580"/>
    <w:rsid w:val="664B1D71"/>
    <w:rsid w:val="664B4E8E"/>
    <w:rsid w:val="67277B67"/>
    <w:rsid w:val="67AA3209"/>
    <w:rsid w:val="698D0931"/>
    <w:rsid w:val="6A7FE5F3"/>
    <w:rsid w:val="6B053271"/>
    <w:rsid w:val="6BDD78B3"/>
    <w:rsid w:val="6C4A05C8"/>
    <w:rsid w:val="6C8742B8"/>
    <w:rsid w:val="6DBF5E93"/>
    <w:rsid w:val="6DFF077E"/>
    <w:rsid w:val="6E714EF0"/>
    <w:rsid w:val="6E7E3605"/>
    <w:rsid w:val="6E7FDCC7"/>
    <w:rsid w:val="6ED6A62E"/>
    <w:rsid w:val="6EE00B15"/>
    <w:rsid w:val="6F6FB3EB"/>
    <w:rsid w:val="6F8731EA"/>
    <w:rsid w:val="6FCE6052"/>
    <w:rsid w:val="6FD57C00"/>
    <w:rsid w:val="6FEFFFD8"/>
    <w:rsid w:val="6FF5CC65"/>
    <w:rsid w:val="6FFB47EC"/>
    <w:rsid w:val="6FFF034A"/>
    <w:rsid w:val="70484440"/>
    <w:rsid w:val="712A28F1"/>
    <w:rsid w:val="715C0E4B"/>
    <w:rsid w:val="71992E7C"/>
    <w:rsid w:val="72233669"/>
    <w:rsid w:val="72734D90"/>
    <w:rsid w:val="73160E6D"/>
    <w:rsid w:val="7332FE48"/>
    <w:rsid w:val="73AB61DA"/>
    <w:rsid w:val="73AD73D5"/>
    <w:rsid w:val="73B6EB34"/>
    <w:rsid w:val="73CA6DC7"/>
    <w:rsid w:val="73FA497D"/>
    <w:rsid w:val="744731E5"/>
    <w:rsid w:val="74BBD01D"/>
    <w:rsid w:val="74ED5379"/>
    <w:rsid w:val="75DEEEC2"/>
    <w:rsid w:val="75E32345"/>
    <w:rsid w:val="76E3355F"/>
    <w:rsid w:val="76FF5125"/>
    <w:rsid w:val="776F6FFA"/>
    <w:rsid w:val="778769C8"/>
    <w:rsid w:val="77A75DCA"/>
    <w:rsid w:val="77DC22F5"/>
    <w:rsid w:val="783E271A"/>
    <w:rsid w:val="78616DE9"/>
    <w:rsid w:val="78E875D7"/>
    <w:rsid w:val="79086DAD"/>
    <w:rsid w:val="79D7FD79"/>
    <w:rsid w:val="79EE5BA4"/>
    <w:rsid w:val="7A11696F"/>
    <w:rsid w:val="7A894339"/>
    <w:rsid w:val="7A8A21DD"/>
    <w:rsid w:val="7AD284E8"/>
    <w:rsid w:val="7AFF7572"/>
    <w:rsid w:val="7B6C7DFB"/>
    <w:rsid w:val="7BBFBED0"/>
    <w:rsid w:val="7BC3E394"/>
    <w:rsid w:val="7C1F3737"/>
    <w:rsid w:val="7CBFC87B"/>
    <w:rsid w:val="7CFE0F4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next w:val="1"/>
    <w:unhideWhenUsed/>
    <w:qFormat/>
    <w:uiPriority w:val="99"/>
    <w:pPr>
      <w:ind w:firstLine="420" w:firstLineChars="200"/>
    </w:pPr>
  </w:style>
  <w:style w:type="paragraph" w:styleId="4">
    <w:name w:val="Body Text Indent"/>
    <w:basedOn w:val="1"/>
    <w:next w:val="3"/>
    <w:qFormat/>
    <w:uiPriority w:val="0"/>
    <w:pPr>
      <w:spacing w:after="120"/>
      <w:ind w:left="200" w:leftChars="200"/>
    </w:pPr>
    <w:rPr>
      <w:rFonts w:ascii="仿宋_GB2312"/>
      <w:szCs w:val="32"/>
    </w:rPr>
  </w:style>
  <w:style w:type="paragraph" w:styleId="8">
    <w:name w:val="Body Text"/>
    <w:basedOn w:val="1"/>
    <w:link w:val="25"/>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1"/>
    <w:semiHidden/>
    <w:unhideWhenUsed/>
    <w:qFormat/>
    <w:uiPriority w:val="99"/>
    <w:rPr>
      <w:sz w:val="18"/>
      <w:szCs w:val="18"/>
    </w:rPr>
  </w:style>
  <w:style w:type="paragraph" w:styleId="11">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字符"/>
    <w:link w:val="12"/>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字符"/>
    <w:link w:val="11"/>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字符"/>
    <w:link w:val="8"/>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字符"/>
    <w:basedOn w:val="16"/>
    <w:link w:val="5"/>
    <w:qFormat/>
    <w:uiPriority w:val="9"/>
    <w:rPr>
      <w:rFonts w:ascii="Times New Roman" w:hAnsi="Times New Roman"/>
      <w:b/>
      <w:bCs/>
      <w:kern w:val="44"/>
      <w:sz w:val="44"/>
      <w:szCs w:val="44"/>
    </w:rPr>
  </w:style>
  <w:style w:type="character" w:customStyle="1" w:styleId="29">
    <w:name w:val="标题 2 字符"/>
    <w:basedOn w:val="16"/>
    <w:link w:val="6"/>
    <w:qFormat/>
    <w:uiPriority w:val="9"/>
    <w:rPr>
      <w:rFonts w:asciiTheme="majorHAnsi" w:hAnsiTheme="majorHAnsi" w:eastAsiaTheme="majorEastAsia" w:cstheme="majorBidi"/>
      <w:b/>
      <w:bCs/>
      <w:kern w:val="2"/>
      <w:sz w:val="32"/>
      <w:szCs w:val="32"/>
    </w:rPr>
  </w:style>
  <w:style w:type="paragraph" w:customStyle="1" w:styleId="30">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字符"/>
    <w:basedOn w:val="16"/>
    <w:link w:val="10"/>
    <w:semiHidden/>
    <w:qFormat/>
    <w:uiPriority w:val="99"/>
    <w:rPr>
      <w:rFonts w:ascii="Times New Roman" w:hAnsi="Times New Roman"/>
      <w:kern w:val="2"/>
      <w:sz w:val="18"/>
      <w:szCs w:val="18"/>
    </w:rPr>
  </w:style>
  <w:style w:type="character" w:customStyle="1" w:styleId="32">
    <w:name w:val="标题 3 字符"/>
    <w:basedOn w:val="16"/>
    <w:link w:val="7"/>
    <w:qFormat/>
    <w:uiPriority w:val="9"/>
    <w:rPr>
      <w:rFonts w:ascii="Times New Roman" w:hAnsi="Times New Roman"/>
      <w:b/>
      <w:bCs/>
      <w:kern w:val="2"/>
      <w:sz w:val="32"/>
      <w:szCs w:val="32"/>
    </w:rPr>
  </w:style>
  <w:style w:type="paragraph" w:customStyle="1" w:styleId="33">
    <w:name w:val="TOC 标题2"/>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color w:val="000000"/>
      <w:kern w:val="0"/>
      <w:sz w:val="28"/>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image" Target="media/image7.emf"/><Relationship Id="rId28" Type="http://schemas.openxmlformats.org/officeDocument/2006/relationships/oleObject" Target="embeddings/Workbook7.xls"/><Relationship Id="rId27" Type="http://schemas.openxmlformats.org/officeDocument/2006/relationships/image" Target="media/image6.emf"/><Relationship Id="rId26" Type="http://schemas.openxmlformats.org/officeDocument/2006/relationships/oleObject" Target="embeddings/Workbook6.xls"/><Relationship Id="rId25" Type="http://schemas.openxmlformats.org/officeDocument/2006/relationships/image" Target="media/image5.emf"/><Relationship Id="rId24" Type="http://schemas.openxmlformats.org/officeDocument/2006/relationships/oleObject" Target="embeddings/Workbook5.xls"/><Relationship Id="rId23" Type="http://schemas.openxmlformats.org/officeDocument/2006/relationships/image" Target="media/image4.emf"/><Relationship Id="rId22" Type="http://schemas.openxmlformats.org/officeDocument/2006/relationships/oleObject" Target="embeddings/Workbook4.xls"/><Relationship Id="rId21" Type="http://schemas.openxmlformats.org/officeDocument/2006/relationships/image" Target="media/image3.emf"/><Relationship Id="rId20" Type="http://schemas.openxmlformats.org/officeDocument/2006/relationships/oleObject" Target="embeddings/Workbook3.xls"/><Relationship Id="rId2" Type="http://schemas.openxmlformats.org/officeDocument/2006/relationships/settings" Target="settings.xml"/><Relationship Id="rId19" Type="http://schemas.openxmlformats.org/officeDocument/2006/relationships/image" Target="media/image2.emf"/><Relationship Id="rId18" Type="http://schemas.openxmlformats.org/officeDocument/2006/relationships/oleObject" Target="embeddings/Workbook2.xls"/><Relationship Id="rId17" Type="http://schemas.openxmlformats.org/officeDocument/2006/relationships/image" Target="media/image1.emf"/><Relationship Id="rId16" Type="http://schemas.openxmlformats.org/officeDocument/2006/relationships/oleObject" Target="embeddings/Workbook1.xls"/><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Info spid="_x0000_s2051"/>
    <customShpInfo spid="_x0000_s2052"/>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21</Pages>
  <Words>1138</Words>
  <Characters>1237</Characters>
  <Lines>47</Lines>
  <Paragraphs>13</Paragraphs>
  <TotalTime>7</TotalTime>
  <ScaleCrop>false</ScaleCrop>
  <LinksUpToDate>false</LinksUpToDate>
  <CharactersWithSpaces>1279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ying ying Z </cp:lastModifiedBy>
  <cp:lastPrinted>2025-08-06T17:34:00Z</cp:lastPrinted>
  <dcterms:modified xsi:type="dcterms:W3CDTF">2026-09-10T07:08:26Z</dcterms:modified>
  <dc:title>四川省***</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7DE4AD5C051446F8B916201B8FA3F0A8_13</vt:lpwstr>
  </property>
  <property fmtid="{D5CDD505-2E9C-101B-9397-08002B2CF9AE}" pid="4" name="KSOTemplateDocerSaveRecord">
    <vt:lpwstr>eyJoZGlkIjoiNTg3YjI3Zjc2MzNiOTAzMWQ3ZTE0ODk2ZjQ0ZjFkZmMiLCJ1c2VySWQiOiIzMzE4NzY0OTMifQ==</vt:lpwstr>
  </property>
</Properties>
</file>