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07A776">
      <w:pPr>
        <w:pStyle w:val="2"/>
        <w:spacing w:before="93"/>
        <w:rPr>
          <w:rFonts w:hint="default" w:ascii="Times New Roman" w:hAnsi="Times New Roman" w:eastAsia="方正小标宋简体" w:cs="Times New Roman"/>
          <w:kern w:val="2"/>
          <w:sz w:val="72"/>
          <w:szCs w:val="72"/>
        </w:rPr>
      </w:pPr>
      <w:bookmarkStart w:id="0" w:name="_Toc15378441"/>
      <w:bookmarkStart w:id="1" w:name="_Toc15396475"/>
      <w:bookmarkStart w:id="2" w:name="_Toc15396597"/>
      <w:bookmarkStart w:id="3" w:name="_Toc15377193"/>
      <w:bookmarkStart w:id="4" w:name="_Toc15377425"/>
      <w:bookmarkStart w:id="5" w:name="_Toc15306267"/>
    </w:p>
    <w:p w14:paraId="60F5A8F1">
      <w:pPr>
        <w:pStyle w:val="2"/>
        <w:spacing w:before="93"/>
        <w:rPr>
          <w:rFonts w:hint="default" w:ascii="Times New Roman" w:hAnsi="Times New Roman" w:eastAsia="方正小标宋简体" w:cs="Times New Roman"/>
          <w:kern w:val="2"/>
          <w:sz w:val="72"/>
          <w:szCs w:val="72"/>
        </w:rPr>
      </w:pPr>
    </w:p>
    <w:p w14:paraId="7AD6FDDA">
      <w:pPr>
        <w:pStyle w:val="2"/>
        <w:spacing w:before="93"/>
        <w:rPr>
          <w:rFonts w:hint="default" w:ascii="Times New Roman" w:hAnsi="Times New Roman" w:eastAsia="方正小标宋简体" w:cs="Times New Roman"/>
          <w:kern w:val="2"/>
          <w:sz w:val="72"/>
          <w:szCs w:val="72"/>
        </w:rPr>
      </w:pPr>
    </w:p>
    <w:p w14:paraId="121D0F3F">
      <w:pPr>
        <w:pStyle w:val="2"/>
        <w:spacing w:before="93"/>
        <w:jc w:val="center"/>
        <w:rPr>
          <w:rFonts w:hint="default" w:ascii="Times New Roman" w:hAnsi="Times New Roman" w:eastAsia="方正小标宋简体" w:cs="Times New Roman"/>
          <w:kern w:val="2"/>
          <w:sz w:val="44"/>
          <w:szCs w:val="44"/>
        </w:rPr>
      </w:pPr>
      <w:r>
        <w:rPr>
          <w:rFonts w:hint="default" w:ascii="Times New Roman" w:hAnsi="Times New Roman" w:eastAsia="方正小标宋简体" w:cs="Times New Roman"/>
          <w:kern w:val="2"/>
          <w:sz w:val="44"/>
          <w:szCs w:val="44"/>
        </w:rPr>
        <w:t>202</w:t>
      </w:r>
      <w:r>
        <w:rPr>
          <w:rFonts w:hint="default" w:ascii="Times New Roman" w:hAnsi="Times New Roman" w:eastAsia="方正小标宋简体" w:cs="Times New Roman"/>
          <w:kern w:val="2"/>
          <w:sz w:val="44"/>
          <w:szCs w:val="44"/>
          <w:lang w:val="en-US" w:eastAsia="zh-CN"/>
        </w:rPr>
        <w:t>5</w:t>
      </w:r>
      <w:r>
        <w:rPr>
          <w:rFonts w:hint="default" w:ascii="Times New Roman" w:hAnsi="Times New Roman" w:eastAsia="方正小标宋简体" w:cs="Times New Roman"/>
          <w:kern w:val="2"/>
          <w:sz w:val="44"/>
          <w:szCs w:val="44"/>
        </w:rPr>
        <w:t>年度</w:t>
      </w:r>
      <w:r>
        <w:rPr>
          <w:rFonts w:hint="eastAsia" w:ascii="Times New Roman" w:eastAsia="方正小标宋简体" w:cs="Times New Roman"/>
          <w:kern w:val="2"/>
          <w:sz w:val="44"/>
          <w:szCs w:val="44"/>
          <w:lang w:val="en-US" w:eastAsia="zh-CN"/>
        </w:rPr>
        <w:t>四川省</w:t>
      </w:r>
      <w:r>
        <w:rPr>
          <w:rFonts w:hint="default" w:ascii="Times New Roman" w:hAnsi="Times New Roman" w:eastAsia="方正小标宋简体" w:cs="Times New Roman"/>
          <w:kern w:val="2"/>
          <w:sz w:val="44"/>
          <w:szCs w:val="44"/>
          <w:lang w:eastAsia="zh-CN"/>
        </w:rPr>
        <w:t>攀枝花市</w:t>
      </w:r>
      <w:r>
        <w:rPr>
          <w:rFonts w:hint="default" w:ascii="Times New Roman" w:hAnsi="Times New Roman" w:eastAsia="方正小标宋简体" w:cs="Times New Roman"/>
          <w:kern w:val="2"/>
          <w:sz w:val="44"/>
          <w:szCs w:val="44"/>
          <w:lang w:val="en-US" w:eastAsia="zh-CN"/>
        </w:rPr>
        <w:t>国土空间规划编制研究</w:t>
      </w:r>
      <w:r>
        <w:rPr>
          <w:rFonts w:hint="default" w:ascii="Times New Roman" w:hAnsi="Times New Roman" w:eastAsia="方正小标宋简体" w:cs="Times New Roman"/>
          <w:kern w:val="2"/>
          <w:sz w:val="44"/>
          <w:szCs w:val="44"/>
          <w:lang w:eastAsia="zh-CN"/>
        </w:rPr>
        <w:t>中心</w:t>
      </w:r>
      <w:r>
        <w:rPr>
          <w:rFonts w:hint="eastAsia" w:ascii="Times New Roman" w:eastAsia="方正小标宋简体" w:cs="Times New Roman"/>
          <w:kern w:val="2"/>
          <w:sz w:val="44"/>
          <w:szCs w:val="44"/>
          <w:lang w:val="en-US" w:eastAsia="zh-CN"/>
        </w:rPr>
        <w:t>市级</w:t>
      </w:r>
      <w:r>
        <w:rPr>
          <w:rFonts w:hint="default" w:ascii="Times New Roman" w:hAnsi="Times New Roman" w:eastAsia="方正小标宋简体" w:cs="Times New Roman"/>
          <w:kern w:val="2"/>
          <w:sz w:val="44"/>
          <w:szCs w:val="44"/>
        </w:rPr>
        <w:t>单位决算公开文字说明</w:t>
      </w:r>
    </w:p>
    <w:p w14:paraId="08602EEC">
      <w:pPr>
        <w:spacing w:line="600" w:lineRule="exact"/>
        <w:jc w:val="center"/>
        <w:outlineLvl w:val="0"/>
        <w:rPr>
          <w:rFonts w:hint="default" w:ascii="Times New Roman" w:hAnsi="Times New Roman" w:eastAsia="方正小标宋简体" w:cs="Times New Roman"/>
          <w:sz w:val="72"/>
          <w:szCs w:val="72"/>
        </w:rPr>
      </w:pPr>
    </w:p>
    <w:p w14:paraId="7137759F">
      <w:pPr>
        <w:pStyle w:val="19"/>
        <w:rPr>
          <w:rFonts w:hint="default" w:ascii="Times New Roman" w:hAnsi="Times New Roman" w:cs="Times New Roman"/>
        </w:rPr>
        <w:sectPr>
          <w:headerReference r:id="rId5" w:type="default"/>
          <w:footerReference r:id="rId7" w:type="default"/>
          <w:headerReference r:id="rId6" w:type="even"/>
          <w:footerReference r:id="rId8" w:type="even"/>
          <w:pgSz w:w="11906" w:h="16838"/>
          <w:pgMar w:top="1440" w:right="1800" w:bottom="1440" w:left="1800" w:header="851" w:footer="992" w:gutter="0"/>
          <w:pgNumType w:fmt="numberInDash" w:start="1"/>
          <w:cols w:space="425" w:num="1"/>
          <w:titlePg/>
          <w:docGrid w:type="lines" w:linePitch="312" w:charSpace="0"/>
        </w:sectPr>
      </w:pPr>
    </w:p>
    <w:p w14:paraId="7EBCD8BE">
      <w:pPr>
        <w:rPr>
          <w:rFonts w:hint="default" w:ascii="Times New Roman" w:hAnsi="Times New Roman" w:cs="Times New Roman"/>
        </w:rPr>
      </w:pPr>
    </w:p>
    <w:p w14:paraId="0DF86051">
      <w:pPr>
        <w:pStyle w:val="2"/>
        <w:spacing w:before="93"/>
        <w:jc w:val="both"/>
        <w:rPr>
          <w:rFonts w:hint="default" w:ascii="Times New Roman" w:hAnsi="Times New Roman" w:eastAsia="方正小标宋简体" w:cs="Times New Roman"/>
          <w:kern w:val="2"/>
          <w:sz w:val="44"/>
          <w:szCs w:val="44"/>
        </w:rPr>
      </w:pPr>
    </w:p>
    <w:p w14:paraId="43061D4A">
      <w:pPr>
        <w:pStyle w:val="2"/>
        <w:spacing w:before="93"/>
        <w:jc w:val="both"/>
        <w:rPr>
          <w:rFonts w:hint="default" w:ascii="Times New Roman" w:hAnsi="Times New Roman" w:eastAsia="方正小标宋简体" w:cs="Times New Roman"/>
          <w:kern w:val="2"/>
          <w:sz w:val="44"/>
          <w:szCs w:val="44"/>
        </w:rPr>
      </w:pPr>
    </w:p>
    <w:p w14:paraId="4D5A98AF">
      <w:pPr>
        <w:pStyle w:val="2"/>
        <w:spacing w:before="93"/>
        <w:jc w:val="both"/>
        <w:rPr>
          <w:rFonts w:hint="default" w:ascii="Times New Roman" w:hAnsi="Times New Roman" w:eastAsia="方正小标宋简体" w:cs="Times New Roman"/>
          <w:kern w:val="2"/>
          <w:sz w:val="44"/>
          <w:szCs w:val="44"/>
        </w:rPr>
      </w:pPr>
    </w:p>
    <w:bookmarkEnd w:id="0"/>
    <w:bookmarkEnd w:id="1"/>
    <w:bookmarkEnd w:id="2"/>
    <w:bookmarkEnd w:id="3"/>
    <w:bookmarkEnd w:id="4"/>
    <w:p w14:paraId="0062EA48">
      <w:pPr>
        <w:pStyle w:val="2"/>
        <w:spacing w:before="93"/>
        <w:ind w:left="440" w:hanging="440" w:hangingChars="100"/>
        <w:jc w:val="center"/>
        <w:rPr>
          <w:rFonts w:hint="default" w:ascii="Times New Roman" w:hAnsi="Times New Roman" w:eastAsia="方正小标宋简体" w:cs="Times New Roman"/>
          <w:kern w:val="2"/>
          <w:sz w:val="44"/>
          <w:szCs w:val="44"/>
          <w:lang w:val="en-US" w:eastAsia="zh-CN"/>
        </w:rPr>
      </w:pPr>
      <w:bookmarkStart w:id="6" w:name="_Toc15377194"/>
      <w:bookmarkStart w:id="7" w:name="_Toc15396476"/>
      <w:bookmarkStart w:id="8" w:name="_Toc15396598"/>
      <w:bookmarkStart w:id="9" w:name="_Toc15378442"/>
      <w:bookmarkStart w:id="10" w:name="_Toc15377426"/>
      <w:r>
        <w:rPr>
          <w:rFonts w:hint="default" w:ascii="Times New Roman" w:hAnsi="Times New Roman" w:eastAsia="方正小标宋简体" w:cs="Times New Roman"/>
          <w:kern w:val="2"/>
          <w:sz w:val="44"/>
          <w:szCs w:val="44"/>
        </w:rPr>
        <w:t>202</w:t>
      </w:r>
      <w:r>
        <w:rPr>
          <w:rFonts w:hint="default" w:ascii="Times New Roman" w:hAnsi="Times New Roman" w:eastAsia="方正小标宋简体" w:cs="Times New Roman"/>
          <w:kern w:val="2"/>
          <w:sz w:val="44"/>
          <w:szCs w:val="44"/>
          <w:lang w:val="en-US" w:eastAsia="zh-CN"/>
        </w:rPr>
        <w:t>5</w:t>
      </w:r>
      <w:r>
        <w:rPr>
          <w:rFonts w:hint="default" w:ascii="Times New Roman" w:hAnsi="Times New Roman" w:eastAsia="方正小标宋简体" w:cs="Times New Roman"/>
          <w:kern w:val="2"/>
          <w:sz w:val="44"/>
          <w:szCs w:val="44"/>
        </w:rPr>
        <w:t>年度</w:t>
      </w:r>
      <w:bookmarkStart w:id="11" w:name="_Toc15306268"/>
      <w:r>
        <w:rPr>
          <w:rFonts w:hint="eastAsia" w:ascii="Times New Roman" w:eastAsia="方正小标宋简体" w:cs="Times New Roman"/>
          <w:kern w:val="2"/>
          <w:sz w:val="44"/>
          <w:szCs w:val="44"/>
          <w:lang w:val="en-US" w:eastAsia="zh-CN"/>
        </w:rPr>
        <w:t>四川省</w:t>
      </w:r>
      <w:r>
        <w:rPr>
          <w:rFonts w:hint="default" w:ascii="Times New Roman" w:hAnsi="Times New Roman" w:eastAsia="方正小标宋简体" w:cs="Times New Roman"/>
          <w:kern w:val="2"/>
          <w:sz w:val="44"/>
          <w:szCs w:val="44"/>
          <w:lang w:eastAsia="zh-CN"/>
        </w:rPr>
        <w:t>攀枝花市</w:t>
      </w:r>
      <w:r>
        <w:rPr>
          <w:rFonts w:hint="default" w:ascii="Times New Roman" w:hAnsi="Times New Roman" w:eastAsia="方正小标宋简体" w:cs="Times New Roman"/>
          <w:kern w:val="2"/>
          <w:sz w:val="44"/>
          <w:szCs w:val="44"/>
          <w:lang w:val="en-US" w:eastAsia="zh-CN"/>
        </w:rPr>
        <w:t>国土空间规划</w:t>
      </w:r>
    </w:p>
    <w:p w14:paraId="39CB5DEE">
      <w:pPr>
        <w:pStyle w:val="2"/>
        <w:spacing w:before="93"/>
        <w:ind w:left="440" w:hanging="440" w:hangingChars="100"/>
        <w:jc w:val="center"/>
        <w:rPr>
          <w:rFonts w:hint="default" w:ascii="Times New Roman" w:hAnsi="Times New Roman" w:eastAsia="方正小标宋简体" w:cs="Times New Roman"/>
          <w:kern w:val="2"/>
          <w:sz w:val="44"/>
          <w:szCs w:val="44"/>
        </w:rPr>
      </w:pPr>
      <w:r>
        <w:rPr>
          <w:rFonts w:hint="default" w:ascii="Times New Roman" w:hAnsi="Times New Roman" w:eastAsia="方正小标宋简体" w:cs="Times New Roman"/>
          <w:kern w:val="2"/>
          <w:sz w:val="44"/>
          <w:szCs w:val="44"/>
          <w:lang w:val="en-US" w:eastAsia="zh-CN"/>
        </w:rPr>
        <w:t>编制研究</w:t>
      </w:r>
      <w:r>
        <w:rPr>
          <w:rFonts w:hint="default" w:ascii="Times New Roman" w:hAnsi="Times New Roman" w:eastAsia="方正小标宋简体" w:cs="Times New Roman"/>
          <w:kern w:val="2"/>
          <w:sz w:val="44"/>
          <w:szCs w:val="44"/>
          <w:lang w:eastAsia="zh-CN"/>
        </w:rPr>
        <w:t>中心单位</w:t>
      </w:r>
      <w:r>
        <w:rPr>
          <w:rFonts w:hint="default" w:ascii="Times New Roman" w:hAnsi="Times New Roman" w:eastAsia="方正小标宋简体" w:cs="Times New Roman"/>
          <w:kern w:val="2"/>
          <w:sz w:val="44"/>
          <w:szCs w:val="44"/>
        </w:rPr>
        <w:t>决算</w:t>
      </w:r>
      <w:bookmarkEnd w:id="6"/>
      <w:bookmarkEnd w:id="7"/>
      <w:bookmarkEnd w:id="8"/>
      <w:bookmarkEnd w:id="9"/>
      <w:bookmarkEnd w:id="10"/>
      <w:bookmarkEnd w:id="11"/>
    </w:p>
    <w:p w14:paraId="037739C7">
      <w:pPr>
        <w:widowControl/>
        <w:jc w:val="center"/>
        <w:rPr>
          <w:rFonts w:hint="default" w:ascii="Times New Roman" w:hAnsi="Times New Roman" w:eastAsia="黑体" w:cs="Times New Roman"/>
          <w:sz w:val="48"/>
          <w:szCs w:val="48"/>
        </w:rPr>
        <w:sectPr>
          <w:footerReference r:id="rId10" w:type="first"/>
          <w:footerReference r:id="rId9" w:type="default"/>
          <w:pgSz w:w="11906" w:h="16838"/>
          <w:pgMar w:top="1440" w:right="1800" w:bottom="1440" w:left="1800" w:header="851" w:footer="992" w:gutter="0"/>
          <w:pgNumType w:fmt="numberInDash" w:start="1"/>
          <w:cols w:space="425" w:num="1"/>
          <w:titlePg/>
          <w:docGrid w:type="lines" w:linePitch="312" w:charSpace="0"/>
        </w:sectPr>
      </w:pPr>
    </w:p>
    <w:bookmarkEnd w:id="5"/>
    <w:p w14:paraId="1162C450">
      <w:pPr>
        <w:widowControl/>
        <w:jc w:val="center"/>
        <w:rPr>
          <w:rFonts w:hint="default" w:ascii="Times New Roman" w:hAnsi="Times New Roman" w:eastAsia="黑体" w:cs="Times New Roman"/>
          <w:sz w:val="48"/>
          <w:szCs w:val="48"/>
        </w:rPr>
      </w:pPr>
      <w:bookmarkStart w:id="12" w:name="_Toc15396599"/>
      <w:bookmarkStart w:id="13" w:name="_Toc15377196"/>
      <w:r>
        <w:rPr>
          <w:rFonts w:hint="default" w:ascii="Times New Roman" w:hAnsi="Times New Roman" w:eastAsia="黑体" w:cs="Times New Roman"/>
          <w:sz w:val="48"/>
          <w:szCs w:val="48"/>
        </w:rPr>
        <w:t>目录</w:t>
      </w:r>
    </w:p>
    <w:p w14:paraId="6CA67B87">
      <w:pPr>
        <w:widowControl/>
        <w:jc w:val="center"/>
        <w:rPr>
          <w:rFonts w:hint="default" w:ascii="Times New Roman" w:hAnsi="Times New Roman" w:eastAsia="黑体" w:cs="Times New Roman"/>
          <w:sz w:val="28"/>
          <w:szCs w:val="28"/>
        </w:rPr>
      </w:pPr>
    </w:p>
    <w:p w14:paraId="6099FF23">
      <w:pPr>
        <w:pStyle w:val="11"/>
        <w:rPr>
          <w:rFonts w:hint="default" w:ascii="Times New Roman" w:hAnsi="Times New Roman" w:cs="Times New Roman"/>
        </w:rPr>
      </w:pPr>
      <w:r>
        <w:rPr>
          <w:rFonts w:hint="default" w:ascii="Times New Roman" w:hAnsi="Times New Roman" w:cs="Times New Roman"/>
        </w:rPr>
        <w:t>公开时间：202</w:t>
      </w:r>
      <w:r>
        <w:rPr>
          <w:rFonts w:hint="default" w:ascii="Times New Roman" w:hAnsi="Times New Roman" w:cs="Times New Roman"/>
          <w:lang w:val="en-US" w:eastAsia="zh-CN"/>
        </w:rPr>
        <w:t>6</w:t>
      </w:r>
      <w:r>
        <w:rPr>
          <w:rFonts w:hint="default" w:ascii="Times New Roman" w:hAnsi="Times New Roman" w:cs="Times New Roman"/>
        </w:rPr>
        <w:t>年9月</w:t>
      </w:r>
      <w:r>
        <w:rPr>
          <w:rFonts w:hint="eastAsia" w:ascii="Times New Roman" w:hAnsi="Times New Roman" w:cs="Times New Roman"/>
          <w:lang w:val="en-US" w:eastAsia="zh-CN"/>
        </w:rPr>
        <w:t>10</w:t>
      </w:r>
      <w:r>
        <w:rPr>
          <w:rFonts w:hint="default" w:ascii="Times New Roman" w:hAnsi="Times New Roman" w:cs="Times New Roman"/>
        </w:rPr>
        <w:t>日</w:t>
      </w:r>
    </w:p>
    <w:p w14:paraId="1BF66A4C">
      <w:pPr>
        <w:rPr>
          <w:rFonts w:hint="default" w:ascii="Times New Roman" w:hAnsi="Times New Roman" w:cs="Times New Roman"/>
        </w:rPr>
      </w:pPr>
    </w:p>
    <w:p w14:paraId="3F00B8ED">
      <w:pPr>
        <w:pStyle w:val="11"/>
        <w:adjustRightInd w:val="0"/>
        <w:snapToGrid w:val="0"/>
        <w:spacing w:before="0" w:line="44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第一部分单位概况</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t>3</w:t>
      </w:r>
    </w:p>
    <w:p w14:paraId="7632698B">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一、主要职责</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3</w:t>
      </w:r>
    </w:p>
    <w:p w14:paraId="6A034D66">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二、机构设置</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3</w:t>
      </w:r>
    </w:p>
    <w:p w14:paraId="2A3B9774">
      <w:pPr>
        <w:pStyle w:val="11"/>
        <w:adjustRightInd w:val="0"/>
        <w:snapToGrid w:val="0"/>
        <w:spacing w:before="0" w:line="44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第二部分 </w:t>
      </w:r>
      <w:r>
        <w:rPr>
          <w:rFonts w:hint="default" w:ascii="Times New Roman" w:hAnsi="Times New Roman" w:eastAsia="黑体" w:cs="Times New Roman"/>
          <w:sz w:val="32"/>
          <w:szCs w:val="32"/>
          <w:lang w:eastAsia="zh-CN"/>
        </w:rPr>
        <w:t>2025年</w:t>
      </w:r>
      <w:r>
        <w:rPr>
          <w:rFonts w:hint="default" w:ascii="Times New Roman" w:hAnsi="Times New Roman" w:eastAsia="黑体" w:cs="Times New Roman"/>
          <w:sz w:val="32"/>
          <w:szCs w:val="32"/>
        </w:rPr>
        <w:t>度单位决算情况说明</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t>4</w:t>
      </w:r>
    </w:p>
    <w:p w14:paraId="7F5103BA">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一、收入支出决算总体情况说明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4</w:t>
      </w:r>
    </w:p>
    <w:p w14:paraId="33040E33">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二、收入决算情况说明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4</w:t>
      </w:r>
    </w:p>
    <w:p w14:paraId="3CC9B1C7">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三、支出决算情况说明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5</w:t>
      </w:r>
    </w:p>
    <w:p w14:paraId="6B450122">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四、财政拨款收入支出决算总体情况说明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6</w:t>
      </w:r>
    </w:p>
    <w:p w14:paraId="596A1D64">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五、一般公共预算财政拨款支出决算情况说明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6</w:t>
      </w:r>
    </w:p>
    <w:p w14:paraId="45388D65">
      <w:pPr>
        <w:pStyle w:val="14"/>
        <w:adjustRightInd w:val="0"/>
        <w:snapToGrid w:val="0"/>
        <w:spacing w:line="440" w:lineRule="exact"/>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六、一般公共预算财政拨款基本支出决算情况说明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9</w:t>
      </w:r>
    </w:p>
    <w:p w14:paraId="71D2181A">
      <w:pPr>
        <w:pStyle w:val="14"/>
        <w:adjustRightInd w:val="0"/>
        <w:snapToGrid w:val="0"/>
        <w:spacing w:line="440" w:lineRule="exact"/>
        <w:jc w:val="left"/>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七、财政拨款“三公”经费支出决算情况说明</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9</w:t>
      </w:r>
    </w:p>
    <w:p w14:paraId="2B9D4668">
      <w:pPr>
        <w:pStyle w:val="14"/>
        <w:adjustRightInd w:val="0"/>
        <w:snapToGrid w:val="0"/>
        <w:spacing w:line="440" w:lineRule="exact"/>
        <w:jc w:val="left"/>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八、政府性基金预算支出决算情况说明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1</w:t>
      </w:r>
      <w:r>
        <w:rPr>
          <w:rFonts w:hint="eastAsia" w:eastAsia="仿宋_GB2312" w:cs="Times New Roman"/>
          <w:sz w:val="32"/>
          <w:szCs w:val="32"/>
          <w:lang w:val="en-US" w:eastAsia="zh-CN"/>
        </w:rPr>
        <w:t>1</w:t>
      </w:r>
    </w:p>
    <w:p w14:paraId="3F6B3754">
      <w:pPr>
        <w:pStyle w:val="14"/>
        <w:adjustRightInd w:val="0"/>
        <w:snapToGrid w:val="0"/>
        <w:spacing w:line="440" w:lineRule="exact"/>
        <w:jc w:val="left"/>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九、国有资本经营预算支出决算情况说明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1</w:t>
      </w:r>
      <w:r>
        <w:rPr>
          <w:rFonts w:hint="eastAsia" w:eastAsia="仿宋_GB2312" w:cs="Times New Roman"/>
          <w:sz w:val="32"/>
          <w:szCs w:val="32"/>
          <w:lang w:val="en-US" w:eastAsia="zh-CN"/>
        </w:rPr>
        <w:t>1</w:t>
      </w:r>
    </w:p>
    <w:p w14:paraId="690F6E67">
      <w:pPr>
        <w:pStyle w:val="14"/>
        <w:adjustRightInd w:val="0"/>
        <w:snapToGrid w:val="0"/>
        <w:spacing w:line="440" w:lineRule="exact"/>
        <w:jc w:val="left"/>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十、其他重要事项的情况说明</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1</w:t>
      </w:r>
      <w:r>
        <w:rPr>
          <w:rFonts w:hint="eastAsia" w:eastAsia="仿宋_GB2312" w:cs="Times New Roman"/>
          <w:sz w:val="32"/>
          <w:szCs w:val="32"/>
          <w:lang w:val="en-US" w:eastAsia="zh-CN"/>
        </w:rPr>
        <w:t>2</w:t>
      </w:r>
    </w:p>
    <w:p w14:paraId="0DB2A84C">
      <w:pPr>
        <w:pStyle w:val="11"/>
        <w:adjustRightInd w:val="0"/>
        <w:snapToGrid w:val="0"/>
        <w:spacing w:before="0" w:line="440" w:lineRule="exact"/>
        <w:jc w:val="left"/>
        <w:rPr>
          <w:rFonts w:hint="eastAsia"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第三部分名词解释</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t>1</w:t>
      </w:r>
      <w:r>
        <w:rPr>
          <w:rFonts w:hint="eastAsia" w:ascii="Times New Roman" w:hAnsi="Times New Roman" w:eastAsia="黑体" w:cs="Times New Roman"/>
          <w:sz w:val="32"/>
          <w:szCs w:val="32"/>
          <w:lang w:val="en-US" w:eastAsia="zh-CN"/>
        </w:rPr>
        <w:t>4</w:t>
      </w:r>
    </w:p>
    <w:p w14:paraId="4DE37043">
      <w:pPr>
        <w:pStyle w:val="11"/>
        <w:adjustRightInd w:val="0"/>
        <w:snapToGrid w:val="0"/>
        <w:spacing w:before="0" w:line="440" w:lineRule="exact"/>
        <w:jc w:val="left"/>
        <w:rPr>
          <w:rFonts w:hint="eastAsia"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第四部分附件</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t>1</w:t>
      </w:r>
      <w:r>
        <w:rPr>
          <w:rFonts w:hint="eastAsia" w:ascii="Times New Roman" w:hAnsi="Times New Roman" w:eastAsia="黑体" w:cs="Times New Roman"/>
          <w:sz w:val="32"/>
          <w:szCs w:val="32"/>
          <w:lang w:val="en-US" w:eastAsia="zh-CN"/>
        </w:rPr>
        <w:t>7</w:t>
      </w:r>
    </w:p>
    <w:p w14:paraId="283591B7">
      <w:pPr>
        <w:pStyle w:val="11"/>
        <w:adjustRightInd w:val="0"/>
        <w:snapToGrid w:val="0"/>
        <w:spacing w:before="0" w:line="440" w:lineRule="exact"/>
        <w:jc w:val="left"/>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第五部分附表</w:t>
      </w:r>
      <w:r>
        <w:rPr>
          <w:rFonts w:hint="default" w:ascii="Times New Roman" w:hAnsi="Times New Roman" w:eastAsia="黑体" w:cs="Times New Roman"/>
          <w:sz w:val="32"/>
          <w:szCs w:val="32"/>
        </w:rPr>
        <w:tab/>
      </w:r>
      <w:r>
        <w:rPr>
          <w:rFonts w:hint="eastAsia" w:ascii="Times New Roman" w:hAnsi="Times New Roman" w:eastAsia="黑体" w:cs="Times New Roman"/>
          <w:sz w:val="32"/>
          <w:szCs w:val="32"/>
          <w:lang w:val="en-US" w:eastAsia="zh-CN"/>
        </w:rPr>
        <w:t>18</w:t>
      </w:r>
    </w:p>
    <w:p w14:paraId="2E8325E8">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一、收入支出决算总表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5A23907D">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二、收入决算表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7708CDAB">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三、支出决算表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6EC39C67">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四、财政拨款收入支出决算总表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23ECD765">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五、财政拨款支出决算明细表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739823C7">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六、一般公共预算财政拨款支出决算表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675BA46C">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七、一般公共预算财政拨款支出决算明细表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150447E9">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八、一般公共预算财政拨款基本支出决算明细表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61E71D89">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九、一般公共预算财政拨款项目支出决算表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3D5AB0E3">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十、政府性基金预算财政拨款收入支出决算表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0D11F6F3">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十一、国有资本经营预算财政拨款收入支出决算表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25C772F7">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十二、国有资本经营预算财政拨款支出决算表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0154C0D4">
      <w:pPr>
        <w:pStyle w:val="14"/>
        <w:adjustRightInd w:val="0"/>
        <w:snapToGrid w:val="0"/>
        <w:spacing w:line="440" w:lineRule="exact"/>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十三、财政拨款“三公”经费支出决算表</w:t>
      </w:r>
      <w:r>
        <w:rPr>
          <w:rFonts w:hint="default" w:ascii="Times New Roman" w:hAnsi="Times New Roman" w:eastAsia="仿宋_GB2312" w:cs="Times New Roman"/>
          <w:sz w:val="32"/>
          <w:szCs w:val="32"/>
        </w:rPr>
        <w:tab/>
      </w:r>
      <w:r>
        <w:rPr>
          <w:rFonts w:hint="eastAsia" w:eastAsia="仿宋_GB2312" w:cs="Times New Roman"/>
          <w:sz w:val="32"/>
          <w:szCs w:val="32"/>
          <w:lang w:val="en-US" w:eastAsia="zh-CN"/>
        </w:rPr>
        <w:t>18</w:t>
      </w:r>
    </w:p>
    <w:p w14:paraId="4E79AEC6">
      <w:pPr>
        <w:pStyle w:val="3"/>
        <w:jc w:val="center"/>
        <w:rPr>
          <w:rFonts w:hint="default" w:ascii="Times New Roman" w:hAnsi="Times New Roman" w:eastAsia="方正小标宋简体" w:cs="Times New Roman"/>
          <w:b w:val="0"/>
        </w:rPr>
      </w:pPr>
    </w:p>
    <w:p w14:paraId="0D184F41">
      <w:pPr>
        <w:rPr>
          <w:rFonts w:hint="default" w:ascii="Times New Roman" w:hAnsi="Times New Roman" w:cs="Times New Roman"/>
        </w:rPr>
      </w:pPr>
    </w:p>
    <w:p w14:paraId="11957E5E">
      <w:pPr>
        <w:pStyle w:val="3"/>
        <w:jc w:val="center"/>
        <w:rPr>
          <w:rFonts w:hint="default" w:ascii="Times New Roman" w:hAnsi="Times New Roman" w:eastAsia="方正小标宋简体" w:cs="Times New Roman"/>
          <w:b w:val="0"/>
        </w:rPr>
      </w:pPr>
    </w:p>
    <w:p w14:paraId="295C4CA1">
      <w:pPr>
        <w:pStyle w:val="3"/>
        <w:jc w:val="center"/>
        <w:rPr>
          <w:rFonts w:hint="default" w:ascii="Times New Roman" w:hAnsi="Times New Roman" w:eastAsia="方正小标宋简体" w:cs="Times New Roman"/>
          <w:b w:val="0"/>
        </w:rPr>
      </w:pPr>
    </w:p>
    <w:p w14:paraId="6306014E">
      <w:pPr>
        <w:rPr>
          <w:rFonts w:hint="default" w:ascii="Times New Roman" w:hAnsi="Times New Roman" w:cs="Times New Roman"/>
        </w:rPr>
      </w:pPr>
    </w:p>
    <w:p w14:paraId="0414BE17">
      <w:pPr>
        <w:pStyle w:val="3"/>
        <w:jc w:val="center"/>
        <w:rPr>
          <w:rFonts w:hint="default" w:ascii="Times New Roman" w:hAnsi="Times New Roman" w:eastAsia="方正小标宋简体" w:cs="Times New Roman"/>
          <w:b w:val="0"/>
        </w:rPr>
      </w:pPr>
      <w:r>
        <w:rPr>
          <w:rFonts w:hint="default" w:ascii="Times New Roman" w:hAnsi="Times New Roman" w:eastAsia="方正小标宋简体" w:cs="Times New Roman"/>
          <w:b w:val="0"/>
        </w:rPr>
        <w:t xml:space="preserve">第一部分  </w:t>
      </w:r>
      <w:r>
        <w:rPr>
          <w:rFonts w:hint="eastAsia" w:eastAsia="方正小标宋简体" w:cs="Times New Roman"/>
          <w:b w:val="0"/>
          <w:lang w:eastAsia="zh-CN"/>
        </w:rPr>
        <w:t>单位</w:t>
      </w:r>
      <w:r>
        <w:rPr>
          <w:rFonts w:hint="default" w:ascii="Times New Roman" w:hAnsi="Times New Roman" w:eastAsia="方正小标宋简体" w:cs="Times New Roman"/>
          <w:b w:val="0"/>
        </w:rPr>
        <w:t>概况</w:t>
      </w:r>
      <w:bookmarkEnd w:id="12"/>
      <w:bookmarkEnd w:id="13"/>
    </w:p>
    <w:p w14:paraId="4F4D866B">
      <w:pPr>
        <w:spacing w:line="600" w:lineRule="exact"/>
        <w:outlineLvl w:val="1"/>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一、</w:t>
      </w:r>
      <w:r>
        <w:rPr>
          <w:rFonts w:hint="eastAsia" w:eastAsia="黑体" w:cs="Times New Roman"/>
          <w:b w:val="0"/>
          <w:bCs w:val="0"/>
          <w:sz w:val="32"/>
          <w:szCs w:val="32"/>
          <w:lang w:eastAsia="zh-CN"/>
        </w:rPr>
        <w:t>单位</w:t>
      </w:r>
      <w:r>
        <w:rPr>
          <w:rFonts w:hint="default" w:ascii="Times New Roman" w:hAnsi="Times New Roman" w:eastAsia="黑体" w:cs="Times New Roman"/>
          <w:b w:val="0"/>
          <w:bCs w:val="0"/>
          <w:sz w:val="32"/>
          <w:szCs w:val="32"/>
        </w:rPr>
        <w:t>职责</w:t>
      </w:r>
    </w:p>
    <w:p w14:paraId="77BA305B">
      <w:pPr>
        <w:pStyle w:val="27"/>
        <w:spacing w:line="600" w:lineRule="exact"/>
        <w:ind w:firstLine="64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承担国土空间发展战略、技术标准、政策研究及拟定工作；承担国土空间用途管制、自然资源开发利用与保护、生态环境保护与修复等重大课题的研究工作；承担或参与国土空间规划、详细规划相关专项规划和乡村规划、城市设计等编制工作；参与政府重大项目的咨询论证工作。</w:t>
      </w:r>
    </w:p>
    <w:p w14:paraId="3A22F4A7">
      <w:pPr>
        <w:spacing w:line="600" w:lineRule="exact"/>
        <w:outlineLvl w:val="1"/>
        <w:rPr>
          <w:rFonts w:hint="default" w:ascii="Times New Roman" w:hAnsi="Times New Roman" w:eastAsia="黑体" w:cs="Times New Roman"/>
          <w:b w:val="0"/>
          <w:bCs w:val="0"/>
          <w:sz w:val="32"/>
          <w:szCs w:val="32"/>
          <w:lang w:eastAsia="zh-CN"/>
        </w:rPr>
      </w:pPr>
      <w:bookmarkStart w:id="14" w:name="_Toc15377200"/>
      <w:bookmarkStart w:id="15" w:name="_Toc15396601"/>
      <w:r>
        <w:rPr>
          <w:rFonts w:hint="default" w:ascii="Times New Roman" w:hAnsi="Times New Roman" w:eastAsia="黑体" w:cs="Times New Roman"/>
          <w:b w:val="0"/>
          <w:bCs w:val="0"/>
          <w:sz w:val="32"/>
          <w:szCs w:val="32"/>
          <w:lang w:eastAsia="zh-CN"/>
        </w:rPr>
        <w:t>二、机构设置</w:t>
      </w:r>
      <w:bookmarkEnd w:id="14"/>
      <w:bookmarkEnd w:id="15"/>
    </w:p>
    <w:p w14:paraId="41DE289C">
      <w:pPr>
        <w:pStyle w:val="27"/>
        <w:spacing w:line="600" w:lineRule="exact"/>
        <w:ind w:firstLine="64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攀枝花市国土空间规划编制研究中心下属非独立核算单位0个，其中行政单位0个，参照公务员法管理的事业单位0个，其他事业单位0个。</w:t>
      </w:r>
    </w:p>
    <w:p w14:paraId="51051C0B">
      <w:pPr>
        <w:pageBreakBefore w:val="0"/>
        <w:widowControl/>
        <w:kinsoku/>
        <w:wordWrap/>
        <w:overflowPunct/>
        <w:topLinePunct w:val="0"/>
        <w:autoSpaceDE/>
        <w:autoSpaceDN/>
        <w:bidi w:val="0"/>
        <w:adjustRightInd/>
        <w:snapToGrid/>
        <w:spacing w:after="0" w:line="560" w:lineRule="exact"/>
        <w:ind w:left="0"/>
        <w:jc w:val="left"/>
        <w:textAlignment w:val="auto"/>
        <w:rPr>
          <w:rFonts w:hint="default" w:ascii="Times New Roman" w:hAnsi="Times New Roman" w:eastAsia="仿宋" w:cs="Times New Roman"/>
          <w:kern w:val="0"/>
          <w:sz w:val="32"/>
          <w:szCs w:val="32"/>
        </w:rPr>
      </w:pPr>
      <w:r>
        <w:rPr>
          <w:rFonts w:hint="default" w:ascii="Times New Roman" w:hAnsi="Times New Roman" w:eastAsia="仿宋" w:cs="Times New Roman"/>
          <w:sz w:val="32"/>
          <w:szCs w:val="32"/>
        </w:rPr>
        <w:br w:type="page"/>
      </w:r>
    </w:p>
    <w:p w14:paraId="36BC3FEE">
      <w:pPr>
        <w:pStyle w:val="3"/>
        <w:jc w:val="center"/>
        <w:rPr>
          <w:rFonts w:hint="default" w:ascii="Times New Roman" w:hAnsi="Times New Roman" w:eastAsia="方正小标宋简体" w:cs="Times New Roman"/>
          <w:b w:val="0"/>
        </w:rPr>
      </w:pPr>
      <w:bookmarkStart w:id="16" w:name="_Toc15377204"/>
      <w:bookmarkStart w:id="17" w:name="_Toc15396602"/>
      <w:r>
        <w:rPr>
          <w:rFonts w:hint="default" w:ascii="Times New Roman" w:hAnsi="Times New Roman" w:eastAsia="方正小标宋简体" w:cs="Times New Roman"/>
          <w:b w:val="0"/>
        </w:rPr>
        <w:t xml:space="preserve">第二部分  </w:t>
      </w:r>
      <w:r>
        <w:rPr>
          <w:rFonts w:hint="default" w:ascii="Times New Roman" w:hAnsi="Times New Roman" w:eastAsia="方正小标宋简体" w:cs="Times New Roman"/>
          <w:b w:val="0"/>
          <w:lang w:val="en-US" w:eastAsia="zh-CN"/>
        </w:rPr>
        <w:t>2025</w:t>
      </w:r>
      <w:r>
        <w:rPr>
          <w:rFonts w:hint="default" w:ascii="Times New Roman" w:hAnsi="Times New Roman" w:eastAsia="方正小标宋简体" w:cs="Times New Roman"/>
          <w:b w:val="0"/>
        </w:rPr>
        <w:t>年度部门决算情况说明</w:t>
      </w:r>
      <w:bookmarkEnd w:id="16"/>
      <w:bookmarkEnd w:id="17"/>
    </w:p>
    <w:p w14:paraId="11466795">
      <w:pPr>
        <w:spacing w:line="600" w:lineRule="exact"/>
        <w:outlineLvl w:val="1"/>
        <w:rPr>
          <w:rStyle w:val="29"/>
          <w:rFonts w:hint="default" w:ascii="Times New Roman" w:hAnsi="Times New Roman" w:eastAsia="黑体" w:cs="Times New Roman"/>
          <w:b w:val="0"/>
          <w:bCs w:val="0"/>
          <w:sz w:val="32"/>
          <w:szCs w:val="32"/>
        </w:rPr>
      </w:pPr>
      <w:bookmarkStart w:id="18" w:name="_Toc15377205"/>
      <w:bookmarkStart w:id="19" w:name="_Toc15396603"/>
      <w:r>
        <w:rPr>
          <w:rFonts w:hint="default" w:ascii="Times New Roman" w:hAnsi="Times New Roman" w:eastAsia="黑体" w:cs="Times New Roman"/>
          <w:b w:val="0"/>
          <w:bCs w:val="0"/>
          <w:sz w:val="32"/>
          <w:szCs w:val="32"/>
        </w:rPr>
        <w:t>一、</w:t>
      </w:r>
      <w:r>
        <w:rPr>
          <w:rFonts w:hint="default" w:ascii="Times New Roman" w:hAnsi="Times New Roman" w:eastAsia="黑体" w:cs="Times New Roman"/>
          <w:b w:val="0"/>
          <w:bCs w:val="0"/>
          <w:sz w:val="32"/>
          <w:szCs w:val="32"/>
          <w:lang w:eastAsia="zh-CN"/>
        </w:rPr>
        <w:t>收</w:t>
      </w:r>
      <w:r>
        <w:rPr>
          <w:rStyle w:val="29"/>
          <w:rFonts w:hint="default" w:ascii="Times New Roman" w:hAnsi="Times New Roman" w:eastAsia="黑体" w:cs="Times New Roman"/>
          <w:b w:val="0"/>
          <w:bCs w:val="0"/>
          <w:sz w:val="32"/>
          <w:szCs w:val="32"/>
        </w:rPr>
        <w:t>入支出决算总体情况说明</w:t>
      </w:r>
      <w:bookmarkEnd w:id="18"/>
      <w:bookmarkEnd w:id="19"/>
    </w:p>
    <w:p w14:paraId="26BADA42">
      <w:pPr>
        <w:pStyle w:val="27"/>
        <w:spacing w:line="600" w:lineRule="exact"/>
        <w:ind w:firstLine="64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年度收入、支出总计均为</w:t>
      </w:r>
      <w:r>
        <w:rPr>
          <w:rFonts w:hint="default" w:ascii="Times New Roman" w:hAnsi="Times New Roman" w:eastAsia="仿宋_GB2312" w:cs="Times New Roman"/>
          <w:sz w:val="32"/>
          <w:szCs w:val="32"/>
          <w:lang w:val="en-US" w:eastAsia="zh-CN"/>
        </w:rPr>
        <w:t>354.4</w:t>
      </w:r>
      <w:r>
        <w:rPr>
          <w:rFonts w:hint="eastAsia" w:eastAsia="仿宋_GB2312" w:cs="Times New Roman"/>
          <w:sz w:val="32"/>
          <w:szCs w:val="32"/>
          <w:lang w:val="en-US" w:eastAsia="zh-CN"/>
        </w:rPr>
        <w:t>1</w:t>
      </w:r>
      <w:r>
        <w:rPr>
          <w:rFonts w:hint="default" w:ascii="Times New Roman" w:hAnsi="Times New Roman" w:eastAsia="仿宋_GB2312" w:cs="Times New Roman"/>
          <w:sz w:val="32"/>
          <w:szCs w:val="32"/>
        </w:rPr>
        <w:t>万元。与</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度相比，收入、支出总计各</w:t>
      </w:r>
      <w:r>
        <w:rPr>
          <w:rFonts w:hint="default" w:ascii="Times New Roman" w:hAnsi="Times New Roman" w:eastAsia="仿宋_GB2312" w:cs="Times New Roman"/>
          <w:sz w:val="32"/>
          <w:szCs w:val="32"/>
          <w:lang w:eastAsia="zh-CN"/>
        </w:rPr>
        <w:t>减少</w:t>
      </w:r>
      <w:r>
        <w:rPr>
          <w:rFonts w:hint="default" w:ascii="Times New Roman" w:hAnsi="Times New Roman" w:eastAsia="仿宋_GB2312" w:cs="Times New Roman"/>
          <w:sz w:val="32"/>
          <w:szCs w:val="32"/>
          <w:lang w:val="en-US" w:eastAsia="zh-CN"/>
        </w:rPr>
        <w:t>25.3</w:t>
      </w:r>
      <w:r>
        <w:rPr>
          <w:rFonts w:hint="eastAsia"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万元</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下降</w:t>
      </w:r>
      <w:r>
        <w:rPr>
          <w:rFonts w:hint="default" w:ascii="Times New Roman" w:hAnsi="Times New Roman" w:eastAsia="仿宋_GB2312" w:cs="Times New Roman"/>
          <w:sz w:val="32"/>
          <w:szCs w:val="32"/>
          <w:lang w:val="en-US" w:eastAsia="zh-CN"/>
        </w:rPr>
        <w:t>6.7</w:t>
      </w:r>
      <w:r>
        <w:rPr>
          <w:rFonts w:hint="default" w:ascii="Times New Roman" w:hAnsi="Times New Roman" w:eastAsia="仿宋_GB2312" w:cs="Times New Roman"/>
          <w:sz w:val="32"/>
          <w:szCs w:val="32"/>
        </w:rPr>
        <w:t>%。主要变动原因为本年度</w:t>
      </w:r>
      <w:r>
        <w:rPr>
          <w:rFonts w:hint="default" w:ascii="Times New Roman" w:hAnsi="Times New Roman" w:eastAsia="仿宋_GB2312" w:cs="Times New Roman"/>
          <w:sz w:val="32"/>
          <w:szCs w:val="32"/>
          <w:lang w:eastAsia="zh-CN"/>
        </w:rPr>
        <w:t>无项目支出</w:t>
      </w:r>
      <w:r>
        <w:rPr>
          <w:rFonts w:hint="default" w:ascii="Times New Roman" w:hAnsi="Times New Roman" w:eastAsia="仿宋_GB2312" w:cs="Times New Roman"/>
          <w:sz w:val="32"/>
          <w:szCs w:val="32"/>
        </w:rPr>
        <w:t>等。</w:t>
      </w:r>
    </w:p>
    <w:p w14:paraId="5B63479A">
      <w:pPr>
        <w:ind w:firstLine="420" w:firstLineChars="200"/>
        <w:jc w:val="center"/>
        <w:rPr>
          <w:rFonts w:hint="default" w:ascii="Times New Roman" w:hAnsi="Times New Roman" w:cs="Times New Roman"/>
          <w:color w:val="00B0F0"/>
        </w:rPr>
      </w:pPr>
      <w:r>
        <w:drawing>
          <wp:inline distT="0" distB="0" distL="114300" distR="114300">
            <wp:extent cx="4572000" cy="2704465"/>
            <wp:effectExtent l="4445" t="4445" r="14605" b="1524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F323AB9">
      <w:pPr>
        <w:pStyle w:val="27"/>
        <w:spacing w:line="600" w:lineRule="exact"/>
        <w:ind w:firstLine="640"/>
        <w:jc w:val="center"/>
        <w:outlineLvl w:val="1"/>
        <w:rPr>
          <w:rFonts w:hint="default" w:ascii="Times New Roman" w:hAnsi="Times New Roman" w:eastAsia="仿宋_GB2312" w:cs="Times New Roman"/>
          <w:sz w:val="32"/>
          <w:szCs w:val="32"/>
          <w:lang w:eastAsia="zh-CN"/>
        </w:rPr>
      </w:pPr>
      <w:bookmarkStart w:id="20" w:name="_Toc15377206"/>
      <w:bookmarkStart w:id="21" w:name="_Toc15396604"/>
      <w:r>
        <w:rPr>
          <w:rFonts w:hint="default" w:ascii="Times New Roman" w:hAnsi="Times New Roman" w:eastAsia="仿宋_GB2312" w:cs="Times New Roman"/>
          <w:sz w:val="32"/>
          <w:szCs w:val="32"/>
        </w:rPr>
        <w:t>（图1：收入、支出决算总计变动情况图）</w:t>
      </w:r>
    </w:p>
    <w:p w14:paraId="7115A719">
      <w:pPr>
        <w:pStyle w:val="27"/>
        <w:spacing w:line="600" w:lineRule="exact"/>
        <w:ind w:firstLine="640"/>
        <w:outlineLvl w:val="1"/>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二、收入决算情况说明</w:t>
      </w:r>
      <w:bookmarkEnd w:id="20"/>
      <w:bookmarkEnd w:id="21"/>
    </w:p>
    <w:p w14:paraId="2140C3E6">
      <w:pPr>
        <w:pStyle w:val="27"/>
        <w:spacing w:line="600" w:lineRule="exact"/>
        <w:ind w:firstLine="640"/>
        <w:jc w:val="left"/>
        <w:outlineLvl w:val="1"/>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度本年收入合计</w:t>
      </w:r>
      <w:r>
        <w:rPr>
          <w:rFonts w:hint="default" w:ascii="Times New Roman" w:hAnsi="Times New Roman" w:eastAsia="仿宋_GB2312" w:cs="Times New Roman"/>
          <w:sz w:val="32"/>
          <w:szCs w:val="32"/>
          <w:lang w:val="en-US" w:eastAsia="zh-CN"/>
        </w:rPr>
        <w:t>354.4</w:t>
      </w:r>
      <w:r>
        <w:rPr>
          <w:rFonts w:hint="eastAsia" w:eastAsia="仿宋_GB2312" w:cs="Times New Roman"/>
          <w:sz w:val="32"/>
          <w:szCs w:val="32"/>
          <w:lang w:val="en-US" w:eastAsia="zh-CN"/>
        </w:rPr>
        <w:t>1</w:t>
      </w:r>
      <w:r>
        <w:rPr>
          <w:rFonts w:hint="default" w:ascii="Times New Roman" w:hAnsi="Times New Roman" w:eastAsia="仿宋_GB2312" w:cs="Times New Roman"/>
          <w:sz w:val="32"/>
          <w:szCs w:val="32"/>
        </w:rPr>
        <w:t>万元，其中：一般公共预算财政拨款收入</w:t>
      </w:r>
      <w:r>
        <w:rPr>
          <w:rFonts w:hint="default" w:ascii="Times New Roman" w:hAnsi="Times New Roman" w:eastAsia="仿宋_GB2312" w:cs="Times New Roman"/>
          <w:sz w:val="32"/>
          <w:szCs w:val="32"/>
          <w:lang w:val="en-US" w:eastAsia="zh-CN"/>
        </w:rPr>
        <w:t>354.4</w:t>
      </w:r>
      <w:r>
        <w:rPr>
          <w:rFonts w:hint="eastAsia" w:eastAsia="仿宋_GB2312" w:cs="Times New Roman"/>
          <w:sz w:val="32"/>
          <w:szCs w:val="32"/>
          <w:lang w:val="en-US" w:eastAsia="zh-CN"/>
        </w:rPr>
        <w:t>1</w:t>
      </w:r>
      <w:r>
        <w:rPr>
          <w:rFonts w:hint="default" w:ascii="Times New Roman" w:hAnsi="Times New Roman" w:eastAsia="仿宋_GB2312" w:cs="Times New Roman"/>
          <w:sz w:val="32"/>
          <w:szCs w:val="32"/>
        </w:rPr>
        <w:t>万元，占100%；政府性基金预算财政拨款收入0万元，占0%；国有资本经营预算财政拨款收入0万元，占0%；上级补助收入0万元，占0%；事业收入0万元，占0%；经营收入0万元，占0%；附属单位上缴收入0万元，占0%；其他收入0万元，占0%。</w:t>
      </w:r>
    </w:p>
    <w:p w14:paraId="3BBFB729">
      <w:pPr>
        <w:ind w:firstLine="525" w:firstLineChars="250"/>
        <w:rPr>
          <w:rFonts w:hint="default" w:ascii="Times New Roman" w:hAnsi="Times New Roman" w:eastAsia="仿宋_GB2312" w:cs="Times New Roman"/>
          <w:color w:val="00B0F0"/>
          <w:sz w:val="32"/>
          <w:szCs w:val="32"/>
        </w:rPr>
      </w:pPr>
      <w:r>
        <w:drawing>
          <wp:inline distT="0" distB="0" distL="114300" distR="114300">
            <wp:extent cx="4572000" cy="2476500"/>
            <wp:effectExtent l="4445" t="4445" r="14605" b="1460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1F63D1D">
      <w:pPr>
        <w:ind w:firstLine="800" w:firstLineChars="250"/>
        <w:jc w:val="left"/>
        <w:rPr>
          <w:rFonts w:hint="default" w:ascii="Times New Roman" w:hAnsi="Times New Roman" w:eastAsia="仿宋_GB2312" w:cs="Times New Roman"/>
          <w:sz w:val="32"/>
          <w:szCs w:val="32"/>
          <w:lang w:eastAsia="zh-CN"/>
        </w:rPr>
      </w:pPr>
      <w:bookmarkStart w:id="22" w:name="_Toc15377207"/>
      <w:bookmarkStart w:id="23" w:name="_Toc15396605"/>
      <w:r>
        <w:rPr>
          <w:rFonts w:hint="default" w:ascii="Times New Roman" w:hAnsi="Times New Roman" w:eastAsia="仿宋_GB2312" w:cs="Times New Roman"/>
          <w:sz w:val="32"/>
          <w:szCs w:val="32"/>
        </w:rPr>
        <w:t>（图2：收入决算结构图）</w:t>
      </w:r>
    </w:p>
    <w:p w14:paraId="2D426565">
      <w:pPr>
        <w:pStyle w:val="27"/>
        <w:spacing w:line="600" w:lineRule="exact"/>
        <w:ind w:firstLine="640"/>
        <w:outlineLvl w:val="1"/>
        <w:rPr>
          <w:rStyle w:val="29"/>
          <w:rFonts w:hint="default" w:ascii="Times New Roman" w:hAnsi="Times New Roman" w:eastAsia="黑体" w:cs="Times New Roman"/>
          <w:b w:val="0"/>
          <w:bCs w:val="0"/>
        </w:rPr>
      </w:pPr>
      <w:r>
        <w:rPr>
          <w:rFonts w:hint="default" w:ascii="Times New Roman" w:hAnsi="Times New Roman" w:eastAsia="黑体" w:cs="Times New Roman"/>
          <w:b w:val="0"/>
          <w:bCs w:val="0"/>
          <w:sz w:val="32"/>
          <w:szCs w:val="32"/>
        </w:rPr>
        <w:t>三、支</w:t>
      </w:r>
      <w:r>
        <w:rPr>
          <w:rStyle w:val="29"/>
          <w:rFonts w:hint="default" w:ascii="Times New Roman" w:hAnsi="Times New Roman" w:eastAsia="黑体" w:cs="Times New Roman"/>
          <w:b w:val="0"/>
          <w:bCs w:val="0"/>
        </w:rPr>
        <w:t>出决算情况说明</w:t>
      </w:r>
      <w:bookmarkEnd w:id="22"/>
      <w:bookmarkEnd w:id="23"/>
    </w:p>
    <w:p w14:paraId="1689C053">
      <w:pPr>
        <w:pStyle w:val="27"/>
        <w:spacing w:line="600" w:lineRule="exact"/>
        <w:ind w:firstLine="640"/>
        <w:jc w:val="left"/>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度本年支出合计</w:t>
      </w:r>
      <w:r>
        <w:rPr>
          <w:rFonts w:hint="eastAsia" w:eastAsia="仿宋_GB2312" w:cs="Times New Roman"/>
          <w:sz w:val="32"/>
          <w:szCs w:val="32"/>
          <w:lang w:val="en-US" w:eastAsia="zh-CN"/>
        </w:rPr>
        <w:t>354.41</w:t>
      </w:r>
      <w:r>
        <w:rPr>
          <w:rFonts w:hint="default" w:ascii="Times New Roman" w:hAnsi="Times New Roman" w:eastAsia="仿宋_GB2312" w:cs="Times New Roman"/>
          <w:sz w:val="32"/>
          <w:szCs w:val="32"/>
        </w:rPr>
        <w:t>万元，其中：基本支出</w:t>
      </w:r>
      <w:r>
        <w:rPr>
          <w:rFonts w:hint="eastAsia" w:eastAsia="仿宋_GB2312" w:cs="Times New Roman"/>
          <w:sz w:val="32"/>
          <w:szCs w:val="32"/>
          <w:lang w:val="en-US" w:eastAsia="zh-CN"/>
        </w:rPr>
        <w:t>354.41</w:t>
      </w:r>
      <w:r>
        <w:rPr>
          <w:rFonts w:hint="default" w:ascii="Times New Roman" w:hAnsi="Times New Roman" w:eastAsia="仿宋_GB2312" w:cs="Times New Roman"/>
          <w:sz w:val="32"/>
          <w:szCs w:val="32"/>
        </w:rPr>
        <w:t>万元，占</w:t>
      </w:r>
      <w:r>
        <w:rPr>
          <w:rFonts w:hint="eastAsia" w:eastAsia="仿宋_GB2312" w:cs="Times New Roman"/>
          <w:sz w:val="32"/>
          <w:szCs w:val="32"/>
          <w:lang w:val="en-US" w:eastAsia="zh-CN"/>
        </w:rPr>
        <w:t>100</w:t>
      </w:r>
      <w:r>
        <w:rPr>
          <w:rFonts w:hint="default" w:ascii="Times New Roman" w:hAnsi="Times New Roman" w:eastAsia="仿宋_GB2312" w:cs="Times New Roman"/>
          <w:sz w:val="32"/>
          <w:szCs w:val="32"/>
        </w:rPr>
        <w:t>%；项目支出</w:t>
      </w:r>
      <w:r>
        <w:rPr>
          <w:rFonts w:hint="eastAsia" w:eastAsia="仿宋_GB2312" w:cs="Times New Roman"/>
          <w:sz w:val="32"/>
          <w:szCs w:val="32"/>
          <w:lang w:val="en-US" w:eastAsia="zh-CN"/>
        </w:rPr>
        <w:t>0</w:t>
      </w:r>
      <w:r>
        <w:rPr>
          <w:rFonts w:hint="default" w:ascii="Times New Roman" w:hAnsi="Times New Roman" w:eastAsia="仿宋_GB2312" w:cs="Times New Roman"/>
          <w:sz w:val="32"/>
          <w:szCs w:val="32"/>
        </w:rPr>
        <w:t>万元，占</w:t>
      </w:r>
      <w:r>
        <w:rPr>
          <w:rFonts w:hint="eastAsia" w:eastAsia="仿宋_GB2312" w:cs="Times New Roman"/>
          <w:sz w:val="32"/>
          <w:szCs w:val="32"/>
          <w:lang w:val="en-US" w:eastAsia="zh-CN"/>
        </w:rPr>
        <w:t>0</w:t>
      </w:r>
      <w:r>
        <w:rPr>
          <w:rFonts w:hint="default" w:ascii="Times New Roman" w:hAnsi="Times New Roman" w:eastAsia="仿宋_GB2312" w:cs="Times New Roman"/>
          <w:sz w:val="32"/>
          <w:szCs w:val="32"/>
        </w:rPr>
        <w:t>%；上缴上级支出0万元，占0%；经营支出0万元，占0%；对附属单位补助支出0万元，占0%。</w:t>
      </w:r>
    </w:p>
    <w:p w14:paraId="545B2551">
      <w:pPr>
        <w:ind w:firstLine="525" w:firstLineChars="250"/>
        <w:rPr>
          <w:rFonts w:hint="default" w:ascii="Times New Roman" w:hAnsi="Times New Roman" w:eastAsia="仿宋_GB2312" w:cs="Times New Roman"/>
          <w:color w:val="00B0F0"/>
          <w:sz w:val="32"/>
          <w:szCs w:val="32"/>
        </w:rPr>
      </w:pPr>
      <w:r>
        <w:drawing>
          <wp:inline distT="0" distB="0" distL="114300" distR="114300">
            <wp:extent cx="4572635" cy="2068195"/>
            <wp:effectExtent l="4445" t="4445" r="13970" b="22860"/>
            <wp:docPr id="3125"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F8E8B84">
      <w:pPr>
        <w:ind w:firstLine="800" w:firstLineChars="250"/>
        <w:rPr>
          <w:rFonts w:hint="default" w:ascii="Times New Roman" w:hAnsi="Times New Roman" w:eastAsia="仿宋_GB2312" w:cs="Times New Roman"/>
          <w:sz w:val="32"/>
          <w:szCs w:val="32"/>
          <w:lang w:val="en-US" w:eastAsia="zh-CN"/>
        </w:rPr>
      </w:pPr>
      <w:bookmarkStart w:id="24" w:name="_Toc15377208"/>
      <w:bookmarkStart w:id="25" w:name="_Toc15396606"/>
      <w:r>
        <w:rPr>
          <w:rFonts w:hint="default" w:ascii="Times New Roman" w:hAnsi="Times New Roman" w:eastAsia="仿宋_GB2312" w:cs="Times New Roman"/>
          <w:sz w:val="32"/>
          <w:szCs w:val="32"/>
        </w:rPr>
        <w:t>（图3：支出决算结构图）</w:t>
      </w:r>
      <w:r>
        <w:rPr>
          <w:rFonts w:hint="default" w:ascii="Times New Roman" w:hAnsi="Times New Roman" w:eastAsia="仿宋_GB2312" w:cs="Times New Roman"/>
          <w:sz w:val="32"/>
          <w:szCs w:val="32"/>
          <w:lang w:val="en-US" w:eastAsia="zh-CN"/>
        </w:rPr>
        <w:t xml:space="preserve"> </w:t>
      </w:r>
    </w:p>
    <w:p w14:paraId="3BE7CBC4">
      <w:pPr>
        <w:spacing w:line="600" w:lineRule="exact"/>
        <w:ind w:firstLine="640" w:firstLineChars="200"/>
        <w:outlineLvl w:val="1"/>
        <w:rPr>
          <w:rStyle w:val="29"/>
          <w:rFonts w:hint="default" w:ascii="Times New Roman" w:hAnsi="Times New Roman" w:eastAsia="黑体" w:cs="Times New Roman"/>
          <w:b w:val="0"/>
          <w:bCs w:val="0"/>
        </w:rPr>
      </w:pPr>
      <w:r>
        <w:rPr>
          <w:rFonts w:hint="default" w:ascii="Times New Roman" w:hAnsi="Times New Roman" w:eastAsia="黑体" w:cs="Times New Roman"/>
          <w:b w:val="0"/>
          <w:bCs w:val="0"/>
          <w:sz w:val="32"/>
          <w:szCs w:val="32"/>
        </w:rPr>
        <w:t>四、财</w:t>
      </w:r>
      <w:r>
        <w:rPr>
          <w:rStyle w:val="29"/>
          <w:rFonts w:hint="default" w:ascii="Times New Roman" w:hAnsi="Times New Roman" w:eastAsia="黑体" w:cs="Times New Roman"/>
          <w:b w:val="0"/>
          <w:bCs w:val="0"/>
        </w:rPr>
        <w:t>政拨款收入支出决算总体情况说明</w:t>
      </w:r>
      <w:bookmarkEnd w:id="24"/>
      <w:bookmarkEnd w:id="25"/>
    </w:p>
    <w:p w14:paraId="1B70C2C8">
      <w:pPr>
        <w:pStyle w:val="27"/>
        <w:spacing w:line="600" w:lineRule="exact"/>
        <w:ind w:firstLine="64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度财政拨款收入、支出总计均为</w:t>
      </w:r>
      <w:r>
        <w:rPr>
          <w:rFonts w:hint="eastAsia" w:eastAsia="仿宋_GB2312" w:cs="Times New Roman"/>
          <w:sz w:val="32"/>
          <w:szCs w:val="32"/>
          <w:lang w:val="en-US" w:eastAsia="zh-CN"/>
        </w:rPr>
        <w:t>354.41</w:t>
      </w:r>
      <w:r>
        <w:rPr>
          <w:rFonts w:hint="default" w:ascii="Times New Roman" w:hAnsi="Times New Roman" w:eastAsia="仿宋_GB2312" w:cs="Times New Roman"/>
          <w:sz w:val="32"/>
          <w:szCs w:val="32"/>
        </w:rPr>
        <w:t>万元。与</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度相比，财政拨款收入总计、支出总计各</w:t>
      </w:r>
      <w:r>
        <w:rPr>
          <w:rFonts w:hint="eastAsia" w:eastAsia="仿宋_GB2312" w:cs="Times New Roman"/>
          <w:sz w:val="32"/>
          <w:szCs w:val="32"/>
          <w:lang w:eastAsia="zh-CN"/>
        </w:rPr>
        <w:t>减少</w:t>
      </w:r>
      <w:r>
        <w:rPr>
          <w:rFonts w:hint="eastAsia" w:eastAsia="仿宋_GB2312" w:cs="Times New Roman"/>
          <w:sz w:val="32"/>
          <w:szCs w:val="32"/>
          <w:lang w:val="en-US" w:eastAsia="zh-CN"/>
        </w:rPr>
        <w:t>25.35</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下降</w:t>
      </w:r>
      <w:r>
        <w:rPr>
          <w:rFonts w:hint="default" w:ascii="Times New Roman" w:hAnsi="Times New Roman" w:eastAsia="仿宋_GB2312" w:cs="Times New Roman"/>
          <w:sz w:val="32"/>
          <w:szCs w:val="32"/>
          <w:lang w:val="en-US" w:eastAsia="zh-CN"/>
        </w:rPr>
        <w:t>6.7</w:t>
      </w:r>
      <w:r>
        <w:rPr>
          <w:rFonts w:hint="default" w:ascii="Times New Roman" w:hAnsi="Times New Roman" w:eastAsia="仿宋_GB2312" w:cs="Times New Roman"/>
          <w:sz w:val="32"/>
          <w:szCs w:val="32"/>
        </w:rPr>
        <w:t>%。主要变动原因为本年度</w:t>
      </w:r>
      <w:r>
        <w:rPr>
          <w:rFonts w:hint="default" w:ascii="Times New Roman" w:hAnsi="Times New Roman" w:eastAsia="仿宋_GB2312" w:cs="Times New Roman"/>
          <w:sz w:val="32"/>
          <w:szCs w:val="32"/>
          <w:lang w:eastAsia="zh-CN"/>
        </w:rPr>
        <w:t>无项目支出</w:t>
      </w:r>
      <w:r>
        <w:rPr>
          <w:rFonts w:hint="default" w:ascii="Times New Roman" w:hAnsi="Times New Roman" w:eastAsia="仿宋_GB2312" w:cs="Times New Roman"/>
          <w:sz w:val="32"/>
          <w:szCs w:val="32"/>
        </w:rPr>
        <w:t>等。</w:t>
      </w:r>
    </w:p>
    <w:p w14:paraId="3B39CBF5">
      <w:pPr>
        <w:pStyle w:val="12"/>
        <w:ind w:left="420"/>
        <w:rPr>
          <w:rFonts w:hint="default" w:ascii="Times New Roman" w:hAnsi="Times New Roman" w:cs="Times New Roman"/>
          <w:color w:val="00B0F0"/>
        </w:rPr>
      </w:pPr>
      <w:r>
        <w:drawing>
          <wp:inline distT="0" distB="0" distL="114300" distR="114300">
            <wp:extent cx="4572000" cy="1914525"/>
            <wp:effectExtent l="4445" t="4445" r="14605" b="5080"/>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17B4C3A">
      <w:pPr>
        <w:spacing w:line="600" w:lineRule="exact"/>
        <w:ind w:firstLine="640" w:firstLineChars="200"/>
        <w:rPr>
          <w:rFonts w:hint="default" w:ascii="Times New Roman" w:hAnsi="Times New Roman" w:eastAsia="仿宋_GB2312" w:cs="Times New Roman"/>
          <w:sz w:val="32"/>
          <w:szCs w:val="32"/>
          <w:lang w:val="en-US" w:eastAsia="zh-CN"/>
        </w:rPr>
      </w:pPr>
      <w:bookmarkStart w:id="26" w:name="_Toc15396607"/>
      <w:bookmarkStart w:id="27" w:name="_Toc15377209"/>
      <w:r>
        <w:rPr>
          <w:rFonts w:hint="default" w:ascii="Times New Roman" w:hAnsi="Times New Roman" w:eastAsia="仿宋_GB2312" w:cs="Times New Roman"/>
          <w:sz w:val="32"/>
          <w:szCs w:val="32"/>
        </w:rPr>
        <w:t>（图4：财政拨款收、支决算总计变动情况）</w:t>
      </w:r>
      <w:r>
        <w:rPr>
          <w:rFonts w:hint="default" w:ascii="Times New Roman" w:hAnsi="Times New Roman" w:eastAsia="仿宋_GB2312" w:cs="Times New Roman"/>
          <w:sz w:val="32"/>
          <w:szCs w:val="32"/>
          <w:lang w:val="en-US" w:eastAsia="zh-CN"/>
        </w:rPr>
        <w:t xml:space="preserve"> </w:t>
      </w:r>
    </w:p>
    <w:p w14:paraId="4A7B4800">
      <w:pPr>
        <w:spacing w:line="600" w:lineRule="exact"/>
        <w:ind w:firstLine="640" w:firstLineChars="200"/>
        <w:outlineLvl w:val="1"/>
        <w:rPr>
          <w:rStyle w:val="29"/>
          <w:rFonts w:hint="default" w:ascii="Times New Roman" w:hAnsi="Times New Roman" w:eastAsia="黑体" w:cs="Times New Roman"/>
          <w:b w:val="0"/>
          <w:bCs w:val="0"/>
        </w:rPr>
      </w:pPr>
      <w:r>
        <w:rPr>
          <w:rFonts w:hint="default" w:ascii="Times New Roman" w:hAnsi="Times New Roman" w:eastAsia="黑体" w:cs="Times New Roman"/>
          <w:b w:val="0"/>
          <w:bCs w:val="0"/>
          <w:sz w:val="32"/>
          <w:szCs w:val="32"/>
        </w:rPr>
        <w:t>五、一</w:t>
      </w:r>
      <w:r>
        <w:rPr>
          <w:rStyle w:val="29"/>
          <w:rFonts w:hint="default" w:ascii="Times New Roman" w:hAnsi="Times New Roman" w:eastAsia="黑体" w:cs="Times New Roman"/>
          <w:b w:val="0"/>
          <w:bCs w:val="0"/>
        </w:rPr>
        <w:t>般公共预算财政拨款支出决算情况说明</w:t>
      </w:r>
      <w:bookmarkEnd w:id="26"/>
      <w:bookmarkEnd w:id="27"/>
    </w:p>
    <w:p w14:paraId="68FCD305">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2"/>
        <w:rPr>
          <w:rFonts w:hint="default" w:ascii="Times New Roman" w:hAnsi="Times New Roman" w:eastAsia="楷体_GB2312" w:cs="Times New Roman"/>
          <w:b/>
          <w:sz w:val="32"/>
          <w:szCs w:val="32"/>
        </w:rPr>
      </w:pPr>
      <w:bookmarkStart w:id="28" w:name="_Toc15377210"/>
      <w:r>
        <w:rPr>
          <w:rFonts w:hint="default" w:ascii="Times New Roman" w:hAnsi="Times New Roman" w:eastAsia="楷体_GB2312" w:cs="Times New Roman"/>
          <w:b/>
          <w:sz w:val="32"/>
          <w:szCs w:val="32"/>
        </w:rPr>
        <w:t>（一）一般公共预算财政拨款支出决算总体情况</w:t>
      </w:r>
      <w:bookmarkEnd w:id="28"/>
    </w:p>
    <w:p w14:paraId="64133947">
      <w:pPr>
        <w:pStyle w:val="27"/>
        <w:spacing w:line="600" w:lineRule="exact"/>
        <w:ind w:firstLine="64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度一般公共预算财政拨款支出</w:t>
      </w:r>
      <w:r>
        <w:rPr>
          <w:rFonts w:hint="eastAsia" w:eastAsia="仿宋_GB2312" w:cs="Times New Roman"/>
          <w:sz w:val="32"/>
          <w:szCs w:val="32"/>
          <w:lang w:val="en-US" w:eastAsia="zh-CN"/>
        </w:rPr>
        <w:t>354.41</w:t>
      </w:r>
      <w:r>
        <w:rPr>
          <w:rFonts w:hint="default" w:ascii="Times New Roman" w:hAnsi="Times New Roman" w:eastAsia="仿宋_GB2312" w:cs="Times New Roman"/>
          <w:sz w:val="32"/>
          <w:szCs w:val="32"/>
        </w:rPr>
        <w:t>万元，占本年支出合计的100%。与</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度相比，一般公共预算财政拨款支出</w:t>
      </w:r>
      <w:r>
        <w:rPr>
          <w:rFonts w:hint="default" w:ascii="Times New Roman" w:hAnsi="Times New Roman" w:eastAsia="仿宋_GB2312" w:cs="Times New Roman"/>
          <w:sz w:val="32"/>
          <w:szCs w:val="32"/>
          <w:lang w:eastAsia="zh-CN"/>
        </w:rPr>
        <w:t>下降</w:t>
      </w:r>
      <w:r>
        <w:rPr>
          <w:rFonts w:hint="default" w:ascii="Times New Roman" w:hAnsi="Times New Roman" w:eastAsia="仿宋_GB2312" w:cs="Times New Roman"/>
          <w:sz w:val="32"/>
          <w:szCs w:val="32"/>
          <w:lang w:val="en-US" w:eastAsia="zh-CN"/>
        </w:rPr>
        <w:t>6.7</w:t>
      </w:r>
      <w:r>
        <w:rPr>
          <w:rFonts w:hint="default" w:ascii="Times New Roman" w:hAnsi="Times New Roman" w:eastAsia="仿宋_GB2312" w:cs="Times New Roman"/>
          <w:sz w:val="32"/>
          <w:szCs w:val="32"/>
        </w:rPr>
        <w:t>%。主要变动原因为本年度</w:t>
      </w:r>
      <w:r>
        <w:rPr>
          <w:rFonts w:hint="default" w:ascii="Times New Roman" w:hAnsi="Times New Roman" w:eastAsia="仿宋_GB2312" w:cs="Times New Roman"/>
          <w:sz w:val="32"/>
          <w:szCs w:val="32"/>
          <w:lang w:eastAsia="zh-CN"/>
        </w:rPr>
        <w:t>无项目支出</w:t>
      </w:r>
      <w:r>
        <w:rPr>
          <w:rFonts w:hint="default" w:ascii="Times New Roman" w:hAnsi="Times New Roman" w:eastAsia="仿宋_GB2312" w:cs="Times New Roman"/>
          <w:sz w:val="32"/>
          <w:szCs w:val="32"/>
        </w:rPr>
        <w:t>等。</w:t>
      </w:r>
    </w:p>
    <w:p w14:paraId="5203FD70">
      <w:pPr>
        <w:pStyle w:val="19"/>
        <w:jc w:val="center"/>
        <w:rPr>
          <w:rFonts w:hint="default" w:ascii="Times New Roman" w:hAnsi="Times New Roman" w:cs="Times New Roman"/>
          <w:color w:val="00B0F0"/>
        </w:rPr>
      </w:pPr>
      <w:bookmarkStart w:id="29" w:name="_Toc15377211"/>
      <w:r>
        <w:drawing>
          <wp:anchor distT="0" distB="0" distL="114300" distR="114300" simplePos="0" relativeHeight="251659264" behindDoc="1" locked="0" layoutInCell="1" allowOverlap="1">
            <wp:simplePos x="0" y="0"/>
            <wp:positionH relativeFrom="column">
              <wp:posOffset>956945</wp:posOffset>
            </wp:positionH>
            <wp:positionV relativeFrom="page">
              <wp:posOffset>7419340</wp:posOffset>
            </wp:positionV>
            <wp:extent cx="3345180" cy="2602865"/>
            <wp:effectExtent l="4445" t="5080" r="22225" b="78105"/>
            <wp:wrapTight wrapText="bothSides">
              <wp:wrapPolygon>
                <wp:start x="-29" y="-42"/>
                <wp:lineTo x="-29" y="21458"/>
                <wp:lineTo x="21497" y="21458"/>
                <wp:lineTo x="21497" y="-42"/>
                <wp:lineTo x="-29" y="-42"/>
              </wp:wrapPolygon>
            </wp:wrapTight>
            <wp:docPr id="519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2F475B64">
      <w:pPr>
        <w:spacing w:line="600" w:lineRule="exact"/>
        <w:ind w:firstLine="320" w:firstLineChars="100"/>
        <w:rPr>
          <w:rFonts w:hint="default" w:ascii="Times New Roman" w:hAnsi="Times New Roman" w:eastAsia="仿宋_GB2312" w:cs="Times New Roman"/>
          <w:sz w:val="32"/>
          <w:szCs w:val="32"/>
        </w:rPr>
      </w:pPr>
    </w:p>
    <w:p w14:paraId="7FCC607D">
      <w:pPr>
        <w:spacing w:line="600" w:lineRule="exact"/>
        <w:ind w:firstLine="320" w:firstLineChars="100"/>
        <w:rPr>
          <w:rFonts w:hint="default" w:ascii="Times New Roman" w:hAnsi="Times New Roman" w:eastAsia="仿宋_GB2312" w:cs="Times New Roman"/>
          <w:sz w:val="32"/>
          <w:szCs w:val="32"/>
        </w:rPr>
      </w:pPr>
    </w:p>
    <w:p w14:paraId="7C2CC2AD">
      <w:pPr>
        <w:spacing w:line="600" w:lineRule="exact"/>
        <w:ind w:firstLine="320" w:firstLineChars="100"/>
        <w:rPr>
          <w:rFonts w:hint="default" w:ascii="Times New Roman" w:hAnsi="Times New Roman" w:eastAsia="仿宋_GB2312" w:cs="Times New Roman"/>
          <w:sz w:val="32"/>
          <w:szCs w:val="32"/>
        </w:rPr>
      </w:pPr>
    </w:p>
    <w:p w14:paraId="56716CEB">
      <w:pPr>
        <w:spacing w:line="600" w:lineRule="exact"/>
        <w:ind w:firstLine="320" w:firstLineChars="100"/>
        <w:rPr>
          <w:rFonts w:hint="default" w:ascii="Times New Roman" w:hAnsi="Times New Roman" w:eastAsia="仿宋_GB2312" w:cs="Times New Roman"/>
          <w:lang w:val="en-US" w:eastAsia="zh-CN"/>
        </w:rPr>
      </w:pPr>
      <w:r>
        <w:rPr>
          <w:rFonts w:hint="default" w:ascii="Times New Roman" w:hAnsi="Times New Roman" w:eastAsia="仿宋_GB2312" w:cs="Times New Roman"/>
          <w:sz w:val="32"/>
          <w:szCs w:val="32"/>
        </w:rPr>
        <w:t>(图5：一般公共预算财政拨款支出决算变动情况)</w:t>
      </w:r>
      <w:r>
        <w:rPr>
          <w:rFonts w:hint="default" w:ascii="Times New Roman" w:hAnsi="Times New Roman" w:eastAsia="仿宋_GB2312" w:cs="Times New Roman"/>
          <w:sz w:val="32"/>
          <w:szCs w:val="32"/>
          <w:lang w:val="en-US" w:eastAsia="zh-CN"/>
        </w:rPr>
        <w:t xml:space="preserve"> </w:t>
      </w:r>
    </w:p>
    <w:p w14:paraId="06783B5F">
      <w:pPr>
        <w:spacing w:line="600" w:lineRule="exact"/>
        <w:ind w:firstLine="643" w:firstLineChars="200"/>
        <w:outlineLvl w:val="2"/>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（二）一般公共预算财政拨款支出决算结构情况</w:t>
      </w:r>
      <w:bookmarkEnd w:id="29"/>
    </w:p>
    <w:p w14:paraId="289225EE">
      <w:pPr>
        <w:spacing w:line="600" w:lineRule="exact"/>
        <w:ind w:firstLine="640"/>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度一般公共预算财政拨款支出</w:t>
      </w:r>
      <w:r>
        <w:rPr>
          <w:rFonts w:hint="eastAsia" w:eastAsia="仿宋_GB2312" w:cs="Times New Roman"/>
          <w:sz w:val="32"/>
          <w:szCs w:val="32"/>
          <w:lang w:val="en-US" w:eastAsia="zh-CN"/>
        </w:rPr>
        <w:t>354.41</w:t>
      </w:r>
      <w:r>
        <w:rPr>
          <w:rFonts w:hint="default" w:ascii="Times New Roman" w:hAnsi="Times New Roman" w:eastAsia="仿宋_GB2312" w:cs="Times New Roman"/>
          <w:sz w:val="32"/>
          <w:szCs w:val="32"/>
        </w:rPr>
        <w:t>万元，主要用于以下方面：一般公共服务支出0万元，占0%；教育支出0万元，占0%；科学技术支出0万元，占0%；文化旅游体育与传媒支出0万元，占0%；社会保障和就业支出</w:t>
      </w:r>
      <w:r>
        <w:rPr>
          <w:rFonts w:hint="eastAsia" w:eastAsia="仿宋_GB2312" w:cs="Times New Roman"/>
          <w:sz w:val="32"/>
          <w:szCs w:val="32"/>
          <w:lang w:val="en-US" w:eastAsia="zh-CN"/>
        </w:rPr>
        <w:t>48.54</w:t>
      </w:r>
      <w:r>
        <w:rPr>
          <w:rFonts w:hint="default" w:ascii="Times New Roman" w:hAnsi="Times New Roman" w:eastAsia="仿宋_GB2312" w:cs="Times New Roman"/>
          <w:sz w:val="32"/>
          <w:szCs w:val="32"/>
        </w:rPr>
        <w:t>万元，占</w:t>
      </w:r>
      <w:r>
        <w:rPr>
          <w:rFonts w:hint="eastAsia" w:eastAsia="仿宋_GB2312" w:cs="Times New Roman"/>
          <w:sz w:val="32"/>
          <w:szCs w:val="32"/>
          <w:lang w:val="en-US" w:eastAsia="zh-CN"/>
        </w:rPr>
        <w:t>13.7</w:t>
      </w:r>
      <w:r>
        <w:rPr>
          <w:rFonts w:hint="default" w:ascii="Times New Roman" w:hAnsi="Times New Roman" w:eastAsia="仿宋_GB2312" w:cs="Times New Roman"/>
          <w:sz w:val="32"/>
          <w:szCs w:val="32"/>
        </w:rPr>
        <w:t>%；卫生健康支出</w:t>
      </w:r>
      <w:r>
        <w:rPr>
          <w:rFonts w:hint="eastAsia" w:eastAsia="仿宋_GB2312" w:cs="Times New Roman"/>
          <w:sz w:val="32"/>
          <w:szCs w:val="32"/>
          <w:lang w:val="en-US" w:eastAsia="zh-CN"/>
        </w:rPr>
        <w:t>17.02</w:t>
      </w:r>
      <w:r>
        <w:rPr>
          <w:rFonts w:hint="default" w:ascii="Times New Roman" w:hAnsi="Times New Roman" w:eastAsia="仿宋_GB2312" w:cs="Times New Roman"/>
          <w:sz w:val="32"/>
          <w:szCs w:val="32"/>
        </w:rPr>
        <w:t>万元，占4.8%；自然资源海洋气象等支出</w:t>
      </w:r>
      <w:r>
        <w:rPr>
          <w:rFonts w:hint="eastAsia" w:eastAsia="仿宋_GB2312" w:cs="Times New Roman"/>
          <w:sz w:val="32"/>
          <w:szCs w:val="32"/>
          <w:lang w:val="en-US" w:eastAsia="zh-CN"/>
        </w:rPr>
        <w:t>265.94</w:t>
      </w:r>
      <w:r>
        <w:rPr>
          <w:rFonts w:hint="default" w:ascii="Times New Roman" w:hAnsi="Times New Roman" w:eastAsia="仿宋_GB2312" w:cs="Times New Roman"/>
          <w:sz w:val="32"/>
          <w:szCs w:val="32"/>
        </w:rPr>
        <w:t>万元，占</w:t>
      </w:r>
      <w:r>
        <w:rPr>
          <w:rFonts w:hint="eastAsia" w:eastAsia="仿宋_GB2312" w:cs="Times New Roman"/>
          <w:sz w:val="32"/>
          <w:szCs w:val="32"/>
          <w:lang w:val="en-US" w:eastAsia="zh-CN"/>
        </w:rPr>
        <w:t>75</w:t>
      </w:r>
      <w:r>
        <w:rPr>
          <w:rFonts w:hint="default" w:ascii="Times New Roman" w:hAnsi="Times New Roman" w:eastAsia="仿宋_GB2312" w:cs="Times New Roman"/>
          <w:sz w:val="32"/>
          <w:szCs w:val="32"/>
        </w:rPr>
        <w:t>%；住房保障支出</w:t>
      </w:r>
      <w:r>
        <w:rPr>
          <w:rFonts w:hint="eastAsia" w:eastAsia="仿宋_GB2312" w:cs="Times New Roman"/>
          <w:sz w:val="32"/>
          <w:szCs w:val="32"/>
          <w:lang w:val="en-US" w:eastAsia="zh-CN"/>
        </w:rPr>
        <w:t>22.91</w:t>
      </w:r>
      <w:r>
        <w:rPr>
          <w:rFonts w:hint="default" w:ascii="Times New Roman" w:hAnsi="Times New Roman" w:eastAsia="仿宋_GB2312" w:cs="Times New Roman"/>
          <w:sz w:val="32"/>
          <w:szCs w:val="32"/>
        </w:rPr>
        <w:t>万元，占</w:t>
      </w:r>
      <w:r>
        <w:rPr>
          <w:rFonts w:hint="eastAsia" w:eastAsia="仿宋_GB2312" w:cs="Times New Roman"/>
          <w:sz w:val="32"/>
          <w:szCs w:val="32"/>
          <w:lang w:val="en-US" w:eastAsia="zh-CN"/>
        </w:rPr>
        <w:t>6.5</w:t>
      </w:r>
      <w:r>
        <w:rPr>
          <w:rFonts w:hint="default" w:ascii="Times New Roman" w:hAnsi="Times New Roman" w:eastAsia="仿宋_GB2312" w:cs="Times New Roman"/>
          <w:sz w:val="32"/>
          <w:szCs w:val="32"/>
        </w:rPr>
        <w:t>%。</w:t>
      </w:r>
    </w:p>
    <w:p w14:paraId="6CA0258F">
      <w:pPr>
        <w:pStyle w:val="13"/>
        <w:ind w:left="0" w:leftChars="0" w:firstLine="0" w:firstLineChars="0"/>
        <w:jc w:val="center"/>
        <w:rPr>
          <w:rFonts w:hint="default" w:ascii="Times New Roman" w:hAnsi="Times New Roman" w:cs="Times New Roman"/>
          <w:color w:val="00B0F0"/>
        </w:rPr>
      </w:pPr>
      <w:r>
        <w:drawing>
          <wp:inline distT="0" distB="0" distL="114300" distR="114300">
            <wp:extent cx="4572000" cy="2657475"/>
            <wp:effectExtent l="4445" t="4445" r="14605" b="5080"/>
            <wp:docPr id="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042F505">
      <w:pPr>
        <w:spacing w:line="600" w:lineRule="exact"/>
        <w:ind w:firstLine="64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（图6：一般公共预算财政拨款支出决算结构）</w:t>
      </w:r>
      <w:r>
        <w:rPr>
          <w:rFonts w:hint="default" w:ascii="Times New Roman" w:hAnsi="Times New Roman" w:eastAsia="仿宋_GB2312" w:cs="Times New Roman"/>
          <w:sz w:val="32"/>
          <w:szCs w:val="32"/>
          <w:lang w:val="en-US" w:eastAsia="zh-CN"/>
        </w:rPr>
        <w:t xml:space="preserve"> </w:t>
      </w:r>
    </w:p>
    <w:p w14:paraId="3E1A274E">
      <w:pPr>
        <w:spacing w:line="600" w:lineRule="exact"/>
        <w:ind w:firstLine="643" w:firstLineChars="200"/>
        <w:outlineLvl w:val="2"/>
        <w:rPr>
          <w:rFonts w:hint="default" w:ascii="Times New Roman" w:hAnsi="Times New Roman" w:eastAsia="楷体_GB2312" w:cs="Times New Roman"/>
          <w:b/>
          <w:sz w:val="32"/>
          <w:szCs w:val="32"/>
        </w:rPr>
      </w:pPr>
      <w:bookmarkStart w:id="30" w:name="_Toc15377212"/>
      <w:r>
        <w:rPr>
          <w:rFonts w:hint="default" w:ascii="Times New Roman" w:hAnsi="Times New Roman" w:eastAsia="楷体_GB2312" w:cs="Times New Roman"/>
          <w:b/>
          <w:sz w:val="32"/>
          <w:szCs w:val="32"/>
        </w:rPr>
        <w:t>（三）一般公共预算财政拨款支出决算具体情况</w:t>
      </w:r>
      <w:bookmarkEnd w:id="30"/>
    </w:p>
    <w:p w14:paraId="1C725965">
      <w:pPr>
        <w:spacing w:line="600" w:lineRule="exact"/>
        <w:ind w:firstLine="640"/>
        <w:rPr>
          <w:rFonts w:hint="default" w:ascii="Times New Roman" w:hAnsi="Times New Roman" w:eastAsia="仿宋_GB2312" w:cs="Times New Roman"/>
          <w:sz w:val="32"/>
          <w:szCs w:val="32"/>
        </w:rPr>
      </w:pPr>
      <w:bookmarkStart w:id="31" w:name="_Toc15377213"/>
      <w:bookmarkStart w:id="32" w:name="_Toc15378460"/>
      <w:bookmarkStart w:id="33" w:name="_Toc15377444"/>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度一般公共预算财政拨款支出决算数为</w:t>
      </w:r>
      <w:r>
        <w:rPr>
          <w:rFonts w:hint="eastAsia" w:eastAsia="仿宋_GB2312" w:cs="Times New Roman"/>
          <w:sz w:val="32"/>
          <w:szCs w:val="32"/>
          <w:lang w:val="en-US" w:eastAsia="zh-CN"/>
        </w:rPr>
        <w:t>354.41万元</w:t>
      </w:r>
      <w:r>
        <w:rPr>
          <w:rFonts w:hint="default" w:ascii="Times New Roman" w:hAnsi="Times New Roman" w:eastAsia="仿宋_GB2312" w:cs="Times New Roman"/>
          <w:sz w:val="32"/>
          <w:szCs w:val="32"/>
        </w:rPr>
        <w:t>，完成预算100%。其中：</w:t>
      </w:r>
      <w:bookmarkEnd w:id="31"/>
      <w:bookmarkEnd w:id="32"/>
      <w:bookmarkEnd w:id="33"/>
    </w:p>
    <w:p w14:paraId="09DBAF8A">
      <w:pPr>
        <w:spacing w:line="600" w:lineRule="exact"/>
        <w:ind w:firstLine="643" w:firstLineChars="200"/>
        <w:outlineLvl w:val="2"/>
        <w:rPr>
          <w:rFonts w:hint="default" w:ascii="Times New Roman" w:hAnsi="Times New Roman" w:eastAsia="仿宋" w:cs="Times New Roman"/>
          <w:sz w:val="32"/>
          <w:szCs w:val="32"/>
        </w:rPr>
      </w:pPr>
      <w:r>
        <w:rPr>
          <w:rFonts w:hint="default" w:ascii="Times New Roman" w:hAnsi="Times New Roman" w:eastAsia="仿宋_GB2312" w:cs="Times New Roman"/>
          <w:b/>
          <w:bCs/>
          <w:sz w:val="32"/>
          <w:szCs w:val="32"/>
        </w:rPr>
        <w:t>1.</w:t>
      </w:r>
      <w:r>
        <w:rPr>
          <w:rFonts w:hint="default" w:ascii="Times New Roman" w:hAnsi="Times New Roman" w:cs="Times New Roman"/>
        </w:rPr>
        <w:t xml:space="preserve"> </w:t>
      </w:r>
      <w:r>
        <w:rPr>
          <w:rFonts w:hint="default" w:ascii="Times New Roman" w:hAnsi="Times New Roman" w:eastAsia="仿宋_GB2312" w:cs="Times New Roman"/>
          <w:b/>
          <w:bCs/>
          <w:sz w:val="32"/>
          <w:szCs w:val="32"/>
        </w:rPr>
        <w:t>社会保障和就业支出（类）行政事业单位养老支出（款）事业单位离退休（项）:</w:t>
      </w:r>
      <w:r>
        <w:rPr>
          <w:rFonts w:hint="default" w:ascii="Times New Roman" w:hAnsi="Times New Roman" w:eastAsia="仿宋_GB2312" w:cs="Times New Roman"/>
          <w:sz w:val="32"/>
          <w:szCs w:val="32"/>
        </w:rPr>
        <w:t xml:space="preserve"> </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8.49</w:t>
      </w:r>
      <w:r>
        <w:rPr>
          <w:rFonts w:hint="default" w:ascii="Times New Roman" w:hAnsi="Times New Roman" w:eastAsia="仿宋" w:cs="Times New Roman"/>
          <w:sz w:val="32"/>
          <w:szCs w:val="32"/>
        </w:rPr>
        <w:t>万元，完成预算100%，决算数等于预算数。</w:t>
      </w:r>
    </w:p>
    <w:p w14:paraId="57D85B72">
      <w:pPr>
        <w:spacing w:line="600" w:lineRule="exact"/>
        <w:ind w:firstLine="643" w:firstLineChars="200"/>
        <w:outlineLvl w:val="2"/>
        <w:rPr>
          <w:rFonts w:hint="default" w:ascii="Times New Roman" w:hAnsi="Times New Roman" w:eastAsia="仿宋" w:cs="Times New Roman"/>
          <w:sz w:val="32"/>
          <w:szCs w:val="32"/>
        </w:rPr>
      </w:pPr>
      <w:r>
        <w:rPr>
          <w:rFonts w:hint="default" w:ascii="Times New Roman" w:hAnsi="Times New Roman" w:eastAsia="仿宋_GB2312" w:cs="Times New Roman"/>
          <w:b/>
          <w:bCs/>
          <w:sz w:val="32"/>
          <w:szCs w:val="32"/>
        </w:rPr>
        <w:t>2. 社会保障和就业支出（类）行政事业单位养老支出（款）机关事业单位基本养老保险缴费支出（项）:</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31.38</w:t>
      </w:r>
      <w:r>
        <w:rPr>
          <w:rFonts w:hint="default" w:ascii="Times New Roman" w:hAnsi="Times New Roman" w:eastAsia="仿宋" w:cs="Times New Roman"/>
          <w:sz w:val="32"/>
          <w:szCs w:val="32"/>
        </w:rPr>
        <w:t>万元，完成预算100%，决算数等于预算数。</w:t>
      </w:r>
    </w:p>
    <w:p w14:paraId="1076A16E">
      <w:pPr>
        <w:spacing w:line="600" w:lineRule="exact"/>
        <w:ind w:firstLine="643" w:firstLineChars="200"/>
        <w:outlineLvl w:val="2"/>
        <w:rPr>
          <w:rFonts w:hint="default" w:ascii="Times New Roman" w:hAnsi="Times New Roman" w:eastAsia="仿宋" w:cs="Times New Roman"/>
          <w:sz w:val="32"/>
          <w:szCs w:val="32"/>
        </w:rPr>
      </w:pPr>
      <w:r>
        <w:rPr>
          <w:rFonts w:hint="eastAsia" w:eastAsia="仿宋_GB2312" w:cs="Times New Roman"/>
          <w:b/>
          <w:bCs/>
          <w:sz w:val="32"/>
          <w:szCs w:val="32"/>
          <w:lang w:val="en-US" w:eastAsia="zh-CN"/>
        </w:rPr>
        <w:t>3.</w:t>
      </w:r>
      <w:r>
        <w:rPr>
          <w:rFonts w:hint="default" w:ascii="Times New Roman" w:hAnsi="Times New Roman" w:eastAsia="仿宋_GB2312" w:cs="Times New Roman"/>
          <w:b/>
          <w:bCs/>
          <w:sz w:val="32"/>
          <w:szCs w:val="32"/>
        </w:rPr>
        <w:t>社会保障和就业支出（类）行政事业单位养老支出（款）机关事业单位</w:t>
      </w:r>
      <w:r>
        <w:rPr>
          <w:rFonts w:hint="eastAsia" w:eastAsia="仿宋_GB2312" w:cs="Times New Roman"/>
          <w:b/>
          <w:bCs/>
          <w:sz w:val="32"/>
          <w:szCs w:val="32"/>
          <w:lang w:eastAsia="zh-CN"/>
        </w:rPr>
        <w:t>职业年金</w:t>
      </w:r>
      <w:r>
        <w:rPr>
          <w:rFonts w:hint="default" w:ascii="Times New Roman" w:hAnsi="Times New Roman" w:eastAsia="仿宋_GB2312" w:cs="Times New Roman"/>
          <w:b/>
          <w:bCs/>
          <w:sz w:val="32"/>
          <w:szCs w:val="32"/>
        </w:rPr>
        <w:t>缴费支出（项）:</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8.67</w:t>
      </w:r>
      <w:r>
        <w:rPr>
          <w:rFonts w:hint="default" w:ascii="Times New Roman" w:hAnsi="Times New Roman" w:eastAsia="仿宋" w:cs="Times New Roman"/>
          <w:sz w:val="32"/>
          <w:szCs w:val="32"/>
        </w:rPr>
        <w:t>万元，完成预算100%，决算数等于预算数。</w:t>
      </w:r>
    </w:p>
    <w:p w14:paraId="78BEC43A">
      <w:pPr>
        <w:spacing w:line="600" w:lineRule="exact"/>
        <w:ind w:firstLine="643" w:firstLineChars="200"/>
        <w:outlineLvl w:val="2"/>
        <w:rPr>
          <w:rFonts w:hint="default" w:ascii="Times New Roman" w:hAnsi="Times New Roman" w:eastAsia="仿宋" w:cs="Times New Roman"/>
          <w:sz w:val="32"/>
          <w:szCs w:val="32"/>
        </w:rPr>
      </w:pPr>
      <w:r>
        <w:rPr>
          <w:rFonts w:hint="eastAsia" w:eastAsia="仿宋_GB2312" w:cs="Times New Roman"/>
          <w:b/>
          <w:bCs/>
          <w:sz w:val="32"/>
          <w:szCs w:val="32"/>
          <w:lang w:val="en-US" w:eastAsia="zh-CN"/>
        </w:rPr>
        <w:t>4</w:t>
      </w:r>
      <w:r>
        <w:rPr>
          <w:rFonts w:hint="default" w:ascii="Times New Roman" w:hAnsi="Times New Roman" w:eastAsia="仿宋_GB2312" w:cs="Times New Roman"/>
          <w:b/>
          <w:bCs/>
          <w:sz w:val="32"/>
          <w:szCs w:val="32"/>
        </w:rPr>
        <w:t>. 卫生健康支出（类）行政事业单位医疗（款）事业单位医疗（项）:</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15.10</w:t>
      </w:r>
      <w:r>
        <w:rPr>
          <w:rFonts w:hint="default" w:ascii="Times New Roman" w:hAnsi="Times New Roman" w:eastAsia="仿宋" w:cs="Times New Roman"/>
          <w:sz w:val="32"/>
          <w:szCs w:val="32"/>
        </w:rPr>
        <w:t>万元，完成预算100%，决算数等于预算数。</w:t>
      </w:r>
    </w:p>
    <w:p w14:paraId="44866E32">
      <w:pPr>
        <w:spacing w:line="600" w:lineRule="exact"/>
        <w:ind w:firstLine="643" w:firstLineChars="200"/>
        <w:outlineLvl w:val="2"/>
        <w:rPr>
          <w:rFonts w:hint="default" w:ascii="Times New Roman" w:hAnsi="Times New Roman" w:eastAsia="仿宋" w:cs="Times New Roman"/>
          <w:sz w:val="32"/>
          <w:szCs w:val="32"/>
        </w:rPr>
      </w:pPr>
      <w:r>
        <w:rPr>
          <w:rFonts w:hint="eastAsia" w:eastAsia="仿宋_GB2312" w:cs="Times New Roman"/>
          <w:b/>
          <w:bCs/>
          <w:sz w:val="32"/>
          <w:szCs w:val="32"/>
          <w:lang w:val="en-US" w:eastAsia="zh-CN"/>
        </w:rPr>
        <w:t>5</w:t>
      </w:r>
      <w:r>
        <w:rPr>
          <w:rFonts w:hint="default" w:ascii="Times New Roman" w:hAnsi="Times New Roman" w:eastAsia="仿宋_GB2312" w:cs="Times New Roman"/>
          <w:b/>
          <w:bCs/>
          <w:sz w:val="32"/>
          <w:szCs w:val="32"/>
        </w:rPr>
        <w:t>.卫生健康支出（类）行政事业单位医疗（款）公务员医疗补助（项）:</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1.92</w:t>
      </w:r>
      <w:r>
        <w:rPr>
          <w:rFonts w:hint="default" w:ascii="Times New Roman" w:hAnsi="Times New Roman" w:eastAsia="仿宋" w:cs="Times New Roman"/>
          <w:sz w:val="32"/>
          <w:szCs w:val="32"/>
        </w:rPr>
        <w:t>万元，完成预算100%，决算数等于预算数。</w:t>
      </w:r>
    </w:p>
    <w:p w14:paraId="48A1C220">
      <w:pPr>
        <w:spacing w:line="600" w:lineRule="exact"/>
        <w:ind w:firstLine="643" w:firstLineChars="200"/>
        <w:outlineLvl w:val="2"/>
        <w:rPr>
          <w:rFonts w:hint="default" w:ascii="Times New Roman" w:hAnsi="Times New Roman" w:eastAsia="仿宋" w:cs="Times New Roman"/>
          <w:sz w:val="32"/>
          <w:szCs w:val="32"/>
        </w:rPr>
      </w:pPr>
      <w:r>
        <w:rPr>
          <w:rFonts w:hint="default" w:ascii="Times New Roman" w:hAnsi="Times New Roman" w:eastAsia="仿宋_GB2312" w:cs="Times New Roman"/>
          <w:b/>
          <w:bCs/>
          <w:sz w:val="32"/>
          <w:szCs w:val="32"/>
        </w:rPr>
        <w:t xml:space="preserve"> 7.自然资源海洋气象等支出（类）自然资源事务（款）事业运行（项）:</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236.75</w:t>
      </w:r>
      <w:r>
        <w:rPr>
          <w:rFonts w:hint="default" w:ascii="Times New Roman" w:hAnsi="Times New Roman" w:eastAsia="仿宋" w:cs="Times New Roman"/>
          <w:sz w:val="32"/>
          <w:szCs w:val="32"/>
        </w:rPr>
        <w:t>万元，完成预算100%，决算数等于预算数。</w:t>
      </w:r>
      <w:r>
        <w:rPr>
          <w:rFonts w:hint="default" w:ascii="Times New Roman" w:hAnsi="Times New Roman" w:cs="Times New Roman"/>
        </w:rPr>
        <w:t xml:space="preserve"> </w:t>
      </w:r>
    </w:p>
    <w:p w14:paraId="4C81EB23">
      <w:pPr>
        <w:spacing w:line="600" w:lineRule="exact"/>
        <w:ind w:firstLine="643" w:firstLineChars="200"/>
        <w:outlineLvl w:val="2"/>
        <w:rPr>
          <w:rFonts w:hint="default" w:ascii="Times New Roman" w:hAnsi="Times New Roman" w:eastAsia="仿宋" w:cs="Times New Roman"/>
          <w:sz w:val="32"/>
          <w:szCs w:val="32"/>
        </w:rPr>
      </w:pPr>
      <w:r>
        <w:rPr>
          <w:rFonts w:hint="default" w:ascii="Times New Roman" w:hAnsi="Times New Roman" w:eastAsia="仿宋_GB2312" w:cs="Times New Roman"/>
          <w:b/>
          <w:bCs/>
          <w:sz w:val="32"/>
          <w:szCs w:val="32"/>
        </w:rPr>
        <w:t>8.</w:t>
      </w:r>
      <w:r>
        <w:rPr>
          <w:rFonts w:hint="default" w:ascii="Times New Roman" w:hAnsi="Times New Roman" w:cs="Times New Roman"/>
        </w:rPr>
        <w:t xml:space="preserve"> </w:t>
      </w:r>
      <w:r>
        <w:rPr>
          <w:rFonts w:hint="default" w:ascii="Times New Roman" w:hAnsi="Times New Roman" w:eastAsia="仿宋_GB2312" w:cs="Times New Roman"/>
          <w:b/>
          <w:bCs/>
          <w:sz w:val="32"/>
          <w:szCs w:val="32"/>
        </w:rPr>
        <w:t>自然资源海洋气象等支出（类）自然资源事务（款）其他自然资源事务支出（项）:</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29.19</w:t>
      </w:r>
      <w:r>
        <w:rPr>
          <w:rFonts w:hint="default" w:ascii="Times New Roman" w:hAnsi="Times New Roman" w:eastAsia="仿宋" w:cs="Times New Roman"/>
          <w:sz w:val="32"/>
          <w:szCs w:val="32"/>
        </w:rPr>
        <w:t>万元，完成预算100%，决算数等于预算数。</w:t>
      </w:r>
    </w:p>
    <w:p w14:paraId="3161BD32">
      <w:pPr>
        <w:spacing w:line="600" w:lineRule="exact"/>
        <w:ind w:firstLine="643" w:firstLineChars="200"/>
        <w:outlineLvl w:val="2"/>
        <w:rPr>
          <w:rFonts w:hint="default" w:ascii="Times New Roman" w:hAnsi="Times New Roman" w:eastAsia="仿宋" w:cs="Times New Roman"/>
          <w:sz w:val="32"/>
          <w:szCs w:val="32"/>
        </w:rPr>
      </w:pPr>
      <w:r>
        <w:rPr>
          <w:rFonts w:hint="default" w:ascii="Times New Roman" w:hAnsi="Times New Roman" w:eastAsia="仿宋_GB2312" w:cs="Times New Roman"/>
          <w:b/>
          <w:bCs/>
          <w:sz w:val="32"/>
          <w:szCs w:val="32"/>
        </w:rPr>
        <w:t>9.住房保障支出（类）住房改革支出（款）住房公积金（项）:</w:t>
      </w:r>
      <w:r>
        <w:rPr>
          <w:rFonts w:hint="default" w:ascii="Times New Roman" w:hAnsi="Times New Roman" w:eastAsia="仿宋" w:cs="Times New Roman"/>
          <w:sz w:val="32"/>
          <w:szCs w:val="32"/>
        </w:rPr>
        <w:t>支出决算为</w:t>
      </w:r>
      <w:r>
        <w:rPr>
          <w:rFonts w:hint="eastAsia" w:eastAsia="仿宋" w:cs="Times New Roman"/>
          <w:sz w:val="32"/>
          <w:szCs w:val="32"/>
          <w:lang w:val="en-US" w:eastAsia="zh-CN"/>
        </w:rPr>
        <w:t>22.91</w:t>
      </w:r>
      <w:r>
        <w:rPr>
          <w:rFonts w:hint="default" w:ascii="Times New Roman" w:hAnsi="Times New Roman" w:eastAsia="仿宋" w:cs="Times New Roman"/>
          <w:sz w:val="32"/>
          <w:szCs w:val="32"/>
        </w:rPr>
        <w:t>万元，完成预算100%，决算数等于预算数。</w:t>
      </w:r>
    </w:p>
    <w:p w14:paraId="09F3D0E6">
      <w:pPr>
        <w:tabs>
          <w:tab w:val="right" w:pos="8306"/>
        </w:tabs>
        <w:spacing w:line="600" w:lineRule="exact"/>
        <w:ind w:firstLine="640" w:firstLineChars="200"/>
        <w:outlineLvl w:val="1"/>
        <w:rPr>
          <w:rStyle w:val="29"/>
          <w:rFonts w:hint="default" w:ascii="Times New Roman" w:hAnsi="Times New Roman" w:cs="Times New Roman"/>
        </w:rPr>
      </w:pPr>
      <w:bookmarkStart w:id="34" w:name="_Toc15396608"/>
      <w:bookmarkStart w:id="35" w:name="_Toc15377214"/>
      <w:r>
        <w:rPr>
          <w:rFonts w:hint="default" w:ascii="Times New Roman" w:hAnsi="Times New Roman" w:eastAsia="黑体" w:cs="Times New Roman"/>
          <w:b w:val="0"/>
          <w:bCs w:val="0"/>
          <w:sz w:val="32"/>
          <w:szCs w:val="32"/>
        </w:rPr>
        <w:t>六、一</w:t>
      </w:r>
      <w:r>
        <w:rPr>
          <w:rStyle w:val="29"/>
          <w:rFonts w:hint="default" w:ascii="Times New Roman" w:hAnsi="Times New Roman" w:eastAsia="黑体" w:cs="Times New Roman"/>
          <w:b w:val="0"/>
          <w:bCs w:val="0"/>
        </w:rPr>
        <w:t>般公共预算财政拨款基本支出决算情况说明</w:t>
      </w:r>
      <w:bookmarkEnd w:id="34"/>
      <w:bookmarkEnd w:id="35"/>
      <w:r>
        <w:rPr>
          <w:rStyle w:val="29"/>
          <w:rFonts w:hint="default" w:ascii="Times New Roman" w:hAnsi="Times New Roman" w:eastAsia="黑体" w:cs="Times New Roman"/>
          <w:b w:val="0"/>
          <w:bCs w:val="0"/>
        </w:rPr>
        <w:tab/>
      </w:r>
    </w:p>
    <w:p w14:paraId="12C56FA6">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度一般公共预算财政拨款基本支出</w:t>
      </w:r>
      <w:r>
        <w:rPr>
          <w:rFonts w:hint="eastAsia" w:eastAsia="仿宋_GB2312" w:cs="Times New Roman"/>
          <w:sz w:val="32"/>
          <w:szCs w:val="32"/>
          <w:lang w:val="en-US" w:eastAsia="zh-CN"/>
        </w:rPr>
        <w:t>354.41</w:t>
      </w:r>
      <w:r>
        <w:rPr>
          <w:rFonts w:hint="default" w:ascii="Times New Roman" w:hAnsi="Times New Roman" w:eastAsia="仿宋_GB2312" w:cs="Times New Roman"/>
          <w:sz w:val="32"/>
          <w:szCs w:val="32"/>
        </w:rPr>
        <w:t>万元，其中：</w:t>
      </w:r>
    </w:p>
    <w:p w14:paraId="27CA655A">
      <w:pPr>
        <w:spacing w:line="600" w:lineRule="exact"/>
        <w:ind w:firstLine="640"/>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rPr>
        <w:t>人员经费</w:t>
      </w:r>
      <w:r>
        <w:rPr>
          <w:rFonts w:hint="eastAsia" w:eastAsia="仿宋_GB2312" w:cs="Times New Roman"/>
          <w:sz w:val="32"/>
          <w:szCs w:val="32"/>
          <w:lang w:val="en-US" w:eastAsia="zh-CN"/>
        </w:rPr>
        <w:t>336.26</w:t>
      </w:r>
      <w:r>
        <w:rPr>
          <w:rFonts w:hint="default" w:ascii="Times New Roman" w:hAnsi="Times New Roman" w:eastAsia="仿宋_GB2312" w:cs="Times New Roman"/>
          <w:sz w:val="32"/>
          <w:szCs w:val="32"/>
        </w:rPr>
        <w:t>万元，主要包括：基本工资、津贴补贴、绩效工资、机关事业单位基本养老保险缴费、</w:t>
      </w:r>
      <w:r>
        <w:rPr>
          <w:rFonts w:hint="eastAsia" w:eastAsia="仿宋_GB2312" w:cs="Times New Roman"/>
          <w:sz w:val="32"/>
          <w:szCs w:val="32"/>
          <w:lang w:eastAsia="zh-CN"/>
        </w:rPr>
        <w:t>职业年金缴费、</w:t>
      </w:r>
      <w:r>
        <w:rPr>
          <w:rFonts w:hint="default" w:ascii="Times New Roman" w:hAnsi="Times New Roman" w:eastAsia="仿宋_GB2312" w:cs="Times New Roman"/>
          <w:sz w:val="32"/>
          <w:szCs w:val="32"/>
        </w:rPr>
        <w:t>职工基本医疗保险缴费、公务员医疗补助缴费、其他社会保障缴费、住房公积金、其他工资福利支出、生活补助、医疗费补助、奖励金。</w:t>
      </w:r>
      <w:r>
        <w:rPr>
          <w:rFonts w:hint="default" w:ascii="Times New Roman" w:hAnsi="Times New Roman" w:eastAsia="仿宋_GB2312" w:cs="Times New Roman"/>
          <w:sz w:val="32"/>
          <w:szCs w:val="32"/>
        </w:rPr>
        <w:br w:type="textWrapping"/>
      </w:r>
      <w:r>
        <w:rPr>
          <w:rFonts w:hint="default" w:ascii="Times New Roman" w:hAnsi="Times New Roman" w:eastAsia="仿宋_GB2312" w:cs="Times New Roman"/>
          <w:sz w:val="32"/>
          <w:szCs w:val="32"/>
        </w:rPr>
        <w:t>　　公用经费</w:t>
      </w:r>
      <w:r>
        <w:rPr>
          <w:rFonts w:hint="eastAsia" w:eastAsia="仿宋_GB2312" w:cs="Times New Roman"/>
          <w:sz w:val="32"/>
          <w:szCs w:val="32"/>
          <w:lang w:val="en-US" w:eastAsia="zh-CN"/>
        </w:rPr>
        <w:t>18.15</w:t>
      </w:r>
      <w:r>
        <w:rPr>
          <w:rFonts w:hint="default" w:ascii="Times New Roman" w:hAnsi="Times New Roman" w:eastAsia="仿宋_GB2312" w:cs="Times New Roman"/>
          <w:sz w:val="32"/>
          <w:szCs w:val="32"/>
        </w:rPr>
        <w:t>万元，主要包括：办公费、</w:t>
      </w:r>
      <w:r>
        <w:rPr>
          <w:rFonts w:hint="eastAsia" w:eastAsia="仿宋_GB2312" w:cs="Times New Roman"/>
          <w:sz w:val="32"/>
          <w:szCs w:val="32"/>
          <w:lang w:eastAsia="zh-CN"/>
        </w:rPr>
        <w:t>水费、</w:t>
      </w:r>
      <w:r>
        <w:rPr>
          <w:rFonts w:hint="default" w:ascii="Times New Roman" w:hAnsi="Times New Roman" w:eastAsia="仿宋_GB2312" w:cs="Times New Roman"/>
          <w:sz w:val="32"/>
          <w:szCs w:val="32"/>
        </w:rPr>
        <w:t>电费、邮电费、</w:t>
      </w:r>
      <w:r>
        <w:rPr>
          <w:rFonts w:hint="eastAsia" w:eastAsia="仿宋_GB2312" w:cs="Times New Roman"/>
          <w:sz w:val="32"/>
          <w:szCs w:val="32"/>
          <w:lang w:eastAsia="zh-CN"/>
        </w:rPr>
        <w:t>物业管理费、</w:t>
      </w:r>
      <w:r>
        <w:rPr>
          <w:rFonts w:hint="default" w:ascii="Times New Roman" w:hAnsi="Times New Roman" w:eastAsia="仿宋_GB2312" w:cs="Times New Roman"/>
          <w:sz w:val="32"/>
          <w:szCs w:val="32"/>
        </w:rPr>
        <w:t>差旅费、</w:t>
      </w:r>
      <w:r>
        <w:rPr>
          <w:rFonts w:hint="eastAsia" w:eastAsia="仿宋_GB2312" w:cs="Times New Roman"/>
          <w:sz w:val="32"/>
          <w:szCs w:val="32"/>
          <w:lang w:eastAsia="zh-CN"/>
        </w:rPr>
        <w:t>培训费、</w:t>
      </w:r>
      <w:r>
        <w:rPr>
          <w:rFonts w:hint="default" w:ascii="Times New Roman" w:hAnsi="Times New Roman" w:eastAsia="仿宋_GB2312" w:cs="Times New Roman"/>
          <w:sz w:val="32"/>
          <w:szCs w:val="32"/>
        </w:rPr>
        <w:t>劳务费、工会经费、福利费、公务用车运行维护费、其他商品和服务支出。</w:t>
      </w:r>
    </w:p>
    <w:p w14:paraId="649F04ED">
      <w:pPr>
        <w:spacing w:line="600" w:lineRule="exact"/>
        <w:ind w:firstLine="640"/>
        <w:outlineLvl w:val="1"/>
        <w:rPr>
          <w:rStyle w:val="29"/>
          <w:rFonts w:hint="default" w:ascii="Times New Roman" w:hAnsi="Times New Roman" w:eastAsia="黑体" w:cs="Times New Roman"/>
          <w:b w:val="0"/>
          <w:bCs w:val="0"/>
        </w:rPr>
      </w:pPr>
      <w:bookmarkStart w:id="36" w:name="_Toc15396609"/>
      <w:bookmarkStart w:id="37" w:name="_Toc15377215"/>
      <w:r>
        <w:rPr>
          <w:rFonts w:hint="default" w:ascii="Times New Roman" w:hAnsi="Times New Roman" w:eastAsia="黑体" w:cs="Times New Roman"/>
          <w:b w:val="0"/>
          <w:bCs w:val="0"/>
          <w:sz w:val="32"/>
          <w:szCs w:val="32"/>
        </w:rPr>
        <w:t>七、</w:t>
      </w:r>
      <w:r>
        <w:rPr>
          <w:rStyle w:val="29"/>
          <w:rFonts w:hint="default" w:ascii="Times New Roman" w:hAnsi="Times New Roman" w:eastAsia="黑体" w:cs="Times New Roman"/>
          <w:b w:val="0"/>
          <w:bCs w:val="0"/>
        </w:rPr>
        <w:t>财政拨款“三公”经费支出决算情况说明</w:t>
      </w:r>
      <w:bookmarkEnd w:id="36"/>
      <w:bookmarkEnd w:id="37"/>
    </w:p>
    <w:p w14:paraId="5E77EF30">
      <w:pPr>
        <w:spacing w:line="600" w:lineRule="exact"/>
        <w:ind w:firstLine="643" w:firstLineChars="200"/>
        <w:outlineLvl w:val="2"/>
        <w:rPr>
          <w:rFonts w:hint="default" w:ascii="Times New Roman" w:hAnsi="Times New Roman" w:eastAsia="楷体_GB2312" w:cs="Times New Roman"/>
          <w:b/>
          <w:sz w:val="32"/>
          <w:szCs w:val="32"/>
        </w:rPr>
      </w:pPr>
      <w:bookmarkStart w:id="38" w:name="_Toc15377216"/>
      <w:r>
        <w:rPr>
          <w:rFonts w:hint="default" w:ascii="Times New Roman" w:hAnsi="Times New Roman" w:eastAsia="楷体_GB2312" w:cs="Times New Roman"/>
          <w:b/>
          <w:sz w:val="32"/>
          <w:szCs w:val="32"/>
        </w:rPr>
        <w:t>（一）“三公”经费财政拨款支出决算总体情况说明</w:t>
      </w:r>
      <w:bookmarkEnd w:id="38"/>
    </w:p>
    <w:p w14:paraId="0626B0EB">
      <w:pPr>
        <w:spacing w:line="600" w:lineRule="exact"/>
        <w:ind w:firstLine="640"/>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度“三公”经费财政拨款支出决算为</w:t>
      </w:r>
      <w:r>
        <w:rPr>
          <w:rFonts w:hint="eastAsia" w:eastAsia="仿宋_GB2312" w:cs="Times New Roman"/>
          <w:sz w:val="32"/>
          <w:szCs w:val="32"/>
          <w:lang w:val="en-US" w:eastAsia="zh-CN"/>
        </w:rPr>
        <w:t>1.10</w:t>
      </w:r>
      <w:r>
        <w:rPr>
          <w:rFonts w:hint="default" w:ascii="Times New Roman" w:hAnsi="Times New Roman" w:eastAsia="仿宋_GB2312" w:cs="Times New Roman"/>
          <w:sz w:val="32"/>
          <w:szCs w:val="32"/>
        </w:rPr>
        <w:t>万元，完成预算100%，较上年度</w:t>
      </w:r>
      <w:r>
        <w:rPr>
          <w:rFonts w:hint="eastAsia" w:eastAsia="仿宋_GB2312" w:cs="Times New Roman"/>
          <w:sz w:val="32"/>
          <w:szCs w:val="32"/>
          <w:lang w:eastAsia="zh-CN"/>
        </w:rPr>
        <w:t>增加</w:t>
      </w:r>
      <w:r>
        <w:rPr>
          <w:rFonts w:hint="eastAsia" w:eastAsia="仿宋_GB2312" w:cs="Times New Roman"/>
          <w:sz w:val="32"/>
          <w:szCs w:val="32"/>
          <w:lang w:val="en-US" w:eastAsia="zh-CN"/>
        </w:rPr>
        <w:t>0.22</w:t>
      </w:r>
      <w:r>
        <w:rPr>
          <w:rFonts w:hint="default" w:ascii="Times New Roman" w:hAnsi="Times New Roman" w:eastAsia="仿宋_GB2312" w:cs="Times New Roman"/>
          <w:sz w:val="32"/>
          <w:szCs w:val="32"/>
        </w:rPr>
        <w:t>万元，</w:t>
      </w:r>
      <w:r>
        <w:rPr>
          <w:rFonts w:hint="eastAsia" w:eastAsia="仿宋_GB2312" w:cs="Times New Roman"/>
          <w:sz w:val="32"/>
          <w:szCs w:val="32"/>
          <w:lang w:eastAsia="zh-CN"/>
        </w:rPr>
        <w:t>增长</w:t>
      </w:r>
      <w:r>
        <w:rPr>
          <w:rFonts w:hint="eastAsia" w:eastAsia="仿宋_GB2312" w:cs="Times New Roman"/>
          <w:sz w:val="32"/>
          <w:szCs w:val="32"/>
          <w:lang w:val="en-US" w:eastAsia="zh-CN"/>
        </w:rPr>
        <w:t>25</w:t>
      </w:r>
      <w:r>
        <w:rPr>
          <w:rFonts w:hint="default" w:ascii="Times New Roman" w:hAnsi="Times New Roman" w:eastAsia="仿宋_GB2312" w:cs="Times New Roman"/>
          <w:sz w:val="32"/>
          <w:szCs w:val="32"/>
        </w:rPr>
        <w:t>%。决算数与预算数持平的主要原因是</w:t>
      </w:r>
      <w:r>
        <w:rPr>
          <w:rFonts w:hint="default" w:ascii="Times New Roman" w:hAnsi="Times New Roman" w:eastAsia="仿宋" w:cs="Times New Roman"/>
          <w:sz w:val="32"/>
          <w:szCs w:val="32"/>
        </w:rPr>
        <w:t>本年度严格压减三公经费支出。</w:t>
      </w:r>
    </w:p>
    <w:p w14:paraId="6C0B9EDC">
      <w:pPr>
        <w:spacing w:line="600" w:lineRule="exact"/>
        <w:ind w:firstLine="643" w:firstLineChars="200"/>
        <w:outlineLvl w:val="2"/>
        <w:rPr>
          <w:rFonts w:hint="default" w:ascii="Times New Roman" w:hAnsi="Times New Roman" w:eastAsia="楷体_GB2312" w:cs="Times New Roman"/>
          <w:b/>
          <w:sz w:val="32"/>
          <w:szCs w:val="32"/>
        </w:rPr>
      </w:pPr>
      <w:bookmarkStart w:id="39" w:name="_Toc15377217"/>
      <w:r>
        <w:rPr>
          <w:rFonts w:hint="default" w:ascii="Times New Roman" w:hAnsi="Times New Roman" w:eastAsia="楷体_GB2312" w:cs="Times New Roman"/>
          <w:b/>
          <w:sz w:val="32"/>
          <w:szCs w:val="32"/>
        </w:rPr>
        <w:t>（二）“三公”经费财政拨款支出决算具体情况说明</w:t>
      </w:r>
      <w:bookmarkEnd w:id="39"/>
    </w:p>
    <w:p w14:paraId="7795545C">
      <w:pPr>
        <w:keepNext w:val="0"/>
        <w:keepLines w:val="0"/>
        <w:pageBreakBefore w:val="0"/>
        <w:widowControl w:val="0"/>
        <w:kinsoku/>
        <w:wordWrap/>
        <w:overflowPunct/>
        <w:topLinePunct w:val="0"/>
        <w:autoSpaceDE/>
        <w:autoSpaceDN/>
        <w:bidi w:val="0"/>
        <w:adjustRightInd/>
        <w:snapToGrid/>
        <w:spacing w:line="600" w:lineRule="exact"/>
        <w:ind w:firstLine="960" w:firstLineChars="3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度“三公”经费财政拨款支出决算中，因公出国（境）费支出决算0万元，占0%；公务用车购置及运行维护费支出决算</w:t>
      </w:r>
      <w:r>
        <w:rPr>
          <w:rFonts w:hint="eastAsia" w:eastAsia="仿宋_GB2312" w:cs="Times New Roman"/>
          <w:sz w:val="32"/>
          <w:szCs w:val="32"/>
          <w:lang w:val="en-US" w:eastAsia="zh-CN"/>
        </w:rPr>
        <w:t>1.10</w:t>
      </w:r>
      <w:r>
        <w:rPr>
          <w:rFonts w:hint="default" w:ascii="Times New Roman" w:hAnsi="Times New Roman" w:eastAsia="仿宋_GB2312" w:cs="Times New Roman"/>
          <w:sz w:val="32"/>
          <w:szCs w:val="32"/>
        </w:rPr>
        <w:t>万元，占100%；公务接待费支出决算0万元，占0%。具体情况如下：</w:t>
      </w:r>
    </w:p>
    <w:p w14:paraId="6A424BDA">
      <w:pPr>
        <w:pStyle w:val="12"/>
        <w:ind w:left="420"/>
        <w:jc w:val="center"/>
        <w:rPr>
          <w:rFonts w:hint="default" w:ascii="Times New Roman" w:hAnsi="Times New Roman" w:cs="Times New Roman"/>
          <w:color w:val="00B0F0"/>
        </w:rPr>
      </w:pPr>
      <w:r>
        <w:drawing>
          <wp:inline distT="0" distB="0" distL="114300" distR="114300">
            <wp:extent cx="4572000" cy="2743200"/>
            <wp:effectExtent l="4445" t="4445" r="14605" b="14605"/>
            <wp:docPr id="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AF64C5">
      <w:pPr>
        <w:spacing w:line="600" w:lineRule="exact"/>
        <w:ind w:firstLine="64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（图7：“三公”经费财政拨款支出结构）</w:t>
      </w:r>
      <w:r>
        <w:rPr>
          <w:rFonts w:hint="default" w:ascii="Times New Roman" w:hAnsi="Times New Roman" w:eastAsia="仿宋_GB2312" w:cs="Times New Roman"/>
          <w:sz w:val="32"/>
          <w:szCs w:val="32"/>
          <w:lang w:val="en-US" w:eastAsia="zh-CN"/>
        </w:rPr>
        <w:t xml:space="preserve"> </w:t>
      </w:r>
    </w:p>
    <w:p w14:paraId="0E31ACF7">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1.因公出国（境）经费支出0万元，完成预算0%。</w:t>
      </w:r>
      <w:r>
        <w:rPr>
          <w:rFonts w:hint="default" w:ascii="Times New Roman" w:hAnsi="Times New Roman" w:eastAsia="仿宋_GB2312" w:cs="Times New Roman"/>
          <w:sz w:val="32"/>
          <w:szCs w:val="32"/>
        </w:rPr>
        <w:t>全年安排因公出国（境）团组0次，出国（境）0人。因公出国（境）支出决算比</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增加/减少0万元，增长/下降0%。</w:t>
      </w:r>
    </w:p>
    <w:p w14:paraId="0E533AC1">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2.公务用车购置及运行维护费支出</w:t>
      </w:r>
      <w:r>
        <w:rPr>
          <w:rFonts w:hint="eastAsia" w:eastAsia="仿宋_GB2312" w:cs="Times New Roman"/>
          <w:b/>
          <w:bCs/>
          <w:sz w:val="32"/>
          <w:szCs w:val="32"/>
          <w:lang w:val="en-US" w:eastAsia="zh-CN"/>
        </w:rPr>
        <w:t>1.1</w:t>
      </w:r>
      <w:r>
        <w:rPr>
          <w:rFonts w:hint="default" w:ascii="Times New Roman" w:hAnsi="Times New Roman" w:eastAsia="仿宋_GB2312" w:cs="Times New Roman"/>
          <w:b/>
          <w:bCs/>
          <w:sz w:val="32"/>
          <w:szCs w:val="32"/>
        </w:rPr>
        <w:t>万元，完成预算100%。</w:t>
      </w:r>
      <w:r>
        <w:rPr>
          <w:rFonts w:hint="default" w:ascii="Times New Roman" w:hAnsi="Times New Roman" w:eastAsia="仿宋_GB2312" w:cs="Times New Roman"/>
          <w:sz w:val="32"/>
          <w:szCs w:val="32"/>
        </w:rPr>
        <w:t>公务用车购置及运行维护费支出决算比</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w:t>
      </w:r>
      <w:r>
        <w:rPr>
          <w:rFonts w:hint="eastAsia" w:eastAsia="仿宋_GB2312" w:cs="Times New Roman"/>
          <w:sz w:val="32"/>
          <w:szCs w:val="32"/>
          <w:lang w:eastAsia="zh-CN"/>
        </w:rPr>
        <w:t>增加</w:t>
      </w:r>
      <w:r>
        <w:rPr>
          <w:rFonts w:hint="default" w:ascii="Times New Roman" w:hAnsi="Times New Roman" w:eastAsia="仿宋_GB2312" w:cs="Times New Roman"/>
          <w:sz w:val="32"/>
          <w:szCs w:val="32"/>
        </w:rPr>
        <w:t>0.2</w:t>
      </w:r>
      <w:r>
        <w:rPr>
          <w:rFonts w:hint="eastAsia" w:eastAsia="仿宋_GB2312" w:cs="Times New Roman"/>
          <w:sz w:val="32"/>
          <w:szCs w:val="32"/>
          <w:lang w:val="en-US" w:eastAsia="zh-CN"/>
        </w:rPr>
        <w:t>2</w:t>
      </w:r>
      <w:r>
        <w:rPr>
          <w:rFonts w:hint="default" w:ascii="Times New Roman" w:hAnsi="Times New Roman" w:eastAsia="仿宋_GB2312" w:cs="Times New Roman"/>
          <w:sz w:val="32"/>
          <w:szCs w:val="32"/>
        </w:rPr>
        <w:t>万元，</w:t>
      </w:r>
      <w:r>
        <w:rPr>
          <w:rFonts w:hint="eastAsia" w:eastAsia="仿宋_GB2312" w:cs="Times New Roman"/>
          <w:sz w:val="32"/>
          <w:szCs w:val="32"/>
          <w:lang w:eastAsia="zh-CN"/>
        </w:rPr>
        <w:t>增长</w:t>
      </w:r>
      <w:r>
        <w:rPr>
          <w:rFonts w:hint="eastAsia" w:eastAsia="仿宋_GB2312" w:cs="Times New Roman"/>
          <w:sz w:val="32"/>
          <w:szCs w:val="32"/>
          <w:lang w:val="en-US" w:eastAsia="zh-CN"/>
        </w:rPr>
        <w:t>25</w:t>
      </w:r>
      <w:r>
        <w:rPr>
          <w:rFonts w:hint="default" w:ascii="Times New Roman" w:hAnsi="Times New Roman" w:eastAsia="仿宋_GB2312" w:cs="Times New Roman"/>
          <w:sz w:val="32"/>
          <w:szCs w:val="32"/>
        </w:rPr>
        <w:t>%。主要原因</w:t>
      </w:r>
      <w:r>
        <w:rPr>
          <w:rFonts w:hint="eastAsia" w:eastAsia="仿宋_GB2312" w:cs="Times New Roman"/>
          <w:sz w:val="32"/>
          <w:szCs w:val="32"/>
          <w:lang w:eastAsia="zh-CN"/>
        </w:rPr>
        <w:t>本年度公务用车运行成本增加</w:t>
      </w:r>
      <w:r>
        <w:rPr>
          <w:rFonts w:hint="default" w:ascii="Times New Roman" w:hAnsi="Times New Roman" w:eastAsia="仿宋_GB2312" w:cs="Times New Roman"/>
          <w:sz w:val="32"/>
          <w:szCs w:val="32"/>
        </w:rPr>
        <w:t>。</w:t>
      </w:r>
    </w:p>
    <w:p w14:paraId="42A36B0D">
      <w:pPr>
        <w:spacing w:line="600" w:lineRule="exact"/>
        <w:ind w:firstLine="64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rPr>
        <w:t>其中：公务用车购置支出0万元。全年按规定更新购置公务用车0辆，其中：轿车0辆、金额0万元，越野车0辆、金额0万元，载客汽车0辆、金额0万元。截至</w:t>
      </w: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12月31日，单位共有公务用车1辆，其中：</w:t>
      </w:r>
      <w:r>
        <w:rPr>
          <w:rFonts w:hint="default" w:ascii="Times New Roman" w:hAnsi="Times New Roman" w:eastAsia="仿宋_GB2312" w:cs="Times New Roman"/>
          <w:color w:val="auto"/>
          <w:sz w:val="32"/>
          <w:szCs w:val="32"/>
        </w:rPr>
        <w:t>轿车1辆、越野车</w:t>
      </w:r>
      <w:r>
        <w:rPr>
          <w:rFonts w:hint="default" w:ascii="Times New Roman" w:hAnsi="Times New Roman" w:eastAsia="仿宋_GB2312" w:cs="Times New Roman"/>
          <w:color w:val="auto"/>
          <w:sz w:val="32"/>
          <w:szCs w:val="32"/>
          <w:lang w:val="en-US" w:eastAsia="zh-CN"/>
        </w:rPr>
        <w:t>0</w:t>
      </w:r>
      <w:r>
        <w:rPr>
          <w:rFonts w:hint="default" w:ascii="Times New Roman" w:hAnsi="Times New Roman" w:eastAsia="仿宋_GB2312" w:cs="Times New Roman"/>
          <w:color w:val="auto"/>
          <w:sz w:val="32"/>
          <w:szCs w:val="32"/>
        </w:rPr>
        <w:t>辆、载客汽车0辆。</w:t>
      </w:r>
    </w:p>
    <w:p w14:paraId="51F6FC79">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公务用车运行维护费支出</w:t>
      </w:r>
      <w:r>
        <w:rPr>
          <w:rFonts w:hint="eastAsia" w:eastAsia="仿宋_GB2312" w:cs="Times New Roman"/>
          <w:sz w:val="32"/>
          <w:szCs w:val="32"/>
          <w:lang w:val="en-US" w:eastAsia="zh-CN"/>
        </w:rPr>
        <w:t>1.10</w:t>
      </w:r>
      <w:r>
        <w:rPr>
          <w:rFonts w:hint="default" w:ascii="Times New Roman" w:hAnsi="Times New Roman" w:eastAsia="仿宋_GB2312" w:cs="Times New Roman"/>
          <w:sz w:val="32"/>
          <w:szCs w:val="32"/>
        </w:rPr>
        <w:t>万元。主要用于开展国土空间规划公务工作增加等所需的公务用车燃料费、维修费、过路过桥费、保险费等支出。</w:t>
      </w:r>
    </w:p>
    <w:p w14:paraId="2B9456D4">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3.公务接待费支出0万元，完成预算0.00%。</w:t>
      </w:r>
      <w:r>
        <w:rPr>
          <w:rFonts w:hint="default" w:ascii="Times New Roman" w:hAnsi="Times New Roman" w:eastAsia="仿宋_GB2312" w:cs="Times New Roman"/>
          <w:sz w:val="32"/>
          <w:szCs w:val="32"/>
        </w:rPr>
        <w:t>公务接待费支出决算比</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度减少0万元，增长/下降0%。主要原因为我中心本年度及上年度均无公务接待事项支出。</w:t>
      </w:r>
    </w:p>
    <w:p w14:paraId="7566CB38">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国内公务接待支出0万元。国内公务接待0批次，0人次（不包括陪同人员），共计支出0万元。</w:t>
      </w:r>
    </w:p>
    <w:p w14:paraId="51484D51">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外事接待支出0万元。外事接待0批次，0人次（不包括陪同人员），共计支出0万元。</w:t>
      </w:r>
    </w:p>
    <w:p w14:paraId="060726B3">
      <w:pPr>
        <w:spacing w:line="600" w:lineRule="exact"/>
        <w:ind w:firstLine="640"/>
        <w:outlineLvl w:val="1"/>
        <w:rPr>
          <w:rStyle w:val="29"/>
          <w:rFonts w:hint="default" w:ascii="Times New Roman" w:hAnsi="Times New Roman" w:eastAsia="黑体" w:cs="Times New Roman"/>
        </w:rPr>
      </w:pPr>
      <w:bookmarkStart w:id="40" w:name="_Toc15396610"/>
      <w:bookmarkStart w:id="41" w:name="_Toc15377218"/>
      <w:r>
        <w:rPr>
          <w:rFonts w:hint="default" w:ascii="Times New Roman" w:hAnsi="Times New Roman" w:eastAsia="黑体" w:cs="Times New Roman"/>
          <w:b w:val="0"/>
          <w:bCs w:val="0"/>
          <w:sz w:val="32"/>
          <w:szCs w:val="32"/>
        </w:rPr>
        <w:t>八、</w:t>
      </w:r>
      <w:r>
        <w:rPr>
          <w:rStyle w:val="29"/>
          <w:rFonts w:hint="default" w:ascii="Times New Roman" w:hAnsi="Times New Roman" w:eastAsia="黑体" w:cs="Times New Roman"/>
          <w:b w:val="0"/>
          <w:bCs w:val="0"/>
        </w:rPr>
        <w:t>政府性基金预算支出决算情况说明</w:t>
      </w:r>
      <w:bookmarkEnd w:id="40"/>
      <w:bookmarkEnd w:id="41"/>
    </w:p>
    <w:p w14:paraId="73AD7421">
      <w:pPr>
        <w:spacing w:line="600" w:lineRule="exact"/>
        <w:ind w:firstLine="640"/>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度政府性基金预算财政拨款支出0万元，占本年支出合计的0%。与</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度相比，政府性基金预算财政拨款支出增加/减少0万元，增长/下降0%。主要原因为我单中心无政府性基金预算财政拨款。</w:t>
      </w:r>
    </w:p>
    <w:p w14:paraId="5D54D17C">
      <w:pPr>
        <w:spacing w:line="600" w:lineRule="exact"/>
        <w:ind w:left="630"/>
        <w:outlineLvl w:val="1"/>
        <w:rPr>
          <w:rStyle w:val="29"/>
          <w:rFonts w:hint="default" w:ascii="Times New Roman" w:hAnsi="Times New Roman" w:eastAsia="黑体" w:cs="Times New Roman"/>
          <w:b w:val="0"/>
          <w:bCs w:val="0"/>
        </w:rPr>
      </w:pPr>
      <w:bookmarkStart w:id="42" w:name="_Toc15377219"/>
      <w:bookmarkStart w:id="43" w:name="_Toc15396611"/>
      <w:r>
        <w:rPr>
          <w:rStyle w:val="29"/>
          <w:rFonts w:hint="default" w:ascii="Times New Roman" w:hAnsi="Times New Roman" w:eastAsia="黑体" w:cs="Times New Roman"/>
          <w:b w:val="0"/>
          <w:bCs w:val="0"/>
        </w:rPr>
        <w:t>九、国有资本经营预算支出决算情况说明</w:t>
      </w:r>
      <w:bookmarkEnd w:id="42"/>
      <w:bookmarkEnd w:id="43"/>
    </w:p>
    <w:p w14:paraId="337B788A">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度国有资本经营预算财政拨款支出0万元，占本年支出合计的0%。与</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度相比，国有资本经营预算财政拨款支出增加/减少0万元，增长/下降0%。</w:t>
      </w:r>
    </w:p>
    <w:p w14:paraId="23E4E0F1">
      <w:pPr>
        <w:spacing w:line="600" w:lineRule="exact"/>
        <w:ind w:left="630"/>
        <w:outlineLvl w:val="1"/>
        <w:rPr>
          <w:rStyle w:val="29"/>
          <w:rFonts w:hint="default" w:ascii="Times New Roman" w:hAnsi="Times New Roman" w:eastAsia="黑体" w:cs="Times New Roman"/>
          <w:b w:val="0"/>
          <w:bCs w:val="0"/>
        </w:rPr>
      </w:pPr>
      <w:bookmarkStart w:id="44" w:name="_Toc15396612"/>
      <w:bookmarkStart w:id="45" w:name="_Toc15377221"/>
      <w:r>
        <w:rPr>
          <w:rStyle w:val="29"/>
          <w:rFonts w:hint="default" w:ascii="Times New Roman" w:hAnsi="Times New Roman" w:eastAsia="黑体" w:cs="Times New Roman"/>
          <w:b w:val="0"/>
          <w:bCs w:val="0"/>
        </w:rPr>
        <w:t>十、其他重要事项的情况说明</w:t>
      </w:r>
      <w:bookmarkEnd w:id="44"/>
      <w:bookmarkEnd w:id="45"/>
    </w:p>
    <w:p w14:paraId="6DCEAF61">
      <w:pPr>
        <w:spacing w:line="600" w:lineRule="exact"/>
        <w:ind w:firstLine="643" w:firstLineChars="200"/>
        <w:outlineLvl w:val="2"/>
        <w:rPr>
          <w:rFonts w:hint="default" w:ascii="Times New Roman" w:hAnsi="Times New Roman" w:eastAsia="楷体_GB2312" w:cs="Times New Roman"/>
          <w:b/>
          <w:sz w:val="32"/>
          <w:szCs w:val="32"/>
        </w:rPr>
      </w:pPr>
      <w:bookmarkStart w:id="46" w:name="_Toc15377222"/>
      <w:r>
        <w:rPr>
          <w:rFonts w:hint="default" w:ascii="Times New Roman" w:hAnsi="Times New Roman" w:eastAsia="楷体_GB2312" w:cs="Times New Roman"/>
          <w:b/>
          <w:sz w:val="32"/>
          <w:szCs w:val="32"/>
        </w:rPr>
        <w:t>（一）机关运行经费支出情况</w:t>
      </w:r>
      <w:bookmarkEnd w:id="46"/>
    </w:p>
    <w:p w14:paraId="1CE04A0C">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度，攀枝花市国土空间规划编制研究中心机关运行经费支出0万元，</w:t>
      </w:r>
      <w:bookmarkStart w:id="47" w:name="_Toc15377223"/>
      <w:r>
        <w:rPr>
          <w:rFonts w:hint="default" w:ascii="Times New Roman" w:hAnsi="Times New Roman" w:eastAsia="仿宋_GB2312" w:cs="Times New Roman"/>
          <w:sz w:val="32"/>
          <w:szCs w:val="32"/>
        </w:rPr>
        <w:t>与</w:t>
      </w:r>
      <w:r>
        <w:rPr>
          <w:rFonts w:hint="default" w:ascii="Times New Roman" w:hAnsi="Times New Roman" w:eastAsia="仿宋_GB2312" w:cs="Times New Roman"/>
          <w:sz w:val="32"/>
          <w:szCs w:val="32"/>
          <w:lang w:eastAsia="zh-CN"/>
        </w:rPr>
        <w:t>2024年</w:t>
      </w:r>
      <w:r>
        <w:rPr>
          <w:rFonts w:hint="default" w:ascii="Times New Roman" w:hAnsi="Times New Roman" w:eastAsia="仿宋_GB2312" w:cs="Times New Roman"/>
          <w:sz w:val="32"/>
          <w:szCs w:val="32"/>
        </w:rPr>
        <w:t>度决算数持平。</w:t>
      </w:r>
    </w:p>
    <w:p w14:paraId="60B04524">
      <w:pPr>
        <w:spacing w:line="600" w:lineRule="exact"/>
        <w:ind w:firstLine="640"/>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（二）政府采购支出情况</w:t>
      </w:r>
      <w:bookmarkEnd w:id="47"/>
    </w:p>
    <w:p w14:paraId="26DD5C4A">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度，攀枝花市国土空间规划编制研究中心政府采购支出总额</w:t>
      </w:r>
      <w:r>
        <w:rPr>
          <w:rFonts w:hint="eastAsia" w:eastAsia="仿宋_GB2312" w:cs="Times New Roman"/>
          <w:sz w:val="32"/>
          <w:szCs w:val="32"/>
          <w:lang w:val="en-US" w:eastAsia="zh-CN"/>
        </w:rPr>
        <w:t>0.33</w:t>
      </w:r>
      <w:r>
        <w:rPr>
          <w:rFonts w:hint="default" w:ascii="Times New Roman" w:hAnsi="Times New Roman" w:eastAsia="仿宋_GB2312" w:cs="Times New Roman"/>
          <w:sz w:val="32"/>
          <w:szCs w:val="32"/>
        </w:rPr>
        <w:t>万元，其中：政府采购货物支出0万元、政府采购工程支出0万元、政府采购服务支出</w:t>
      </w:r>
      <w:r>
        <w:rPr>
          <w:rFonts w:hint="eastAsia" w:eastAsia="仿宋_GB2312" w:cs="Times New Roman"/>
          <w:sz w:val="32"/>
          <w:szCs w:val="32"/>
          <w:lang w:val="en-US" w:eastAsia="zh-CN"/>
        </w:rPr>
        <w:t>0.33</w:t>
      </w:r>
      <w:r>
        <w:rPr>
          <w:rFonts w:hint="default" w:ascii="Times New Roman" w:hAnsi="Times New Roman" w:eastAsia="仿宋_GB2312" w:cs="Times New Roman"/>
          <w:sz w:val="32"/>
          <w:szCs w:val="32"/>
        </w:rPr>
        <w:t>万元。授予中小企业合同金额</w:t>
      </w:r>
      <w:r>
        <w:rPr>
          <w:rFonts w:hint="eastAsia" w:eastAsia="仿宋_GB2312" w:cs="Times New Roman"/>
          <w:sz w:val="32"/>
          <w:szCs w:val="32"/>
          <w:lang w:val="en-US" w:eastAsia="zh-CN"/>
        </w:rPr>
        <w:t>0.33</w:t>
      </w:r>
      <w:r>
        <w:rPr>
          <w:rFonts w:hint="default" w:ascii="Times New Roman" w:hAnsi="Times New Roman" w:eastAsia="仿宋_GB2312" w:cs="Times New Roman"/>
          <w:sz w:val="32"/>
          <w:szCs w:val="32"/>
        </w:rPr>
        <w:t>万元，占政府采购支出总额的</w:t>
      </w:r>
      <w:r>
        <w:rPr>
          <w:rFonts w:hint="eastAsia" w:eastAsia="仿宋_GB2312" w:cs="Times New Roman"/>
          <w:sz w:val="32"/>
          <w:szCs w:val="32"/>
          <w:lang w:val="en-US" w:eastAsia="zh-CN"/>
        </w:rPr>
        <w:t>100</w:t>
      </w:r>
      <w:r>
        <w:rPr>
          <w:rFonts w:hint="default" w:ascii="Times New Roman" w:hAnsi="Times New Roman" w:eastAsia="仿宋_GB2312" w:cs="Times New Roman"/>
          <w:sz w:val="32"/>
          <w:szCs w:val="32"/>
        </w:rPr>
        <w:t>%，其中：授予小微企业合同金额</w:t>
      </w:r>
      <w:r>
        <w:rPr>
          <w:rFonts w:hint="eastAsia" w:eastAsia="仿宋_GB2312" w:cs="Times New Roman"/>
          <w:sz w:val="32"/>
          <w:szCs w:val="32"/>
          <w:lang w:val="en-US" w:eastAsia="zh-CN"/>
        </w:rPr>
        <w:t>0.33</w:t>
      </w:r>
      <w:r>
        <w:rPr>
          <w:rFonts w:hint="default" w:ascii="Times New Roman" w:hAnsi="Times New Roman" w:eastAsia="仿宋_GB2312" w:cs="Times New Roman"/>
          <w:sz w:val="32"/>
          <w:szCs w:val="32"/>
        </w:rPr>
        <w:t>万元，占政府采购支出总额的</w:t>
      </w:r>
      <w:r>
        <w:rPr>
          <w:rFonts w:hint="eastAsia" w:eastAsia="仿宋_GB2312" w:cs="Times New Roman"/>
          <w:sz w:val="32"/>
          <w:szCs w:val="32"/>
          <w:lang w:val="en-US" w:eastAsia="zh-CN"/>
        </w:rPr>
        <w:t>10</w:t>
      </w:r>
      <w:r>
        <w:rPr>
          <w:rFonts w:hint="default" w:ascii="Times New Roman" w:hAnsi="Times New Roman" w:eastAsia="仿宋_GB2312" w:cs="Times New Roman"/>
          <w:sz w:val="32"/>
          <w:szCs w:val="32"/>
        </w:rPr>
        <w:t>0%。</w:t>
      </w:r>
    </w:p>
    <w:p w14:paraId="609CD18A">
      <w:pPr>
        <w:spacing w:line="600" w:lineRule="exact"/>
        <w:ind w:firstLine="643" w:firstLineChars="200"/>
        <w:outlineLvl w:val="2"/>
        <w:rPr>
          <w:rFonts w:hint="default" w:ascii="Times New Roman" w:hAnsi="Times New Roman" w:eastAsia="楷体_GB2312" w:cs="Times New Roman"/>
          <w:b/>
          <w:sz w:val="32"/>
          <w:szCs w:val="32"/>
        </w:rPr>
      </w:pPr>
      <w:bookmarkStart w:id="48" w:name="_Toc15377224"/>
      <w:r>
        <w:rPr>
          <w:rFonts w:hint="default" w:ascii="Times New Roman" w:hAnsi="Times New Roman" w:eastAsia="楷体_GB2312" w:cs="Times New Roman"/>
          <w:b/>
          <w:sz w:val="32"/>
          <w:szCs w:val="32"/>
        </w:rPr>
        <w:t>（三）国有资产占有使用情况</w:t>
      </w:r>
      <w:bookmarkEnd w:id="48"/>
    </w:p>
    <w:p w14:paraId="45C0B80F">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截至</w:t>
      </w:r>
      <w:r>
        <w:rPr>
          <w:rFonts w:hint="default" w:ascii="Times New Roman" w:hAnsi="Times New Roman" w:eastAsia="仿宋_GB2312" w:cs="Times New Roman"/>
          <w:sz w:val="32"/>
          <w:szCs w:val="32"/>
          <w:lang w:eastAsia="zh-CN"/>
        </w:rPr>
        <w:t>2025年</w:t>
      </w:r>
      <w:r>
        <w:rPr>
          <w:rFonts w:hint="default" w:ascii="Times New Roman" w:hAnsi="Times New Roman" w:eastAsia="仿宋_GB2312" w:cs="Times New Roman"/>
          <w:sz w:val="32"/>
          <w:szCs w:val="32"/>
        </w:rPr>
        <w:t>12月31日，攀枝花市国土空间规划编制研究中心共有车辆1辆，其中：主要领导干部用车0辆、机要通信用车0辆、应急保障用车0辆、其他用车1辆，其他用车主要是用于开展国土空间总体规划和乡村国土空间规划的编制工作。单价100万元（含）以上设备（不含车辆）0台（套）。</w:t>
      </w:r>
    </w:p>
    <w:p w14:paraId="4C37649A">
      <w:pPr>
        <w:spacing w:line="600" w:lineRule="exact"/>
        <w:ind w:firstLine="643" w:firstLineChars="200"/>
        <w:outlineLvl w:val="2"/>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（四）预算绩效管理情况</w:t>
      </w:r>
    </w:p>
    <w:p w14:paraId="31301283">
      <w:pPr>
        <w:spacing w:line="60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根据预算绩效管理要求，本单位</w:t>
      </w:r>
      <w:r>
        <w:rPr>
          <w:rFonts w:hint="default" w:ascii="Times New Roman" w:hAnsi="Times New Roman" w:eastAsia="仿宋_GB2312" w:cs="Times New Roman"/>
          <w:sz w:val="32"/>
          <w:szCs w:val="32"/>
          <w:lang w:eastAsia="zh-CN"/>
        </w:rPr>
        <w:t>在</w:t>
      </w:r>
      <w:r>
        <w:rPr>
          <w:rFonts w:hint="default" w:ascii="Times New Roman" w:hAnsi="Times New Roman" w:eastAsia="仿宋_GB2312" w:cs="Times New Roman"/>
          <w:sz w:val="32"/>
          <w:szCs w:val="32"/>
          <w:lang w:val="en-US" w:eastAsia="zh-CN"/>
        </w:rPr>
        <w:t>2025年无项目支出，</w:t>
      </w:r>
      <w:r>
        <w:rPr>
          <w:rFonts w:hint="default" w:ascii="Times New Roman" w:hAnsi="Times New Roman" w:eastAsia="仿宋_GB2312" w:cs="Times New Roman"/>
          <w:sz w:val="32"/>
          <w:szCs w:val="32"/>
        </w:rPr>
        <w:t>组织对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个项目开展了预算事前绩效评估，对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个项目编制了绩效目标</w:t>
      </w:r>
      <w:r>
        <w:rPr>
          <w:rFonts w:hint="default" w:ascii="Times New Roman" w:hAnsi="Times New Roman" w:eastAsia="仿宋_GB2312" w:cs="Times New Roman"/>
          <w:sz w:val="32"/>
          <w:szCs w:val="32"/>
          <w:lang w:eastAsia="zh-CN"/>
        </w:rPr>
        <w:t>。</w:t>
      </w:r>
    </w:p>
    <w:p w14:paraId="43D0EC03">
      <w:pPr>
        <w:spacing w:line="600" w:lineRule="exact"/>
        <w:ind w:firstLine="640"/>
        <w:rPr>
          <w:rFonts w:hint="default" w:ascii="Times New Roman" w:hAnsi="Times New Roman" w:eastAsia="仿宋_GB2312" w:cs="Times New Roman"/>
          <w:sz w:val="32"/>
          <w:szCs w:val="32"/>
        </w:rPr>
      </w:pPr>
    </w:p>
    <w:p w14:paraId="6BF95504">
      <w:pPr>
        <w:spacing w:line="600" w:lineRule="exact"/>
        <w:jc w:val="center"/>
        <w:outlineLvl w:val="0"/>
        <w:rPr>
          <w:rFonts w:hint="default" w:ascii="Times New Roman" w:hAnsi="Times New Roman" w:eastAsia="黑体" w:cs="Times New Roman"/>
          <w:sz w:val="44"/>
          <w:szCs w:val="44"/>
        </w:rPr>
      </w:pPr>
      <w:bookmarkStart w:id="49" w:name="_Toc15396613"/>
      <w:bookmarkStart w:id="50" w:name="_Toc15377225"/>
    </w:p>
    <w:p w14:paraId="641F0148">
      <w:pPr>
        <w:spacing w:line="600" w:lineRule="exact"/>
        <w:jc w:val="center"/>
        <w:outlineLvl w:val="0"/>
        <w:rPr>
          <w:rFonts w:hint="default" w:ascii="Times New Roman" w:hAnsi="Times New Roman" w:eastAsia="黑体" w:cs="Times New Roman"/>
          <w:sz w:val="44"/>
          <w:szCs w:val="44"/>
        </w:rPr>
      </w:pPr>
    </w:p>
    <w:p w14:paraId="75A0BD53">
      <w:pPr>
        <w:spacing w:line="600" w:lineRule="exact"/>
        <w:jc w:val="center"/>
        <w:outlineLvl w:val="0"/>
        <w:rPr>
          <w:rFonts w:hint="default" w:ascii="Times New Roman" w:hAnsi="Times New Roman" w:eastAsia="黑体" w:cs="Times New Roman"/>
          <w:sz w:val="44"/>
          <w:szCs w:val="44"/>
        </w:rPr>
      </w:pPr>
    </w:p>
    <w:p w14:paraId="3BFB72FF">
      <w:pPr>
        <w:spacing w:line="600" w:lineRule="exact"/>
        <w:jc w:val="center"/>
        <w:outlineLvl w:val="0"/>
        <w:rPr>
          <w:rFonts w:hint="default" w:ascii="Times New Roman" w:hAnsi="Times New Roman" w:eastAsia="黑体" w:cs="Times New Roman"/>
          <w:sz w:val="44"/>
          <w:szCs w:val="44"/>
        </w:rPr>
      </w:pPr>
    </w:p>
    <w:p w14:paraId="5D2CBD69">
      <w:pPr>
        <w:spacing w:line="600" w:lineRule="exact"/>
        <w:jc w:val="center"/>
        <w:outlineLvl w:val="0"/>
        <w:rPr>
          <w:rFonts w:hint="default" w:ascii="Times New Roman" w:hAnsi="Times New Roman" w:eastAsia="黑体" w:cs="Times New Roman"/>
          <w:sz w:val="44"/>
          <w:szCs w:val="44"/>
        </w:rPr>
      </w:pPr>
    </w:p>
    <w:p w14:paraId="054A0B93">
      <w:pPr>
        <w:spacing w:line="600" w:lineRule="exact"/>
        <w:jc w:val="center"/>
        <w:outlineLvl w:val="0"/>
        <w:rPr>
          <w:rFonts w:hint="default" w:ascii="Times New Roman" w:hAnsi="Times New Roman" w:eastAsia="黑体" w:cs="Times New Roman"/>
          <w:sz w:val="44"/>
          <w:szCs w:val="44"/>
        </w:rPr>
      </w:pPr>
    </w:p>
    <w:p w14:paraId="6C23D19F">
      <w:pPr>
        <w:spacing w:line="600" w:lineRule="exact"/>
        <w:jc w:val="center"/>
        <w:outlineLvl w:val="0"/>
        <w:rPr>
          <w:rFonts w:hint="default" w:ascii="Times New Roman" w:hAnsi="Times New Roman" w:eastAsia="黑体" w:cs="Times New Roman"/>
          <w:sz w:val="44"/>
          <w:szCs w:val="44"/>
        </w:rPr>
      </w:pPr>
    </w:p>
    <w:p w14:paraId="0EB3FB7E">
      <w:pPr>
        <w:spacing w:line="600" w:lineRule="exact"/>
        <w:jc w:val="center"/>
        <w:outlineLvl w:val="0"/>
        <w:rPr>
          <w:rFonts w:hint="default" w:ascii="Times New Roman" w:hAnsi="Times New Roman" w:eastAsia="黑体" w:cs="Times New Roman"/>
          <w:sz w:val="44"/>
          <w:szCs w:val="44"/>
        </w:rPr>
      </w:pPr>
    </w:p>
    <w:p w14:paraId="107FC0B2">
      <w:pPr>
        <w:spacing w:line="600" w:lineRule="exact"/>
        <w:jc w:val="center"/>
        <w:outlineLvl w:val="0"/>
        <w:rPr>
          <w:rFonts w:hint="default" w:ascii="Times New Roman" w:hAnsi="Times New Roman" w:eastAsia="黑体" w:cs="Times New Roman"/>
          <w:sz w:val="44"/>
          <w:szCs w:val="44"/>
        </w:rPr>
      </w:pPr>
    </w:p>
    <w:p w14:paraId="65B5B36B">
      <w:pPr>
        <w:spacing w:line="600" w:lineRule="exact"/>
        <w:jc w:val="center"/>
        <w:outlineLvl w:val="0"/>
        <w:rPr>
          <w:rFonts w:hint="default" w:ascii="Times New Roman" w:hAnsi="Times New Roman" w:eastAsia="黑体" w:cs="Times New Roman"/>
          <w:sz w:val="44"/>
          <w:szCs w:val="44"/>
        </w:rPr>
      </w:pPr>
    </w:p>
    <w:p w14:paraId="1C7CCF7A">
      <w:pPr>
        <w:spacing w:line="600" w:lineRule="exact"/>
        <w:jc w:val="center"/>
        <w:outlineLvl w:val="0"/>
        <w:rPr>
          <w:rFonts w:hint="default" w:ascii="Times New Roman" w:hAnsi="Times New Roman" w:eastAsia="黑体" w:cs="Times New Roman"/>
          <w:sz w:val="44"/>
          <w:szCs w:val="44"/>
        </w:rPr>
      </w:pPr>
    </w:p>
    <w:p w14:paraId="5E812E47">
      <w:pPr>
        <w:spacing w:line="600" w:lineRule="exact"/>
        <w:jc w:val="center"/>
        <w:outlineLvl w:val="0"/>
        <w:rPr>
          <w:rFonts w:hint="default" w:ascii="Times New Roman" w:hAnsi="Times New Roman" w:eastAsia="黑体" w:cs="Times New Roman"/>
          <w:sz w:val="44"/>
          <w:szCs w:val="44"/>
        </w:rPr>
      </w:pPr>
    </w:p>
    <w:p w14:paraId="1E47FD78">
      <w:pPr>
        <w:spacing w:line="600" w:lineRule="exact"/>
        <w:jc w:val="center"/>
        <w:outlineLvl w:val="0"/>
        <w:rPr>
          <w:rFonts w:hint="default" w:ascii="Times New Roman" w:hAnsi="Times New Roman" w:eastAsia="黑体" w:cs="Times New Roman"/>
          <w:sz w:val="44"/>
          <w:szCs w:val="44"/>
        </w:rPr>
      </w:pPr>
    </w:p>
    <w:p w14:paraId="7FA49EAB">
      <w:pPr>
        <w:spacing w:line="600" w:lineRule="exact"/>
        <w:jc w:val="center"/>
        <w:outlineLvl w:val="0"/>
        <w:rPr>
          <w:rFonts w:hint="default" w:ascii="Times New Roman" w:hAnsi="Times New Roman" w:eastAsia="黑体" w:cs="Times New Roman"/>
          <w:sz w:val="44"/>
          <w:szCs w:val="44"/>
        </w:rPr>
      </w:pPr>
      <w:r>
        <w:rPr>
          <w:rFonts w:hint="default" w:ascii="Times New Roman" w:hAnsi="Times New Roman" w:eastAsia="黑体" w:cs="Times New Roman"/>
          <w:sz w:val="44"/>
          <w:szCs w:val="44"/>
        </w:rPr>
        <w:t>第三部分  名词解释</w:t>
      </w:r>
      <w:bookmarkEnd w:id="49"/>
      <w:bookmarkEnd w:id="50"/>
    </w:p>
    <w:p w14:paraId="472659A0">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1.财政拨款收入：指单位从同级财政部门取得的财政预算资金。</w:t>
      </w:r>
    </w:p>
    <w:p w14:paraId="6843529B">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2.事业收入：指事业单位开展专业业务活动及辅助活动取得的收入。</w:t>
      </w:r>
    </w:p>
    <w:p w14:paraId="03D87E2B">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3.经营收入：指事业单位在专业业务活动及其辅助活动之外开展非独立核算经营活动取得的收入。</w:t>
      </w:r>
    </w:p>
    <w:p w14:paraId="1A400A7C">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4.其他收入：指单位取得的除上述收入以外的各项收入。</w:t>
      </w:r>
    </w:p>
    <w:p w14:paraId="32D35786">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5.使用非财政拨款结余：指事业单位使用以前年度积累的非财政拨款结余弥补当年收支差额的金额。</w:t>
      </w:r>
    </w:p>
    <w:p w14:paraId="27AF1BA7">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6.年初结转和结余：指以前年度尚未完成、结转到本年按有关规定继续使用的资金。</w:t>
      </w:r>
    </w:p>
    <w:p w14:paraId="386D0ECD">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7.结余分配：指事业单位按照会计制度规定缴纳的所得税、提取的专用结余以及转入非财政拨款结余的金额等。</w:t>
      </w:r>
    </w:p>
    <w:p w14:paraId="7458E64C">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8.年末结转和结余：指单位按有关规定结转到下年或以后年度继续使用的资金。</w:t>
      </w:r>
    </w:p>
    <w:p w14:paraId="1F71E7B4">
      <w:pPr>
        <w:spacing w:line="58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9. 社会保障和就业支出（类）行政事业单位离退休（款）事业单位离退休（项）指：事业单位开支的离退休经费。</w:t>
      </w:r>
    </w:p>
    <w:p w14:paraId="0CCA3B99">
      <w:pPr>
        <w:spacing w:line="58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10. 社会保障和就业支出（类）行政事业单位离退休（款）机关事业单位基本养老保险缴费支出（项）指：反映机关事业单位实施养老保险制度由单位缴纳的基本养老保险缴费支出。</w:t>
      </w:r>
    </w:p>
    <w:p w14:paraId="4028D46E">
      <w:pPr>
        <w:spacing w:line="58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11. 卫生健康支出（类）行政事业单位医疗（款）事业单位医疗（项）指：反映财政部门安排的事业单位基本医疗保险缴费经费，未参加医疗保险的事业单位的公费医疗经费，按照国家规定享受离退休人员待遇的医疗经费。</w:t>
      </w:r>
    </w:p>
    <w:p w14:paraId="0845B7C3">
      <w:pPr>
        <w:spacing w:line="58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12. 卫生健康支出（类）行政事业单位医疗（款）公务员医疗补助（项）指：反映财政部门安排的公务员医疗补助经费。</w:t>
      </w:r>
    </w:p>
    <w:p w14:paraId="679B8B9B">
      <w:pPr>
        <w:spacing w:line="58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13. 卫生健康支出（类）行政事业单位医疗（款）事业单位医疗（项）指：用于行政事业单位医疗保险的支出。</w:t>
      </w:r>
    </w:p>
    <w:p w14:paraId="16B968F3">
      <w:pPr>
        <w:spacing w:line="580" w:lineRule="exact"/>
        <w:ind w:firstLine="640" w:firstLineChars="200"/>
        <w:rPr>
          <w:rFonts w:hint="default" w:ascii="Times New Roman" w:hAnsi="Times New Roman" w:eastAsia="仿宋_GB2312" w:cs="Times New Roman"/>
          <w:kern w:val="0"/>
          <w:sz w:val="32"/>
          <w:szCs w:val="32"/>
        </w:rPr>
      </w:pPr>
      <w:r>
        <w:rPr>
          <w:rFonts w:hint="default" w:ascii="Times New Roman" w:hAnsi="Times New Roman" w:eastAsia="仿宋_GB2312" w:cs="Times New Roman"/>
          <w:sz w:val="32"/>
          <w:szCs w:val="32"/>
        </w:rPr>
        <w:t>14.</w:t>
      </w:r>
      <w:r>
        <w:rPr>
          <w:rFonts w:hint="default" w:ascii="Times New Roman" w:hAnsi="Times New Roman" w:eastAsia="仿宋_GB2312" w:cs="Times New Roman"/>
          <w:kern w:val="0"/>
          <w:sz w:val="32"/>
          <w:szCs w:val="32"/>
        </w:rPr>
        <w:t xml:space="preserve"> 卫生健康支出（类）行政事业单位医疗（款）其他行政事业单位医疗支出（项）指：其他用于行政事业单位医疗方面的支出。</w:t>
      </w:r>
    </w:p>
    <w:p w14:paraId="3EAF3A93">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15.自然资源海洋气象等支出（类）自然资源事务（款）事业运行（项）：指反应事业单位的基本支出，不包括行政单位（包括实施公务员管理的事业单位）后勤服务中心，医务室等附属事业单位。</w:t>
      </w:r>
    </w:p>
    <w:p w14:paraId="277F12BA">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16.住房保障支出（类）住房改革支出（款）住房公积金（项）:指行政事业单位按人力资源和社会保障部，财政部规定的基本工资和津贴补贴以及规定比例为职工缴纳的住房公积金。</w:t>
      </w:r>
    </w:p>
    <w:p w14:paraId="36D0A0D9">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17.基本支出：指为保障机构正常运转、完成日常工作任务而发生的人员支出和公用支出。</w:t>
      </w:r>
    </w:p>
    <w:p w14:paraId="096D7603">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18.项目支出：指在基本支出之外为完成特定行政任务和事业发展目标所发生的支出。</w:t>
      </w:r>
    </w:p>
    <w:p w14:paraId="2B19370D">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19.经营支出：指事业单位在专业业务活动及其辅助活动之外开展非独立核算经营活动发生的支出。</w:t>
      </w:r>
    </w:p>
    <w:p w14:paraId="6B841C21">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20.“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4A2B0ACE">
      <w:pPr>
        <w:pStyle w:val="26"/>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8178D68">
      <w:pPr>
        <w:spacing w:line="600" w:lineRule="exact"/>
        <w:jc w:val="center"/>
        <w:rPr>
          <w:rStyle w:val="28"/>
          <w:rFonts w:hint="default" w:ascii="Times New Roman" w:hAnsi="Times New Roman" w:eastAsia="黑体" w:cs="Times New Roman"/>
          <w:b w:val="0"/>
        </w:rPr>
      </w:pPr>
      <w:bookmarkStart w:id="51" w:name="_Toc15377226"/>
      <w:r>
        <w:rPr>
          <w:rFonts w:hint="default" w:ascii="Times New Roman" w:hAnsi="Times New Roman" w:eastAsia="仿宋_GB2312" w:cs="Times New Roman"/>
          <w:sz w:val="32"/>
          <w:szCs w:val="32"/>
        </w:rPr>
        <w:br w:type="page"/>
      </w:r>
      <w:bookmarkStart w:id="52" w:name="_Toc15396614"/>
      <w:r>
        <w:rPr>
          <w:rFonts w:hint="default" w:ascii="Times New Roman" w:hAnsi="Times New Roman" w:eastAsia="黑体" w:cs="Times New Roman"/>
          <w:sz w:val="44"/>
          <w:szCs w:val="44"/>
        </w:rPr>
        <w:t>第四部分  附件</w:t>
      </w:r>
      <w:bookmarkEnd w:id="52"/>
    </w:p>
    <w:bookmarkEnd w:id="51"/>
    <w:p w14:paraId="7C46A14A">
      <w:pPr>
        <w:pStyle w:val="13"/>
        <w:spacing w:line="560" w:lineRule="exact"/>
        <w:ind w:left="0" w:leftChars="0" w:firstLine="0" w:firstLineChars="0"/>
        <w:jc w:val="center"/>
        <w:rPr>
          <w:rFonts w:hint="default" w:ascii="Times New Roman" w:hAnsi="Times New Roman" w:eastAsia="仿宋_GB2312" w:cs="Times New Roman"/>
          <w:sz w:val="32"/>
          <w:lang w:val="en-US" w:eastAsia="zh-CN"/>
        </w:rPr>
      </w:pPr>
      <w:bookmarkStart w:id="66" w:name="_GoBack"/>
      <w:r>
        <w:rPr>
          <w:rFonts w:hint="default" w:ascii="Times New Roman" w:hAnsi="Times New Roman" w:eastAsia="仿宋_GB2312" w:cs="Times New Roman"/>
          <w:sz w:val="32"/>
          <w:lang w:val="en-US" w:eastAsia="zh-CN"/>
        </w:rPr>
        <w:t>攀枝花市国土空间规划编制研究中心</w:t>
      </w:r>
      <w:r>
        <w:rPr>
          <w:rFonts w:hint="default" w:ascii="Times New Roman" w:hAnsi="Times New Roman" w:eastAsia="仿宋_GB2312" w:cs="Times New Roman"/>
          <w:sz w:val="32"/>
        </w:rPr>
        <w:t>部门预算项目支出绩效自评表（202</w:t>
      </w:r>
      <w:r>
        <w:rPr>
          <w:rFonts w:hint="default" w:ascii="Times New Roman" w:hAnsi="Times New Roman" w:eastAsia="仿宋_GB2312" w:cs="Times New Roman"/>
          <w:sz w:val="32"/>
          <w:lang w:val="en-US" w:eastAsia="zh-CN"/>
        </w:rPr>
        <w:t>5</w:t>
      </w:r>
      <w:r>
        <w:rPr>
          <w:rFonts w:hint="default" w:ascii="Times New Roman" w:hAnsi="Times New Roman" w:eastAsia="仿宋_GB2312" w:cs="Times New Roman"/>
          <w:sz w:val="32"/>
        </w:rPr>
        <w:t>年度）</w:t>
      </w:r>
      <w:r>
        <w:rPr>
          <w:rFonts w:hint="eastAsia" w:ascii="Times New Roman" w:eastAsia="仿宋_GB2312" w:cs="Times New Roman"/>
          <w:sz w:val="32"/>
          <w:lang w:eastAsia="zh-CN"/>
        </w:rPr>
        <w:t>（</w:t>
      </w:r>
      <w:r>
        <w:rPr>
          <w:rFonts w:hint="eastAsia" w:ascii="Times New Roman" w:eastAsia="仿宋_GB2312" w:cs="Times New Roman"/>
          <w:sz w:val="32"/>
          <w:lang w:val="en-US" w:eastAsia="zh-CN"/>
        </w:rPr>
        <w:t>此表无数据</w:t>
      </w:r>
      <w:r>
        <w:rPr>
          <w:rFonts w:hint="eastAsia" w:ascii="Times New Roman" w:eastAsia="仿宋_GB2312" w:cs="Times New Roman"/>
          <w:sz w:val="32"/>
          <w:lang w:eastAsia="zh-CN"/>
        </w:rPr>
        <w:t>）</w:t>
      </w:r>
      <w:r>
        <w:rPr>
          <w:rFonts w:hint="default" w:ascii="Times New Roman" w:hAnsi="Times New Roman" w:eastAsia="仿宋_GB2312" w:cs="Times New Roman"/>
          <w:sz w:val="32"/>
          <w:lang w:val="en-US" w:eastAsia="zh-CN"/>
        </w:rPr>
        <w:t xml:space="preserve"> </w:t>
      </w:r>
    </w:p>
    <w:bookmarkEnd w:id="66"/>
    <w:p w14:paraId="5A834AD1">
      <w:pPr>
        <w:pStyle w:val="2"/>
        <w:spacing w:before="93"/>
        <w:rPr>
          <w:rFonts w:hint="default" w:ascii="Times New Roman" w:hAnsi="Times New Roman" w:cs="Times New Roman"/>
          <w:sz w:val="32"/>
          <w:szCs w:val="32"/>
        </w:rPr>
      </w:pPr>
    </w:p>
    <w:p w14:paraId="0E6AF7E5">
      <w:pPr>
        <w:pStyle w:val="2"/>
        <w:spacing w:before="93"/>
        <w:rPr>
          <w:rFonts w:hint="default" w:ascii="Times New Roman" w:hAnsi="Times New Roman" w:cs="Times New Roman"/>
          <w:sz w:val="32"/>
          <w:szCs w:val="32"/>
        </w:rPr>
      </w:pPr>
    </w:p>
    <w:p w14:paraId="0BB393E1">
      <w:pPr>
        <w:pStyle w:val="2"/>
        <w:spacing w:before="93"/>
        <w:rPr>
          <w:rFonts w:hint="default" w:ascii="Times New Roman" w:hAnsi="Times New Roman" w:cs="Times New Roman"/>
          <w:sz w:val="32"/>
          <w:szCs w:val="32"/>
        </w:rPr>
      </w:pPr>
    </w:p>
    <w:p w14:paraId="198A9D12">
      <w:pPr>
        <w:pStyle w:val="2"/>
        <w:spacing w:before="93"/>
        <w:rPr>
          <w:rFonts w:hint="default" w:ascii="Times New Roman" w:hAnsi="Times New Roman" w:cs="Times New Roman"/>
          <w:sz w:val="32"/>
          <w:szCs w:val="32"/>
        </w:rPr>
      </w:pPr>
    </w:p>
    <w:p w14:paraId="537A648C">
      <w:pPr>
        <w:pStyle w:val="2"/>
        <w:spacing w:before="93"/>
        <w:rPr>
          <w:rFonts w:hint="default" w:ascii="Times New Roman" w:hAnsi="Times New Roman" w:cs="Times New Roman"/>
          <w:sz w:val="32"/>
          <w:szCs w:val="32"/>
        </w:rPr>
      </w:pPr>
    </w:p>
    <w:p w14:paraId="4ACCBF09">
      <w:pPr>
        <w:pStyle w:val="2"/>
        <w:spacing w:before="93"/>
        <w:rPr>
          <w:rFonts w:hint="default" w:ascii="Times New Roman" w:hAnsi="Times New Roman" w:cs="Times New Roman"/>
          <w:sz w:val="32"/>
          <w:szCs w:val="32"/>
        </w:rPr>
      </w:pPr>
    </w:p>
    <w:p w14:paraId="18371F04">
      <w:pPr>
        <w:pStyle w:val="2"/>
        <w:spacing w:before="93"/>
        <w:rPr>
          <w:rFonts w:hint="default" w:ascii="Times New Roman" w:hAnsi="Times New Roman" w:cs="Times New Roman"/>
          <w:sz w:val="32"/>
          <w:szCs w:val="32"/>
        </w:rPr>
      </w:pPr>
    </w:p>
    <w:p w14:paraId="01D19DC7">
      <w:pPr>
        <w:pStyle w:val="2"/>
        <w:spacing w:before="93"/>
        <w:rPr>
          <w:rFonts w:hint="default" w:ascii="Times New Roman" w:hAnsi="Times New Roman" w:cs="Times New Roman"/>
          <w:sz w:val="32"/>
          <w:szCs w:val="32"/>
        </w:rPr>
      </w:pPr>
    </w:p>
    <w:p w14:paraId="59DD2AAC">
      <w:pPr>
        <w:pStyle w:val="2"/>
        <w:spacing w:before="93"/>
        <w:rPr>
          <w:rFonts w:hint="default" w:ascii="Times New Roman" w:hAnsi="Times New Roman" w:cs="Times New Roman"/>
          <w:sz w:val="32"/>
          <w:szCs w:val="32"/>
        </w:rPr>
      </w:pPr>
    </w:p>
    <w:p w14:paraId="28BCB816">
      <w:pPr>
        <w:pStyle w:val="2"/>
        <w:spacing w:before="93"/>
        <w:rPr>
          <w:rFonts w:hint="default" w:ascii="Times New Roman" w:hAnsi="Times New Roman" w:cs="Times New Roman"/>
          <w:sz w:val="32"/>
          <w:szCs w:val="32"/>
        </w:rPr>
      </w:pPr>
    </w:p>
    <w:p w14:paraId="4C2B6707">
      <w:pPr>
        <w:pStyle w:val="2"/>
        <w:spacing w:before="93"/>
        <w:rPr>
          <w:rFonts w:hint="default" w:ascii="Times New Roman" w:hAnsi="Times New Roman" w:cs="Times New Roman"/>
          <w:sz w:val="32"/>
          <w:szCs w:val="32"/>
        </w:rPr>
      </w:pPr>
    </w:p>
    <w:p w14:paraId="16CF5EF8">
      <w:pPr>
        <w:pStyle w:val="2"/>
        <w:spacing w:before="93"/>
        <w:rPr>
          <w:rFonts w:hint="default" w:ascii="Times New Roman" w:hAnsi="Times New Roman" w:cs="Times New Roman"/>
          <w:sz w:val="32"/>
          <w:szCs w:val="32"/>
        </w:rPr>
      </w:pPr>
    </w:p>
    <w:p w14:paraId="7183F88C">
      <w:pPr>
        <w:pStyle w:val="2"/>
        <w:spacing w:before="93"/>
        <w:rPr>
          <w:rFonts w:hint="default" w:ascii="Times New Roman" w:hAnsi="Times New Roman" w:cs="Times New Roman"/>
          <w:sz w:val="32"/>
          <w:szCs w:val="32"/>
        </w:rPr>
      </w:pPr>
    </w:p>
    <w:p w14:paraId="5491C9E9">
      <w:pPr>
        <w:pStyle w:val="2"/>
        <w:spacing w:before="93"/>
        <w:rPr>
          <w:rFonts w:hint="default" w:ascii="Times New Roman" w:hAnsi="Times New Roman" w:cs="Times New Roman"/>
          <w:sz w:val="32"/>
          <w:szCs w:val="32"/>
        </w:rPr>
      </w:pPr>
    </w:p>
    <w:p w14:paraId="3D2ED934">
      <w:pPr>
        <w:pStyle w:val="2"/>
        <w:spacing w:before="93"/>
        <w:rPr>
          <w:rFonts w:hint="default" w:ascii="Times New Roman" w:hAnsi="Times New Roman" w:cs="Times New Roman"/>
          <w:sz w:val="32"/>
          <w:szCs w:val="32"/>
        </w:rPr>
      </w:pPr>
    </w:p>
    <w:p w14:paraId="3FE73A00">
      <w:pPr>
        <w:spacing w:line="600" w:lineRule="exact"/>
        <w:jc w:val="center"/>
        <w:outlineLvl w:val="0"/>
        <w:rPr>
          <w:rFonts w:hint="default" w:ascii="Times New Roman" w:hAnsi="Times New Roman" w:eastAsia="黑体" w:cs="Times New Roman"/>
          <w:b w:val="0"/>
          <w:bCs w:val="0"/>
        </w:rPr>
      </w:pPr>
      <w:r>
        <w:rPr>
          <w:rFonts w:hint="default" w:ascii="Times New Roman" w:hAnsi="Times New Roman" w:eastAsia="黑体" w:cs="Times New Roman"/>
          <w:b w:val="0"/>
          <w:bCs w:val="0"/>
          <w:sz w:val="44"/>
          <w:szCs w:val="44"/>
        </w:rPr>
        <w:t>第</w:t>
      </w:r>
      <w:r>
        <w:rPr>
          <w:rStyle w:val="28"/>
          <w:rFonts w:hint="default" w:ascii="Times New Roman" w:hAnsi="Times New Roman" w:eastAsia="黑体" w:cs="Times New Roman"/>
          <w:b w:val="0"/>
          <w:bCs w:val="0"/>
        </w:rPr>
        <w:t>五部分 附表</w:t>
      </w:r>
      <w:bookmarkStart w:id="53" w:name="_Toc15396619"/>
    </w:p>
    <w:p w14:paraId="71761B8F">
      <w:pPr>
        <w:pStyle w:val="4"/>
        <w:rPr>
          <w:rFonts w:hint="default" w:ascii="Times New Roman" w:hAnsi="Times New Roman" w:eastAsia="仿宋" w:cs="Times New Roman"/>
        </w:rPr>
      </w:pPr>
      <w:r>
        <w:rPr>
          <w:rFonts w:hint="default" w:ascii="Times New Roman" w:hAnsi="Times New Roman" w:eastAsia="仿宋" w:cs="Times New Roman"/>
          <w:b w:val="0"/>
        </w:rPr>
        <w:t>一、收</w:t>
      </w:r>
      <w:r>
        <w:rPr>
          <w:rStyle w:val="29"/>
          <w:rFonts w:hint="default" w:ascii="Times New Roman" w:hAnsi="Times New Roman" w:eastAsia="仿宋" w:cs="Times New Roman"/>
          <w:b w:val="0"/>
          <w:bCs w:val="0"/>
        </w:rPr>
        <w:t>入支出决算总表</w:t>
      </w:r>
      <w:bookmarkEnd w:id="53"/>
    </w:p>
    <w:p w14:paraId="1B515778">
      <w:pPr>
        <w:pStyle w:val="4"/>
        <w:rPr>
          <w:rFonts w:hint="default" w:ascii="Times New Roman" w:hAnsi="Times New Roman" w:eastAsia="仿宋" w:cs="Times New Roman"/>
        </w:rPr>
      </w:pPr>
      <w:bookmarkStart w:id="54" w:name="_Toc15396620"/>
      <w:r>
        <w:rPr>
          <w:rFonts w:hint="default" w:ascii="Times New Roman" w:hAnsi="Times New Roman" w:eastAsia="仿宋" w:cs="Times New Roman"/>
          <w:b w:val="0"/>
        </w:rPr>
        <w:t>二、收</w:t>
      </w:r>
      <w:r>
        <w:rPr>
          <w:rStyle w:val="29"/>
          <w:rFonts w:hint="default" w:ascii="Times New Roman" w:hAnsi="Times New Roman" w:eastAsia="仿宋" w:cs="Times New Roman"/>
          <w:b w:val="0"/>
          <w:bCs w:val="0"/>
        </w:rPr>
        <w:t>入决算表</w:t>
      </w:r>
      <w:bookmarkEnd w:id="54"/>
    </w:p>
    <w:p w14:paraId="0518D6AD">
      <w:pPr>
        <w:pStyle w:val="4"/>
        <w:rPr>
          <w:rFonts w:hint="default" w:ascii="Times New Roman" w:hAnsi="Times New Roman" w:eastAsia="仿宋" w:cs="Times New Roman"/>
        </w:rPr>
      </w:pPr>
      <w:bookmarkStart w:id="55" w:name="_Toc15396621"/>
      <w:r>
        <w:rPr>
          <w:rStyle w:val="29"/>
          <w:rFonts w:hint="default" w:ascii="Times New Roman" w:hAnsi="Times New Roman" w:eastAsia="仿宋" w:cs="Times New Roman"/>
          <w:b w:val="0"/>
          <w:bCs w:val="0"/>
        </w:rPr>
        <w:t>三、</w:t>
      </w:r>
      <w:r>
        <w:rPr>
          <w:rFonts w:hint="default" w:ascii="Times New Roman" w:hAnsi="Times New Roman" w:eastAsia="仿宋" w:cs="Times New Roman"/>
          <w:b w:val="0"/>
        </w:rPr>
        <w:t>支</w:t>
      </w:r>
      <w:r>
        <w:rPr>
          <w:rStyle w:val="29"/>
          <w:rFonts w:hint="default" w:ascii="Times New Roman" w:hAnsi="Times New Roman" w:eastAsia="仿宋" w:cs="Times New Roman"/>
          <w:b w:val="0"/>
          <w:bCs w:val="0"/>
        </w:rPr>
        <w:t>出决算表</w:t>
      </w:r>
      <w:bookmarkEnd w:id="55"/>
    </w:p>
    <w:p w14:paraId="3D38F81F">
      <w:pPr>
        <w:pStyle w:val="4"/>
        <w:rPr>
          <w:rFonts w:hint="default" w:ascii="Times New Roman" w:hAnsi="Times New Roman" w:eastAsia="仿宋" w:cs="Times New Roman"/>
          <w:b w:val="0"/>
        </w:rPr>
      </w:pPr>
      <w:bookmarkStart w:id="56" w:name="_Toc15396622"/>
      <w:r>
        <w:rPr>
          <w:rStyle w:val="29"/>
          <w:rFonts w:hint="default" w:ascii="Times New Roman" w:hAnsi="Times New Roman" w:eastAsia="仿宋" w:cs="Times New Roman"/>
          <w:b w:val="0"/>
          <w:bCs w:val="0"/>
        </w:rPr>
        <w:t>四、</w:t>
      </w:r>
      <w:r>
        <w:rPr>
          <w:rFonts w:hint="default" w:ascii="Times New Roman" w:hAnsi="Times New Roman" w:eastAsia="仿宋" w:cs="Times New Roman"/>
          <w:b w:val="0"/>
        </w:rPr>
        <w:t>财</w:t>
      </w:r>
      <w:r>
        <w:rPr>
          <w:rStyle w:val="29"/>
          <w:rFonts w:hint="default" w:ascii="Times New Roman" w:hAnsi="Times New Roman" w:eastAsia="仿宋" w:cs="Times New Roman"/>
          <w:b w:val="0"/>
          <w:bCs w:val="0"/>
        </w:rPr>
        <w:t>政拨款收入支出决算总表</w:t>
      </w:r>
      <w:bookmarkEnd w:id="56"/>
    </w:p>
    <w:p w14:paraId="0E2A3B12">
      <w:pPr>
        <w:pStyle w:val="4"/>
        <w:rPr>
          <w:rStyle w:val="29"/>
          <w:rFonts w:hint="default" w:ascii="Times New Roman" w:hAnsi="Times New Roman" w:eastAsia="仿宋" w:cs="Times New Roman"/>
          <w:b w:val="0"/>
          <w:bCs w:val="0"/>
        </w:rPr>
      </w:pPr>
      <w:bookmarkStart w:id="57" w:name="_Toc15396623"/>
      <w:r>
        <w:rPr>
          <w:rStyle w:val="29"/>
          <w:rFonts w:hint="default" w:ascii="Times New Roman" w:hAnsi="Times New Roman" w:eastAsia="仿宋" w:cs="Times New Roman"/>
          <w:b w:val="0"/>
          <w:bCs w:val="0"/>
        </w:rPr>
        <w:t>五、</w:t>
      </w:r>
      <w:r>
        <w:rPr>
          <w:rFonts w:hint="default" w:ascii="Times New Roman" w:hAnsi="Times New Roman" w:eastAsia="仿宋" w:cs="Times New Roman"/>
          <w:b w:val="0"/>
        </w:rPr>
        <w:t>财</w:t>
      </w:r>
      <w:r>
        <w:rPr>
          <w:rStyle w:val="29"/>
          <w:rFonts w:hint="default" w:ascii="Times New Roman" w:hAnsi="Times New Roman" w:eastAsia="仿宋" w:cs="Times New Roman"/>
          <w:b w:val="0"/>
          <w:bCs w:val="0"/>
        </w:rPr>
        <w:t>政拨款支出决算明细表</w:t>
      </w:r>
      <w:bookmarkEnd w:id="57"/>
      <w:bookmarkStart w:id="58" w:name="_Toc15396624"/>
    </w:p>
    <w:p w14:paraId="3318AA77">
      <w:pPr>
        <w:pStyle w:val="4"/>
        <w:rPr>
          <w:rFonts w:hint="default" w:ascii="Times New Roman" w:hAnsi="Times New Roman" w:eastAsia="仿宋" w:cs="Times New Roman"/>
        </w:rPr>
      </w:pPr>
      <w:r>
        <w:rPr>
          <w:rStyle w:val="29"/>
          <w:rFonts w:hint="default" w:ascii="Times New Roman" w:hAnsi="Times New Roman" w:eastAsia="仿宋" w:cs="Times New Roman"/>
          <w:b w:val="0"/>
          <w:bCs w:val="0"/>
        </w:rPr>
        <w:t>六、</w:t>
      </w:r>
      <w:r>
        <w:rPr>
          <w:rFonts w:hint="default" w:ascii="Times New Roman" w:hAnsi="Times New Roman" w:eastAsia="仿宋" w:cs="Times New Roman"/>
          <w:b w:val="0"/>
        </w:rPr>
        <w:t>一</w:t>
      </w:r>
      <w:r>
        <w:rPr>
          <w:rStyle w:val="29"/>
          <w:rFonts w:hint="default" w:ascii="Times New Roman" w:hAnsi="Times New Roman" w:eastAsia="仿宋" w:cs="Times New Roman"/>
          <w:b w:val="0"/>
          <w:bCs w:val="0"/>
        </w:rPr>
        <w:t>般公共预算财政拨款支出决算表</w:t>
      </w:r>
      <w:bookmarkEnd w:id="58"/>
    </w:p>
    <w:p w14:paraId="7B69C1A0">
      <w:pPr>
        <w:pStyle w:val="4"/>
        <w:rPr>
          <w:rFonts w:hint="default" w:ascii="Times New Roman" w:hAnsi="Times New Roman" w:eastAsia="仿宋" w:cs="Times New Roman"/>
        </w:rPr>
      </w:pPr>
      <w:bookmarkStart w:id="59" w:name="_Toc15396625"/>
      <w:r>
        <w:rPr>
          <w:rStyle w:val="29"/>
          <w:rFonts w:hint="default" w:ascii="Times New Roman" w:hAnsi="Times New Roman" w:eastAsia="仿宋" w:cs="Times New Roman"/>
          <w:b w:val="0"/>
          <w:bCs w:val="0"/>
        </w:rPr>
        <w:t>七、</w:t>
      </w:r>
      <w:r>
        <w:rPr>
          <w:rFonts w:hint="default" w:ascii="Times New Roman" w:hAnsi="Times New Roman" w:eastAsia="仿宋" w:cs="Times New Roman"/>
          <w:b w:val="0"/>
        </w:rPr>
        <w:t>一</w:t>
      </w:r>
      <w:r>
        <w:rPr>
          <w:rStyle w:val="29"/>
          <w:rFonts w:hint="default" w:ascii="Times New Roman" w:hAnsi="Times New Roman" w:eastAsia="仿宋" w:cs="Times New Roman"/>
          <w:b w:val="0"/>
          <w:bCs w:val="0"/>
        </w:rPr>
        <w:t>般公共预算财政拨款支出决算明细表</w:t>
      </w:r>
      <w:bookmarkEnd w:id="59"/>
    </w:p>
    <w:p w14:paraId="73DEAD80">
      <w:pPr>
        <w:pStyle w:val="4"/>
        <w:rPr>
          <w:rFonts w:hint="default" w:ascii="Times New Roman" w:hAnsi="Times New Roman" w:eastAsia="仿宋" w:cs="Times New Roman"/>
        </w:rPr>
      </w:pPr>
      <w:bookmarkStart w:id="60" w:name="_Toc15396626"/>
      <w:r>
        <w:rPr>
          <w:rStyle w:val="29"/>
          <w:rFonts w:hint="default" w:ascii="Times New Roman" w:hAnsi="Times New Roman" w:eastAsia="仿宋" w:cs="Times New Roman"/>
          <w:b w:val="0"/>
          <w:bCs w:val="0"/>
        </w:rPr>
        <w:t>八、</w:t>
      </w:r>
      <w:r>
        <w:rPr>
          <w:rFonts w:hint="default" w:ascii="Times New Roman" w:hAnsi="Times New Roman" w:eastAsia="仿宋" w:cs="Times New Roman"/>
          <w:b w:val="0"/>
        </w:rPr>
        <w:t>一</w:t>
      </w:r>
      <w:r>
        <w:rPr>
          <w:rStyle w:val="29"/>
          <w:rFonts w:hint="default" w:ascii="Times New Roman" w:hAnsi="Times New Roman" w:eastAsia="仿宋" w:cs="Times New Roman"/>
          <w:b w:val="0"/>
          <w:bCs w:val="0"/>
        </w:rPr>
        <w:t>般公共预算财政拨款基本支出决算表</w:t>
      </w:r>
      <w:bookmarkEnd w:id="60"/>
    </w:p>
    <w:p w14:paraId="34BF513A">
      <w:pPr>
        <w:pStyle w:val="4"/>
        <w:rPr>
          <w:rFonts w:hint="default" w:ascii="Times New Roman" w:hAnsi="Times New Roman" w:eastAsia="仿宋" w:cs="Times New Roman"/>
        </w:rPr>
      </w:pPr>
      <w:bookmarkStart w:id="61" w:name="_Toc15396627"/>
      <w:r>
        <w:rPr>
          <w:rStyle w:val="29"/>
          <w:rFonts w:hint="default" w:ascii="Times New Roman" w:hAnsi="Times New Roman" w:eastAsia="仿宋" w:cs="Times New Roman"/>
          <w:b w:val="0"/>
          <w:bCs w:val="0"/>
        </w:rPr>
        <w:t>九、</w:t>
      </w:r>
      <w:r>
        <w:rPr>
          <w:rFonts w:hint="default" w:ascii="Times New Roman" w:hAnsi="Times New Roman" w:eastAsia="仿宋" w:cs="Times New Roman"/>
          <w:b w:val="0"/>
        </w:rPr>
        <w:t>一</w:t>
      </w:r>
      <w:r>
        <w:rPr>
          <w:rStyle w:val="29"/>
          <w:rFonts w:hint="default" w:ascii="Times New Roman" w:hAnsi="Times New Roman" w:eastAsia="仿宋" w:cs="Times New Roman"/>
          <w:b w:val="0"/>
          <w:bCs w:val="0"/>
        </w:rPr>
        <w:t>般公共预算财政拨款项目支出决算表</w:t>
      </w:r>
      <w:bookmarkEnd w:id="61"/>
    </w:p>
    <w:p w14:paraId="3CD64B93">
      <w:pPr>
        <w:pStyle w:val="4"/>
        <w:rPr>
          <w:rFonts w:hint="default" w:ascii="Times New Roman" w:hAnsi="Times New Roman" w:eastAsia="仿宋" w:cs="Times New Roman"/>
        </w:rPr>
      </w:pPr>
      <w:bookmarkStart w:id="62" w:name="_Toc15396628"/>
      <w:r>
        <w:rPr>
          <w:rStyle w:val="29"/>
          <w:rFonts w:hint="default" w:ascii="Times New Roman" w:hAnsi="Times New Roman" w:eastAsia="仿宋" w:cs="Times New Roman"/>
          <w:b w:val="0"/>
          <w:bCs w:val="0"/>
        </w:rPr>
        <w:t>十、</w:t>
      </w:r>
      <w:bookmarkEnd w:id="62"/>
      <w:r>
        <w:rPr>
          <w:rFonts w:hint="default" w:ascii="Times New Roman" w:hAnsi="Times New Roman" w:eastAsia="仿宋" w:cs="Times New Roman"/>
          <w:b w:val="0"/>
        </w:rPr>
        <w:t>政</w:t>
      </w:r>
      <w:r>
        <w:rPr>
          <w:rStyle w:val="29"/>
          <w:rFonts w:hint="default" w:ascii="Times New Roman" w:hAnsi="Times New Roman" w:eastAsia="仿宋" w:cs="Times New Roman"/>
          <w:b w:val="0"/>
          <w:bCs w:val="0"/>
        </w:rPr>
        <w:t>府性基金预算财政拨款收入支出决算表</w:t>
      </w:r>
    </w:p>
    <w:p w14:paraId="40F3C957">
      <w:pPr>
        <w:pStyle w:val="4"/>
        <w:rPr>
          <w:rFonts w:hint="default" w:ascii="Times New Roman" w:hAnsi="Times New Roman" w:eastAsia="仿宋" w:cs="Times New Roman"/>
        </w:rPr>
      </w:pPr>
      <w:bookmarkStart w:id="63" w:name="_Toc15396629"/>
      <w:r>
        <w:rPr>
          <w:rStyle w:val="29"/>
          <w:rFonts w:hint="default" w:ascii="Times New Roman" w:hAnsi="Times New Roman" w:eastAsia="仿宋" w:cs="Times New Roman"/>
          <w:b w:val="0"/>
          <w:bCs w:val="0"/>
        </w:rPr>
        <w:t>十一、</w:t>
      </w:r>
      <w:bookmarkEnd w:id="63"/>
      <w:r>
        <w:rPr>
          <w:rFonts w:hint="default" w:ascii="Times New Roman" w:hAnsi="Times New Roman" w:eastAsia="仿宋" w:cs="Times New Roman"/>
          <w:b w:val="0"/>
        </w:rPr>
        <w:t>国</w:t>
      </w:r>
      <w:r>
        <w:rPr>
          <w:rStyle w:val="29"/>
          <w:rFonts w:hint="default" w:ascii="Times New Roman" w:hAnsi="Times New Roman" w:eastAsia="仿宋" w:cs="Times New Roman"/>
          <w:b w:val="0"/>
          <w:bCs w:val="0"/>
        </w:rPr>
        <w:t>有资本经营预算财政拨款收入支出决算表</w:t>
      </w:r>
    </w:p>
    <w:p w14:paraId="45A12A49">
      <w:pPr>
        <w:pStyle w:val="4"/>
        <w:rPr>
          <w:rFonts w:hint="default" w:ascii="Times New Roman" w:hAnsi="Times New Roman" w:eastAsia="仿宋" w:cs="Times New Roman"/>
        </w:rPr>
      </w:pPr>
      <w:bookmarkStart w:id="64" w:name="_Toc15396630"/>
      <w:r>
        <w:rPr>
          <w:rStyle w:val="29"/>
          <w:rFonts w:hint="default" w:ascii="Times New Roman" w:hAnsi="Times New Roman" w:eastAsia="仿宋" w:cs="Times New Roman"/>
          <w:b w:val="0"/>
          <w:bCs w:val="0"/>
        </w:rPr>
        <w:t>十二、</w:t>
      </w:r>
      <w:bookmarkEnd w:id="64"/>
      <w:r>
        <w:rPr>
          <w:rStyle w:val="29"/>
          <w:rFonts w:hint="default" w:ascii="Times New Roman" w:hAnsi="Times New Roman" w:eastAsia="仿宋" w:cs="Times New Roman"/>
          <w:b w:val="0"/>
          <w:bCs w:val="0"/>
        </w:rPr>
        <w:t>国有资本经营预算财政拨款支出决算表</w:t>
      </w:r>
    </w:p>
    <w:p w14:paraId="4C3F58FF">
      <w:pPr>
        <w:pStyle w:val="4"/>
        <w:rPr>
          <w:rFonts w:hint="default" w:ascii="Times New Roman" w:hAnsi="Times New Roman" w:eastAsia="仿宋" w:cs="Times New Roman"/>
        </w:rPr>
      </w:pPr>
      <w:bookmarkStart w:id="65" w:name="_Toc15396631"/>
      <w:r>
        <w:rPr>
          <w:rStyle w:val="29"/>
          <w:rFonts w:hint="default" w:ascii="Times New Roman" w:hAnsi="Times New Roman" w:eastAsia="仿宋" w:cs="Times New Roman"/>
          <w:b w:val="0"/>
          <w:bCs w:val="0"/>
        </w:rPr>
        <w:t>十三、</w:t>
      </w:r>
      <w:bookmarkEnd w:id="65"/>
      <w:r>
        <w:rPr>
          <w:rStyle w:val="29"/>
          <w:rFonts w:hint="default" w:ascii="Times New Roman" w:hAnsi="Times New Roman" w:eastAsia="仿宋" w:cs="Times New Roman"/>
          <w:b w:val="0"/>
          <w:bCs w:val="0"/>
        </w:rPr>
        <w:t>财政拨款“三公”经费支出决算表</w:t>
      </w:r>
    </w:p>
    <w:p w14:paraId="72D346D8">
      <w:pPr>
        <w:rPr>
          <w:rFonts w:hint="default" w:ascii="Times New Roman" w:hAnsi="Times New Roman" w:cs="Times New Roman"/>
        </w:rPr>
      </w:pPr>
    </w:p>
    <w:p w14:paraId="2AD7A2B3">
      <w:pPr>
        <w:spacing w:line="600" w:lineRule="exact"/>
        <w:jc w:val="center"/>
        <w:outlineLvl w:val="0"/>
        <w:rPr>
          <w:rFonts w:hint="default" w:ascii="Times New Roman" w:hAnsi="Times New Roman" w:eastAsia="仿宋" w:cs="Times New Roman"/>
        </w:rPr>
      </w:pPr>
    </w:p>
    <w:sectPr>
      <w:footerReference r:id="rId13" w:type="first"/>
      <w:headerReference r:id="rId11" w:type="default"/>
      <w:footerReference r:id="rId12" w:type="default"/>
      <w:pgSz w:w="11906" w:h="16838"/>
      <w:pgMar w:top="1440" w:right="1800" w:bottom="1440" w:left="1800" w:header="851" w:footer="992" w:gutter="0"/>
      <w:pgNumType w:fmt="numberInDash" w:start="1"/>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92C5105-1FB9-4453-AF66-3A2BD4ECECF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DC40012F-4022-4576-85E9-4AF7D6FF8A4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3" w:fontKey="{DA5060E6-4B29-4666-B284-AC103B7E5BBA}"/>
  </w:font>
  <w:font w:name="仿宋">
    <w:panose1 w:val="02010609060101010101"/>
    <w:charset w:val="86"/>
    <w:family w:val="modern"/>
    <w:pitch w:val="default"/>
    <w:sig w:usb0="800002BF" w:usb1="38CF7CFA" w:usb2="00000016" w:usb3="00000000" w:csb0="00040001" w:csb1="00000000"/>
    <w:embedRegular r:id="rId4" w:fontKey="{74ECE79A-B2BA-40B5-B546-8F34961E5A75}"/>
  </w:font>
  <w:font w:name="??">
    <w:altName w:val="方正公文仿宋"/>
    <w:panose1 w:val="00000000000000000000"/>
    <w:charset w:val="00"/>
    <w:family w:val="roman"/>
    <w:pitch w:val="default"/>
    <w:sig w:usb0="00000000" w:usb1="00000000" w:usb2="00000000" w:usb3="00000000" w:csb0="00040001" w:csb1="00000000"/>
  </w:font>
  <w:font w:name="方正公文仿宋">
    <w:panose1 w:val="02000500000000000000"/>
    <w:charset w:val="86"/>
    <w:family w:val="auto"/>
    <w:pitch w:val="default"/>
    <w:sig w:usb0="A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5" w:fontKey="{6FDC86C1-4A22-4D15-9F05-1809FFE0DA07}"/>
  </w:font>
  <w:font w:name="Calibri">
    <w:panose1 w:val="020F0502020204030204"/>
    <w:charset w:val="86"/>
    <w:family w:val="auto"/>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embedRegular r:id="rId6" w:fontKey="{921900B0-F23B-41CA-A21D-409D28EB0C0D}"/>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D1DCB">
    <w:pPr>
      <w:pStyle w:val="9"/>
      <w:jc w:val="center"/>
    </w:pPr>
  </w:p>
  <w:p w14:paraId="6B318E32">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504E7">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475E6">
    <w:pPr>
      <w:pStyle w:val="9"/>
      <w:jc w:val="center"/>
    </w:pPr>
  </w:p>
  <w:p w14:paraId="43814EA5">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6CD29">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D38E3">
    <w:pPr>
      <w:pStyle w:val="9"/>
      <w:jc w:val="cente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21441499"/>
                          </w:sdtPr>
                          <w:sdtContent>
                            <w:p w14:paraId="67450209">
                              <w:pPr>
                                <w:pStyle w:val="9"/>
                                <w:jc w:val="cente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   \* MERGEFORMAT</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16</w:t>
                              </w:r>
                              <w:r>
                                <w:rPr>
                                  <w:rFonts w:hint="eastAsia" w:asciiTheme="minorEastAsia" w:hAnsiTheme="minorEastAsia" w:eastAsiaTheme="minorEastAsia" w:cstheme="minorEastAsia"/>
                                  <w:sz w:val="28"/>
                                  <w:szCs w:val="28"/>
                                </w:rPr>
                                <w:fldChar w:fldCharType="end"/>
                              </w:r>
                            </w:p>
                          </w:sdtContent>
                        </w:sdt>
                        <w:p w14:paraId="21198752">
                          <w:pPr>
                            <w:pStyle w:val="1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sdt>
                    <w:sdtPr>
                      <w:id w:val="-721441499"/>
                    </w:sdtPr>
                    <w:sdtContent>
                      <w:p w14:paraId="67450209">
                        <w:pPr>
                          <w:pStyle w:val="9"/>
                          <w:jc w:val="cente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   \* MERGEFORMAT</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16</w:t>
                        </w:r>
                        <w:r>
                          <w:rPr>
                            <w:rFonts w:hint="eastAsia" w:asciiTheme="minorEastAsia" w:hAnsiTheme="minorEastAsia" w:eastAsiaTheme="minorEastAsia" w:cstheme="minorEastAsia"/>
                            <w:sz w:val="28"/>
                            <w:szCs w:val="28"/>
                          </w:rPr>
                          <w:fldChar w:fldCharType="end"/>
                        </w:r>
                      </w:p>
                    </w:sdtContent>
                  </w:sdt>
                  <w:p w14:paraId="21198752">
                    <w:pPr>
                      <w:pStyle w:val="19"/>
                    </w:pPr>
                  </w:p>
                </w:txbxContent>
              </v:textbox>
            </v:shape>
          </w:pict>
        </mc:Fallback>
      </mc:AlternateContent>
    </w:r>
  </w:p>
  <w:p w14:paraId="21B6C739">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3849E">
    <w:pPr>
      <w:pStyle w:val="9"/>
      <w:jc w:val="cente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05592271"/>
                          </w:sdtPr>
                          <w:sdtContent>
                            <w:p w14:paraId="4C1DA5E2">
                              <w:pPr>
                                <w:pStyle w:val="9"/>
                                <w:jc w:val="cente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   \* MERGEFORMAT</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1</w:t>
                              </w:r>
                              <w:r>
                                <w:rPr>
                                  <w:rFonts w:hint="eastAsia" w:asciiTheme="minorEastAsia" w:hAnsiTheme="minorEastAsia" w:eastAsiaTheme="minorEastAsia" w:cstheme="minorEastAsia"/>
                                  <w:sz w:val="28"/>
                                  <w:szCs w:val="28"/>
                                </w:rPr>
                                <w:fldChar w:fldCharType="end"/>
                              </w:r>
                            </w:p>
                          </w:sdtContent>
                        </w:sdt>
                        <w:p w14:paraId="25805BC5">
                          <w:pPr>
                            <w:pStyle w:val="1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sdt>
                    <w:sdtPr>
                      <w:id w:val="1205592271"/>
                    </w:sdtPr>
                    <w:sdtContent>
                      <w:p w14:paraId="4C1DA5E2">
                        <w:pPr>
                          <w:pStyle w:val="9"/>
                          <w:jc w:val="cente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PAGE   \* MERGEFORMAT</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lang w:val="zh-CN"/>
                          </w:rPr>
                          <w:t>1</w:t>
                        </w:r>
                        <w:r>
                          <w:rPr>
                            <w:rFonts w:hint="eastAsia" w:asciiTheme="minorEastAsia" w:hAnsiTheme="minorEastAsia" w:eastAsiaTheme="minorEastAsia" w:cstheme="minorEastAsia"/>
                            <w:sz w:val="28"/>
                            <w:szCs w:val="28"/>
                          </w:rPr>
                          <w:fldChar w:fldCharType="end"/>
                        </w:r>
                      </w:p>
                    </w:sdtContent>
                  </w:sdt>
                  <w:p w14:paraId="25805BC5">
                    <w:pPr>
                      <w:pStyle w:val="19"/>
                    </w:pPr>
                  </w:p>
                </w:txbxContent>
              </v:textbox>
            </v:shape>
          </w:pict>
        </mc:Fallback>
      </mc:AlternateContent>
    </w:r>
  </w:p>
  <w:p w14:paraId="515AFF41">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764F7">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C4F57">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B4F62">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86F40"/>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22BF6"/>
    <w:rsid w:val="001415BE"/>
    <w:rsid w:val="00142216"/>
    <w:rsid w:val="00144D6A"/>
    <w:rsid w:val="0014729F"/>
    <w:rsid w:val="00157BAB"/>
    <w:rsid w:val="001654D1"/>
    <w:rsid w:val="001662B0"/>
    <w:rsid w:val="00174518"/>
    <w:rsid w:val="0018106D"/>
    <w:rsid w:val="001877A7"/>
    <w:rsid w:val="00191536"/>
    <w:rsid w:val="00196687"/>
    <w:rsid w:val="001A1DAD"/>
    <w:rsid w:val="001C0962"/>
    <w:rsid w:val="001C4FA6"/>
    <w:rsid w:val="001D1481"/>
    <w:rsid w:val="001D7531"/>
    <w:rsid w:val="001E737D"/>
    <w:rsid w:val="001F0592"/>
    <w:rsid w:val="001F7506"/>
    <w:rsid w:val="002006CD"/>
    <w:rsid w:val="00202B36"/>
    <w:rsid w:val="00204B7A"/>
    <w:rsid w:val="00204CDE"/>
    <w:rsid w:val="00206907"/>
    <w:rsid w:val="0021101A"/>
    <w:rsid w:val="00212B4A"/>
    <w:rsid w:val="00220536"/>
    <w:rsid w:val="00235629"/>
    <w:rsid w:val="00260C38"/>
    <w:rsid w:val="002616C0"/>
    <w:rsid w:val="00265372"/>
    <w:rsid w:val="002662AA"/>
    <w:rsid w:val="00280496"/>
    <w:rsid w:val="00294DC9"/>
    <w:rsid w:val="00295495"/>
    <w:rsid w:val="002A31DE"/>
    <w:rsid w:val="002A5DBC"/>
    <w:rsid w:val="002B2613"/>
    <w:rsid w:val="002C5004"/>
    <w:rsid w:val="002D6D05"/>
    <w:rsid w:val="002E2993"/>
    <w:rsid w:val="002F1818"/>
    <w:rsid w:val="002F567B"/>
    <w:rsid w:val="003216A9"/>
    <w:rsid w:val="00335A74"/>
    <w:rsid w:val="0035363E"/>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25C50"/>
    <w:rsid w:val="0043177C"/>
    <w:rsid w:val="00434489"/>
    <w:rsid w:val="00437085"/>
    <w:rsid w:val="00443880"/>
    <w:rsid w:val="004464F4"/>
    <w:rsid w:val="0046049C"/>
    <w:rsid w:val="00471401"/>
    <w:rsid w:val="00473F31"/>
    <w:rsid w:val="0048263A"/>
    <w:rsid w:val="00487E5D"/>
    <w:rsid w:val="00491AD3"/>
    <w:rsid w:val="004A711F"/>
    <w:rsid w:val="004B199D"/>
    <w:rsid w:val="004B4690"/>
    <w:rsid w:val="004C71EE"/>
    <w:rsid w:val="004E0A2D"/>
    <w:rsid w:val="004E206B"/>
    <w:rsid w:val="004E6DF7"/>
    <w:rsid w:val="004F0FBD"/>
    <w:rsid w:val="00505A47"/>
    <w:rsid w:val="00512FDA"/>
    <w:rsid w:val="00520DA0"/>
    <w:rsid w:val="005479E2"/>
    <w:rsid w:val="005533CF"/>
    <w:rsid w:val="00557A31"/>
    <w:rsid w:val="00564941"/>
    <w:rsid w:val="005664BB"/>
    <w:rsid w:val="00566FFA"/>
    <w:rsid w:val="0057481D"/>
    <w:rsid w:val="0058486E"/>
    <w:rsid w:val="00585B33"/>
    <w:rsid w:val="0059014D"/>
    <w:rsid w:val="005B5C64"/>
    <w:rsid w:val="005B6E8A"/>
    <w:rsid w:val="005C5337"/>
    <w:rsid w:val="005C6BD0"/>
    <w:rsid w:val="005D1C8B"/>
    <w:rsid w:val="005D2140"/>
    <w:rsid w:val="005D468D"/>
    <w:rsid w:val="005D5CED"/>
    <w:rsid w:val="005F10BC"/>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55FC5"/>
    <w:rsid w:val="0066343B"/>
    <w:rsid w:val="00664777"/>
    <w:rsid w:val="006748A4"/>
    <w:rsid w:val="00681A31"/>
    <w:rsid w:val="00682ACD"/>
    <w:rsid w:val="00683E73"/>
    <w:rsid w:val="006A3141"/>
    <w:rsid w:val="006A5E34"/>
    <w:rsid w:val="006B2422"/>
    <w:rsid w:val="006B2B9A"/>
    <w:rsid w:val="006C1937"/>
    <w:rsid w:val="006E7334"/>
    <w:rsid w:val="006F020C"/>
    <w:rsid w:val="0071021A"/>
    <w:rsid w:val="007127B7"/>
    <w:rsid w:val="0071798E"/>
    <w:rsid w:val="00737F49"/>
    <w:rsid w:val="007416B6"/>
    <w:rsid w:val="00746F48"/>
    <w:rsid w:val="0075404D"/>
    <w:rsid w:val="0076182A"/>
    <w:rsid w:val="00767B7E"/>
    <w:rsid w:val="007770C3"/>
    <w:rsid w:val="00784D24"/>
    <w:rsid w:val="00785FBA"/>
    <w:rsid w:val="00786E4A"/>
    <w:rsid w:val="007875EB"/>
    <w:rsid w:val="0079144A"/>
    <w:rsid w:val="0079426B"/>
    <w:rsid w:val="007D1682"/>
    <w:rsid w:val="007D312A"/>
    <w:rsid w:val="007D3F19"/>
    <w:rsid w:val="007E23B0"/>
    <w:rsid w:val="007E23E5"/>
    <w:rsid w:val="007F1991"/>
    <w:rsid w:val="007F2C2F"/>
    <w:rsid w:val="007F55FC"/>
    <w:rsid w:val="007F5665"/>
    <w:rsid w:val="00800112"/>
    <w:rsid w:val="00813102"/>
    <w:rsid w:val="00813348"/>
    <w:rsid w:val="008253BB"/>
    <w:rsid w:val="0083706E"/>
    <w:rsid w:val="008408F6"/>
    <w:rsid w:val="008423A5"/>
    <w:rsid w:val="00850625"/>
    <w:rsid w:val="00853718"/>
    <w:rsid w:val="00855221"/>
    <w:rsid w:val="00860645"/>
    <w:rsid w:val="00871F71"/>
    <w:rsid w:val="00872FD8"/>
    <w:rsid w:val="008845DD"/>
    <w:rsid w:val="00885AF4"/>
    <w:rsid w:val="008939CD"/>
    <w:rsid w:val="008B10BE"/>
    <w:rsid w:val="008B768C"/>
    <w:rsid w:val="008C0C07"/>
    <w:rsid w:val="008C4DB1"/>
    <w:rsid w:val="008C4EAF"/>
    <w:rsid w:val="008C5176"/>
    <w:rsid w:val="008C7FD0"/>
    <w:rsid w:val="008C7FD8"/>
    <w:rsid w:val="008E1DE7"/>
    <w:rsid w:val="008E707C"/>
    <w:rsid w:val="00900B08"/>
    <w:rsid w:val="009013B6"/>
    <w:rsid w:val="00902155"/>
    <w:rsid w:val="00902FA3"/>
    <w:rsid w:val="00923564"/>
    <w:rsid w:val="0092392E"/>
    <w:rsid w:val="009315F9"/>
    <w:rsid w:val="00933499"/>
    <w:rsid w:val="00935C98"/>
    <w:rsid w:val="00946945"/>
    <w:rsid w:val="00951248"/>
    <w:rsid w:val="0095152F"/>
    <w:rsid w:val="00954C49"/>
    <w:rsid w:val="00955E37"/>
    <w:rsid w:val="009631B2"/>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4E0C"/>
    <w:rsid w:val="00AB64C9"/>
    <w:rsid w:val="00AC3C6A"/>
    <w:rsid w:val="00AD2D42"/>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46131"/>
    <w:rsid w:val="00B53C56"/>
    <w:rsid w:val="00B57DAF"/>
    <w:rsid w:val="00B77EA6"/>
    <w:rsid w:val="00B81598"/>
    <w:rsid w:val="00B841F1"/>
    <w:rsid w:val="00B944D6"/>
    <w:rsid w:val="00BB4DF0"/>
    <w:rsid w:val="00BC289F"/>
    <w:rsid w:val="00BC2D50"/>
    <w:rsid w:val="00BC5361"/>
    <w:rsid w:val="00BC5460"/>
    <w:rsid w:val="00BC6B50"/>
    <w:rsid w:val="00BD0E25"/>
    <w:rsid w:val="00BD3C84"/>
    <w:rsid w:val="00BF5BD6"/>
    <w:rsid w:val="00C03E31"/>
    <w:rsid w:val="00C11C9E"/>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33DE"/>
    <w:rsid w:val="00CC666F"/>
    <w:rsid w:val="00CD1E3F"/>
    <w:rsid w:val="00CD55DE"/>
    <w:rsid w:val="00CE44F6"/>
    <w:rsid w:val="00CE49DA"/>
    <w:rsid w:val="00CE7B61"/>
    <w:rsid w:val="00D00095"/>
    <w:rsid w:val="00D114F0"/>
    <w:rsid w:val="00D20620"/>
    <w:rsid w:val="00D254F7"/>
    <w:rsid w:val="00D26091"/>
    <w:rsid w:val="00D2685C"/>
    <w:rsid w:val="00D31E6F"/>
    <w:rsid w:val="00D34E7C"/>
    <w:rsid w:val="00D35489"/>
    <w:rsid w:val="00D36AFE"/>
    <w:rsid w:val="00D51276"/>
    <w:rsid w:val="00D7035F"/>
    <w:rsid w:val="00D96184"/>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47654"/>
    <w:rsid w:val="00E50624"/>
    <w:rsid w:val="00E568DF"/>
    <w:rsid w:val="00E64269"/>
    <w:rsid w:val="00E82267"/>
    <w:rsid w:val="00E853CE"/>
    <w:rsid w:val="00E867B6"/>
    <w:rsid w:val="00EA010F"/>
    <w:rsid w:val="00EA568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27601"/>
    <w:rsid w:val="00F36D8F"/>
    <w:rsid w:val="00F417B1"/>
    <w:rsid w:val="00F45853"/>
    <w:rsid w:val="00F602DF"/>
    <w:rsid w:val="00F7549D"/>
    <w:rsid w:val="00F754A1"/>
    <w:rsid w:val="00F81FD9"/>
    <w:rsid w:val="00F841AA"/>
    <w:rsid w:val="00F84A94"/>
    <w:rsid w:val="00F87E96"/>
    <w:rsid w:val="00FA23E8"/>
    <w:rsid w:val="00FD3CC1"/>
    <w:rsid w:val="00FF1E02"/>
    <w:rsid w:val="00FF30B4"/>
    <w:rsid w:val="03DC2831"/>
    <w:rsid w:val="041F0751"/>
    <w:rsid w:val="081B5E94"/>
    <w:rsid w:val="0A2032A3"/>
    <w:rsid w:val="0B8A37D8"/>
    <w:rsid w:val="0F5FFB2F"/>
    <w:rsid w:val="0FFFCF60"/>
    <w:rsid w:val="10C055FF"/>
    <w:rsid w:val="118107EC"/>
    <w:rsid w:val="11DD6519"/>
    <w:rsid w:val="16BB723D"/>
    <w:rsid w:val="18015F3F"/>
    <w:rsid w:val="1BE8440E"/>
    <w:rsid w:val="1D155CEE"/>
    <w:rsid w:val="1FDBBF84"/>
    <w:rsid w:val="20F57F95"/>
    <w:rsid w:val="240371BF"/>
    <w:rsid w:val="25711CC6"/>
    <w:rsid w:val="25C741E6"/>
    <w:rsid w:val="25F24205"/>
    <w:rsid w:val="276F80C0"/>
    <w:rsid w:val="27842671"/>
    <w:rsid w:val="29FD04D3"/>
    <w:rsid w:val="2ABE7A3E"/>
    <w:rsid w:val="2AFF09B6"/>
    <w:rsid w:val="2CA234A8"/>
    <w:rsid w:val="2EFA178C"/>
    <w:rsid w:val="2EFB1525"/>
    <w:rsid w:val="2EFDF86C"/>
    <w:rsid w:val="2F9D17E1"/>
    <w:rsid w:val="30305BFB"/>
    <w:rsid w:val="30B46D73"/>
    <w:rsid w:val="319F7F4E"/>
    <w:rsid w:val="356A28F1"/>
    <w:rsid w:val="357C035A"/>
    <w:rsid w:val="368E000D"/>
    <w:rsid w:val="383D272C"/>
    <w:rsid w:val="39AE70AB"/>
    <w:rsid w:val="3A4DCE41"/>
    <w:rsid w:val="3BCB56FA"/>
    <w:rsid w:val="3BDB5551"/>
    <w:rsid w:val="3BF95FE2"/>
    <w:rsid w:val="3C0C0783"/>
    <w:rsid w:val="3DE7294E"/>
    <w:rsid w:val="3EBED1E8"/>
    <w:rsid w:val="3EE7C2F4"/>
    <w:rsid w:val="3F371B56"/>
    <w:rsid w:val="3F3E2BAD"/>
    <w:rsid w:val="3F7644AC"/>
    <w:rsid w:val="3F792ED8"/>
    <w:rsid w:val="3F9F3A96"/>
    <w:rsid w:val="3FECA4B2"/>
    <w:rsid w:val="3FF58C48"/>
    <w:rsid w:val="42FF6694"/>
    <w:rsid w:val="48BF60AB"/>
    <w:rsid w:val="493C27E9"/>
    <w:rsid w:val="496F39ED"/>
    <w:rsid w:val="49FF41D3"/>
    <w:rsid w:val="4B675B20"/>
    <w:rsid w:val="4BAFD9A4"/>
    <w:rsid w:val="4BDE2BD8"/>
    <w:rsid w:val="4BE068DB"/>
    <w:rsid w:val="4BF6002B"/>
    <w:rsid w:val="4BFFC6BE"/>
    <w:rsid w:val="4C0B3C46"/>
    <w:rsid w:val="4ECE2238"/>
    <w:rsid w:val="51DB4B86"/>
    <w:rsid w:val="51F64DB0"/>
    <w:rsid w:val="55333C3E"/>
    <w:rsid w:val="57FCFBCD"/>
    <w:rsid w:val="57FE41D2"/>
    <w:rsid w:val="5DFFAC5E"/>
    <w:rsid w:val="5ECF0BD0"/>
    <w:rsid w:val="5F63F9F8"/>
    <w:rsid w:val="5F67802D"/>
    <w:rsid w:val="5F7DC4F2"/>
    <w:rsid w:val="5F7DE952"/>
    <w:rsid w:val="5FB36814"/>
    <w:rsid w:val="5FBB8E56"/>
    <w:rsid w:val="5FFB5535"/>
    <w:rsid w:val="5FFF0A40"/>
    <w:rsid w:val="63AF820C"/>
    <w:rsid w:val="64CA39A1"/>
    <w:rsid w:val="676E6137"/>
    <w:rsid w:val="67FAC457"/>
    <w:rsid w:val="69630ADE"/>
    <w:rsid w:val="69BD5F13"/>
    <w:rsid w:val="69FB0B4B"/>
    <w:rsid w:val="6BFFE1FB"/>
    <w:rsid w:val="6C4A05C8"/>
    <w:rsid w:val="6D3B1A89"/>
    <w:rsid w:val="6DB7D8A3"/>
    <w:rsid w:val="6EC78701"/>
    <w:rsid w:val="6F7A5481"/>
    <w:rsid w:val="6FC16B1C"/>
    <w:rsid w:val="6FE58251"/>
    <w:rsid w:val="6FFE07A9"/>
    <w:rsid w:val="71BF4EC2"/>
    <w:rsid w:val="72734D90"/>
    <w:rsid w:val="73E75B71"/>
    <w:rsid w:val="73F5FD93"/>
    <w:rsid w:val="7412278C"/>
    <w:rsid w:val="74DE527E"/>
    <w:rsid w:val="74FE3BB9"/>
    <w:rsid w:val="75DDCDA9"/>
    <w:rsid w:val="75FF44B1"/>
    <w:rsid w:val="76DDAD36"/>
    <w:rsid w:val="77670518"/>
    <w:rsid w:val="777FA627"/>
    <w:rsid w:val="77CF56C9"/>
    <w:rsid w:val="77DF1B5F"/>
    <w:rsid w:val="77EF2D9D"/>
    <w:rsid w:val="79E7B28D"/>
    <w:rsid w:val="79F5A536"/>
    <w:rsid w:val="7ACFF0C2"/>
    <w:rsid w:val="7AFB9108"/>
    <w:rsid w:val="7BD5340C"/>
    <w:rsid w:val="7BFB19D2"/>
    <w:rsid w:val="7BFD1750"/>
    <w:rsid w:val="7BFDAA1B"/>
    <w:rsid w:val="7CDF9A82"/>
    <w:rsid w:val="7CFE8B34"/>
    <w:rsid w:val="7CFFA1BD"/>
    <w:rsid w:val="7D2E3F7A"/>
    <w:rsid w:val="7D987437"/>
    <w:rsid w:val="7DED9490"/>
    <w:rsid w:val="7DFF09F7"/>
    <w:rsid w:val="7DFF4872"/>
    <w:rsid w:val="7E7487E6"/>
    <w:rsid w:val="7E7C2A54"/>
    <w:rsid w:val="7E82B04E"/>
    <w:rsid w:val="7EEEFD72"/>
    <w:rsid w:val="7EF65979"/>
    <w:rsid w:val="7EFF5CC4"/>
    <w:rsid w:val="7F1D517C"/>
    <w:rsid w:val="7F5DA057"/>
    <w:rsid w:val="7F6C2237"/>
    <w:rsid w:val="7F7F319B"/>
    <w:rsid w:val="7F9F20EE"/>
    <w:rsid w:val="7FA187EF"/>
    <w:rsid w:val="7FBBE890"/>
    <w:rsid w:val="7FBC2ABD"/>
    <w:rsid w:val="7FBF5D48"/>
    <w:rsid w:val="7FCCFC01"/>
    <w:rsid w:val="7FD3C374"/>
    <w:rsid w:val="7FDD1748"/>
    <w:rsid w:val="7FE769C6"/>
    <w:rsid w:val="7FFD083E"/>
    <w:rsid w:val="7FFE3315"/>
    <w:rsid w:val="7FFF9372"/>
    <w:rsid w:val="84BF1F3B"/>
    <w:rsid w:val="8F55B106"/>
    <w:rsid w:val="959FCC4A"/>
    <w:rsid w:val="95DF317D"/>
    <w:rsid w:val="97E77C70"/>
    <w:rsid w:val="9E3A10E2"/>
    <w:rsid w:val="9FB91FBD"/>
    <w:rsid w:val="9FD54998"/>
    <w:rsid w:val="A3FE58D6"/>
    <w:rsid w:val="A5FF33F4"/>
    <w:rsid w:val="A671883B"/>
    <w:rsid w:val="A7B4FA99"/>
    <w:rsid w:val="A7CE9EEA"/>
    <w:rsid w:val="A7EFD17F"/>
    <w:rsid w:val="A7FFE43F"/>
    <w:rsid w:val="A96F8E89"/>
    <w:rsid w:val="B1EDFD9B"/>
    <w:rsid w:val="B3FF767F"/>
    <w:rsid w:val="B7DD6E40"/>
    <w:rsid w:val="B7EFDAAD"/>
    <w:rsid w:val="BB3F10C9"/>
    <w:rsid w:val="BBE7E3BB"/>
    <w:rsid w:val="BDFEA317"/>
    <w:rsid w:val="BECABD06"/>
    <w:rsid w:val="BFAF94D0"/>
    <w:rsid w:val="BFFD4BA1"/>
    <w:rsid w:val="CD9BBABB"/>
    <w:rsid w:val="CF99F292"/>
    <w:rsid w:val="D5DA60B3"/>
    <w:rsid w:val="D7C6F579"/>
    <w:rsid w:val="D8FECA92"/>
    <w:rsid w:val="DAFFBE66"/>
    <w:rsid w:val="DB9F9DA5"/>
    <w:rsid w:val="DC0FE661"/>
    <w:rsid w:val="DD2C0BFE"/>
    <w:rsid w:val="DE3F332B"/>
    <w:rsid w:val="DE6F4A3D"/>
    <w:rsid w:val="DEBC321E"/>
    <w:rsid w:val="DEFF8F42"/>
    <w:rsid w:val="DF69F8B0"/>
    <w:rsid w:val="DF7FE3BC"/>
    <w:rsid w:val="DFC71555"/>
    <w:rsid w:val="DFF754A4"/>
    <w:rsid w:val="DFFC559C"/>
    <w:rsid w:val="DFFEDFAE"/>
    <w:rsid w:val="DFFFB5EB"/>
    <w:rsid w:val="E4B33E57"/>
    <w:rsid w:val="E5BF946A"/>
    <w:rsid w:val="E7BFC4BD"/>
    <w:rsid w:val="E7EB42AE"/>
    <w:rsid w:val="E9FB12FE"/>
    <w:rsid w:val="EA3FF1CC"/>
    <w:rsid w:val="EB39BD45"/>
    <w:rsid w:val="EBCF1FC2"/>
    <w:rsid w:val="EBD18F66"/>
    <w:rsid w:val="ED17392C"/>
    <w:rsid w:val="ED98AF84"/>
    <w:rsid w:val="ED9FFD9A"/>
    <w:rsid w:val="EDB7968B"/>
    <w:rsid w:val="EE7F42B6"/>
    <w:rsid w:val="EEF27B83"/>
    <w:rsid w:val="EEF73F60"/>
    <w:rsid w:val="EEFFBAA3"/>
    <w:rsid w:val="EFD5C8E8"/>
    <w:rsid w:val="EFED9E42"/>
    <w:rsid w:val="EFFD1E4A"/>
    <w:rsid w:val="EFFFB194"/>
    <w:rsid w:val="F2D7A4C3"/>
    <w:rsid w:val="F2E1F9D4"/>
    <w:rsid w:val="F3EE1E0A"/>
    <w:rsid w:val="F5FF7449"/>
    <w:rsid w:val="F7880819"/>
    <w:rsid w:val="F7AEE4F8"/>
    <w:rsid w:val="F7AF180D"/>
    <w:rsid w:val="F7BDBFA7"/>
    <w:rsid w:val="F7BF2CEB"/>
    <w:rsid w:val="F7F78B49"/>
    <w:rsid w:val="F7F79DE0"/>
    <w:rsid w:val="F7FAD68F"/>
    <w:rsid w:val="F7FB14CF"/>
    <w:rsid w:val="F9B9AF6D"/>
    <w:rsid w:val="FAF5069D"/>
    <w:rsid w:val="FB3FC69C"/>
    <w:rsid w:val="FB5E8F96"/>
    <w:rsid w:val="FBBF1850"/>
    <w:rsid w:val="FBDFF225"/>
    <w:rsid w:val="FBEF6B65"/>
    <w:rsid w:val="FBF7AB63"/>
    <w:rsid w:val="FBFB08B8"/>
    <w:rsid w:val="FC2F3373"/>
    <w:rsid w:val="FCF51535"/>
    <w:rsid w:val="FD77F6B8"/>
    <w:rsid w:val="FDD69328"/>
    <w:rsid w:val="FDDFEC0E"/>
    <w:rsid w:val="FDE58BDD"/>
    <w:rsid w:val="FDEC7001"/>
    <w:rsid w:val="FDF5B537"/>
    <w:rsid w:val="FE9A6364"/>
    <w:rsid w:val="FEAFB5C9"/>
    <w:rsid w:val="FEDFE87F"/>
    <w:rsid w:val="FEF1D25B"/>
    <w:rsid w:val="FEFD4552"/>
    <w:rsid w:val="FEFDD2CE"/>
    <w:rsid w:val="FF0F3088"/>
    <w:rsid w:val="FF3EF90F"/>
    <w:rsid w:val="FFAF6081"/>
    <w:rsid w:val="FFD631C0"/>
    <w:rsid w:val="FFE39E78"/>
    <w:rsid w:val="FFE77D8F"/>
    <w:rsid w:val="FFECCD8C"/>
    <w:rsid w:val="FFED60BD"/>
    <w:rsid w:val="FFEE08F0"/>
    <w:rsid w:val="FFEE7F9F"/>
    <w:rsid w:val="FFFF319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qFormat/>
    <w:uiPriority w:val="0"/>
    <w:pPr>
      <w:spacing w:after="120"/>
      <w:ind w:left="200" w:leftChars="200"/>
    </w:pPr>
    <w:rPr>
      <w:rFonts w:ascii="仿宋_GB2312"/>
      <w:szCs w:val="32"/>
    </w:rPr>
  </w:style>
  <w:style w:type="paragraph" w:styleId="7">
    <w:name w:val="toc 3"/>
    <w:basedOn w:val="1"/>
    <w:next w:val="1"/>
    <w:unhideWhenUsed/>
    <w:qFormat/>
    <w:uiPriority w:val="39"/>
    <w:pPr>
      <w:tabs>
        <w:tab w:val="right" w:leader="dot" w:pos="8296"/>
      </w:tabs>
      <w:ind w:left="840" w:leftChars="400"/>
    </w:pPr>
  </w:style>
  <w:style w:type="paragraph" w:styleId="8">
    <w:name w:val="Balloon Text"/>
    <w:basedOn w:val="1"/>
    <w:link w:val="31"/>
    <w:semiHidden/>
    <w:unhideWhenUsed/>
    <w:qFormat/>
    <w:uiPriority w:val="99"/>
    <w:rPr>
      <w:sz w:val="18"/>
      <w:szCs w:val="18"/>
    </w:rPr>
  </w:style>
  <w:style w:type="paragraph" w:styleId="9">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0">
    <w:name w:val="header"/>
    <w:basedOn w:val="1"/>
    <w:link w:val="21"/>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1">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2">
    <w:name w:val="footnote text"/>
    <w:basedOn w:val="1"/>
    <w:next w:val="13"/>
    <w:link w:val="35"/>
    <w:semiHidden/>
    <w:qFormat/>
    <w:uiPriority w:val="0"/>
    <w:pPr>
      <w:snapToGrid w:val="0"/>
      <w:jc w:val="left"/>
    </w:pPr>
    <w:rPr>
      <w:sz w:val="18"/>
      <w:szCs w:val="18"/>
    </w:rPr>
  </w:style>
  <w:style w:type="paragraph" w:styleId="13">
    <w:name w:val="Body Text First Indent 2"/>
    <w:basedOn w:val="6"/>
    <w:unhideWhenUsed/>
    <w:qFormat/>
    <w:uiPriority w:val="99"/>
    <w:pPr>
      <w:ind w:firstLine="420" w:firstLineChars="200"/>
    </w:p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字符"/>
    <w:link w:val="10"/>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字符"/>
    <w:link w:val="9"/>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字符"/>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spacing w:after="160" w:line="278" w:lineRule="auto"/>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字符"/>
    <w:basedOn w:val="16"/>
    <w:link w:val="3"/>
    <w:qFormat/>
    <w:uiPriority w:val="9"/>
    <w:rPr>
      <w:rFonts w:ascii="Times New Roman" w:hAnsi="Times New Roman"/>
      <w:b/>
      <w:bCs/>
      <w:kern w:val="44"/>
      <w:sz w:val="44"/>
      <w:szCs w:val="44"/>
    </w:rPr>
  </w:style>
  <w:style w:type="character" w:customStyle="1" w:styleId="29">
    <w:name w:val="标题 2 字符"/>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6"/>
    <w:link w:val="8"/>
    <w:semiHidden/>
    <w:qFormat/>
    <w:uiPriority w:val="99"/>
    <w:rPr>
      <w:rFonts w:ascii="Times New Roman" w:hAnsi="Times New Roman"/>
      <w:kern w:val="2"/>
      <w:sz w:val="18"/>
      <w:szCs w:val="18"/>
    </w:rPr>
  </w:style>
  <w:style w:type="character" w:customStyle="1" w:styleId="32">
    <w:name w:val="标题 3 字符"/>
    <w:basedOn w:val="16"/>
    <w:link w:val="5"/>
    <w:qFormat/>
    <w:uiPriority w:val="9"/>
    <w:rPr>
      <w:rFonts w:ascii="Times New Roman" w:hAnsi="Times New Roman"/>
      <w:b/>
      <w:bCs/>
      <w:kern w:val="2"/>
      <w:sz w:val="32"/>
      <w:szCs w:val="32"/>
    </w:rPr>
  </w:style>
  <w:style w:type="paragraph" w:customStyle="1" w:styleId="33">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uppressAutoHyphens/>
      <w:spacing w:line="360" w:lineRule="auto"/>
    </w:pPr>
    <w:rPr>
      <w:rFonts w:ascii="??" w:hAnsi="??"/>
      <w:color w:val="000000"/>
      <w:kern w:val="0"/>
      <w:sz w:val="28"/>
      <w:szCs w:val="21"/>
      <w:lang w:val="zh-CN"/>
    </w:rPr>
  </w:style>
  <w:style w:type="character" w:customStyle="1" w:styleId="35">
    <w:name w:val="脚注文本 字符"/>
    <w:basedOn w:val="16"/>
    <w:link w:val="12"/>
    <w:semiHidden/>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chart" Target="charts/chart7.xml"/><Relationship Id="rId20" Type="http://schemas.openxmlformats.org/officeDocument/2006/relationships/chart" Target="charts/chart6.xml"/><Relationship Id="rId2" Type="http://schemas.openxmlformats.org/officeDocument/2006/relationships/settings" Target="settings.xml"/><Relationship Id="rId19" Type="http://schemas.openxmlformats.org/officeDocument/2006/relationships/chart" Target="charts/chart5.xml"/><Relationship Id="rId18" Type="http://schemas.openxmlformats.org/officeDocument/2006/relationships/chart" Target="charts/chart4.xml"/><Relationship Id="rId17" Type="http://schemas.openxmlformats.org/officeDocument/2006/relationships/chart" Target="charts/chart3.xml"/><Relationship Id="rId16" Type="http://schemas.openxmlformats.org/officeDocument/2006/relationships/chart" Target="charts/chart2.xml"/><Relationship Id="rId15" Type="http://schemas.openxmlformats.org/officeDocument/2006/relationships/chart" Target="charts/chart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media/user/d121a682-c441-4635-a409-18dbc9717ea9/&#20250;&#35745;/2026&#24180;/2025&#24180;&#20915;&#31639;&#20844;&#24320;/2025&#24180;&#20915;&#31639;&#20844;&#24320;/&#20915;&#31639;&#22270;&#3492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media/user/d121a682-c441-4635-a409-18dbc9717ea9/&#20250;&#35745;/2026&#24180;/2025&#24180;&#20915;&#31639;&#20844;&#24320;/2025&#24180;&#20915;&#31639;&#20844;&#24320;/&#20915;&#31639;&#22270;&#349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edia/user/d121a682-c441-4635-a409-18dbc9717ea9/&#20250;&#35745;/2026&#24180;/2025&#24180;&#20915;&#31639;&#20844;&#24320;/2025&#24180;&#20915;&#31639;&#20844;&#24320;/&#20915;&#31639;&#22270;&#34920;.xls"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media/user/d121a682-c441-4635-a409-18dbc9717ea9/&#20250;&#35745;/2026&#24180;/2025&#24180;&#20915;&#31639;&#20844;&#24320;/2025&#24180;&#20915;&#31639;&#20844;&#24320;/&#20915;&#31639;&#22270;&#3492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edia/user/d121a682-c441-4635-a409-18dbc9717ea9/&#20250;&#35745;/2026&#24180;/2025&#24180;&#20915;&#31639;&#20844;&#24320;/2025&#24180;&#20915;&#31639;&#20844;&#24320;/&#20915;&#31639;&#22270;&#34920;.xls"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media/user/d121a682-c441-4635-a409-18dbc9717ea9/&#20250;&#35745;/2026&#24180;/2025&#24180;&#20915;&#31639;&#20844;&#24320;/2025&#24180;&#20915;&#31639;&#20844;&#24320;/&#20915;&#31639;&#22270;&#34920;.xls"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media/user/d121a682-c441-4635-a409-18dbc9717ea9/&#20250;&#35745;/2026&#24180;/2025&#24180;&#20915;&#31639;&#20844;&#24320;/2025&#24180;&#20915;&#31639;&#20844;&#24320;/&#20915;&#31639;&#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000" b="1">
                <a:latin typeface="+mj-ea"/>
                <a:ea typeface="+mj-ea"/>
              </a:rPr>
              <a:t>收、支决算总计变动情况图</a:t>
            </a:r>
            <a:endParaRPr sz="1000" b="1">
              <a:latin typeface="+mj-ea"/>
              <a:ea typeface="+mj-ea"/>
            </a:endParaRPr>
          </a:p>
        </c:rich>
      </c:tx>
      <c:layout/>
      <c:overlay val="0"/>
      <c:spPr>
        <a:noFill/>
        <a:ln>
          <a:noFill/>
        </a:ln>
        <a:effectLst/>
      </c:spPr>
    </c:title>
    <c:autoTitleDeleted val="0"/>
    <c:plotArea>
      <c:layout>
        <c:manualLayout>
          <c:layoutTarget val="inner"/>
          <c:xMode val="edge"/>
          <c:yMode val="edge"/>
          <c:x val="0.0827222222222222"/>
          <c:y val="0.2375"/>
          <c:w val="0.884638888888889"/>
          <c:h val="0.629490740740741"/>
        </c:manualLayout>
      </c:layout>
      <c:barChart>
        <c:barDir val="col"/>
        <c:grouping val="clustered"/>
        <c:varyColors val="0"/>
        <c:ser>
          <c:idx val="0"/>
          <c:order val="0"/>
          <c:tx>
            <c:strRef>
              <c:f>[决算图表.xls]收支决算总计变动情况表!$A$2</c:f>
              <c:strCache>
                <c:ptCount val="1"/>
                <c:pt idx="0">
                  <c:v>2024</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[决算图表.xls]收支决算总计变动情况表!$B$1:$C$1</c:f>
              <c:strCache>
                <c:ptCount val="2"/>
                <c:pt idx="0">
                  <c:v>收入</c:v>
                </c:pt>
                <c:pt idx="1">
                  <c:v>支出</c:v>
                </c:pt>
              </c:strCache>
            </c:strRef>
          </c:cat>
          <c:val>
            <c:numRef>
              <c:f>[决算图表.xls]收支决算总计变动情况表!$B$2:$C$2</c:f>
              <c:numCache>
                <c:formatCode>General</c:formatCode>
                <c:ptCount val="2"/>
                <c:pt idx="0">
                  <c:v>379.76</c:v>
                </c:pt>
                <c:pt idx="1">
                  <c:v>379.76</c:v>
                </c:pt>
              </c:numCache>
            </c:numRef>
          </c:val>
        </c:ser>
        <c:ser>
          <c:idx val="1"/>
          <c:order val="1"/>
          <c:tx>
            <c:strRef>
              <c:f>[决算图表.xls]收支决算总计变动情况表!$A$3</c:f>
              <c:strCache>
                <c:ptCount val="1"/>
                <c:pt idx="0">
                  <c:v>2025</c:v>
                </c:pt>
              </c:strCache>
            </c:strRef>
          </c:tx>
          <c:spPr>
            <a:solidFill>
              <a:schemeClr val="accent2"/>
            </a:solidFill>
            <a:ln>
              <a:noFill/>
            </a:ln>
            <a:effectLst/>
          </c:spPr>
          <c:invertIfNegative val="0"/>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354.4</a:t>
                    </a:r>
                    <a:r>
                      <a:rPr lang="en-US" altLang="zh-CN"/>
                      <a:t>1</a:t>
                    </a:r>
                    <a:endParaRPr lang="en-US" altLang="zh-CN"/>
                  </a:p>
                </c:rich>
              </c:tx>
              <c:dLblPos val="outEnd"/>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354.4</a:t>
                    </a:r>
                    <a:r>
                      <a:rPr lang="en-US" altLang="zh-CN"/>
                      <a:t>1</a:t>
                    </a:r>
                    <a:endParaRPr lang="en-US" altLang="zh-CN"/>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[决算图表.xls]收支决算总计变动情况表!$B$1:$C$1</c:f>
              <c:strCache>
                <c:ptCount val="2"/>
                <c:pt idx="0">
                  <c:v>收入</c:v>
                </c:pt>
                <c:pt idx="1">
                  <c:v>支出</c:v>
                </c:pt>
              </c:strCache>
            </c:strRef>
          </c:cat>
          <c:val>
            <c:numRef>
              <c:f>[决算图表.xls]收支决算总计变动情况表!$B$3:$C$3</c:f>
              <c:numCache>
                <c:formatCode>General</c:formatCode>
                <c:ptCount val="2"/>
                <c:pt idx="0">
                  <c:v>354.42</c:v>
                </c:pt>
                <c:pt idx="1">
                  <c:v>354.42</c:v>
                </c:pt>
              </c:numCache>
            </c:numRef>
          </c:val>
        </c:ser>
        <c:dLbls>
          <c:showLegendKey val="0"/>
          <c:showVal val="1"/>
          <c:showCatName val="0"/>
          <c:showSerName val="0"/>
          <c:showPercent val="0"/>
          <c:showBubbleSize val="0"/>
        </c:dLbls>
        <c:gapWidth val="219"/>
        <c:overlap val="-27"/>
        <c:axId val="512928879"/>
        <c:axId val="277748900"/>
      </c:barChart>
      <c:catAx>
        <c:axId val="51292887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7748900"/>
        <c:crosses val="autoZero"/>
        <c:auto val="1"/>
        <c:lblAlgn val="ctr"/>
        <c:lblOffset val="100"/>
        <c:noMultiLvlLbl val="0"/>
      </c:catAx>
      <c:valAx>
        <c:axId val="2777489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12928879"/>
        <c:crosses val="autoZero"/>
        <c:crossBetween val="between"/>
      </c:valAx>
      <c:spPr>
        <a:noFill/>
        <a:ln>
          <a:noFill/>
        </a:ln>
        <a:effectLst/>
      </c:spPr>
    </c:plotArea>
    <c:legend>
      <c:legendPos val="b"/>
      <c:layout>
        <c:manualLayout>
          <c:xMode val="edge"/>
          <c:yMode val="edge"/>
          <c:x val="0.384791666666667"/>
          <c:y val="0.106944444444444"/>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b009c46-ebd7-44f3-96f2-aeffa0fff18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000" b="1">
                <a:latin typeface="+mn-ea"/>
                <a:ea typeface="+mn-ea"/>
              </a:rPr>
              <a:t>收入决算结构图</a:t>
            </a:r>
            <a:endParaRPr sz="1000" b="1">
              <a:latin typeface="+mn-ea"/>
              <a:ea typeface="+mn-ea"/>
            </a:endParaRP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354.4</a:t>
                    </a:r>
                    <a:r>
                      <a:rPr lang="en-US" altLang="zh-CN"/>
                      <a:t>1</a:t>
                    </a:r>
                    <a:r>
                      <a:t>, 100%</a:t>
                    </a:r>
                  </a:p>
                </c:rich>
              </c:tx>
              <c:dLblPos val="outEnd"/>
              <c:showLegendKey val="1"/>
              <c:showVal val="1"/>
              <c:showCatName val="0"/>
              <c:showSerName val="0"/>
              <c:showPercent val="1"/>
              <c:showBubbleSize val="0"/>
              <c:extLst>
                <c:ext xmlns:c15="http://schemas.microsoft.com/office/drawing/2012/chart" uri="{CE6537A1-D6FC-4f65-9D91-7224C49458BB}"/>
              </c:extLst>
            </c:dLbl>
            <c:dLbl>
              <c:idx val="2"/>
              <c:layout>
                <c:manualLayout>
                  <c:x val="-0.133333333333333"/>
                  <c:y val="0.0277777777777778"/>
                </c:manualLayout>
              </c:layout>
              <c:dLblPos val="bestFit"/>
              <c:showLegendKey val="1"/>
              <c:showVal val="1"/>
              <c:showCatName val="0"/>
              <c:showSerName val="0"/>
              <c:showPercent val="1"/>
              <c:showBubbleSize val="0"/>
              <c:extLst>
                <c:ext xmlns:c15="http://schemas.microsoft.com/office/drawing/2012/chart" uri="{CE6537A1-D6FC-4f65-9D91-7224C49458BB}">
                  <c15:layout/>
                </c:ext>
              </c:extLst>
            </c:dLbl>
            <c:dLbl>
              <c:idx val="3"/>
              <c:layout>
                <c:manualLayout>
                  <c:x val="0.122916666666667"/>
                  <c:y val="0.0173611111111111"/>
                </c:manualLayout>
              </c:layout>
              <c:dLblPos val="bestFit"/>
              <c:showLegendKey val="1"/>
              <c:showVal val="1"/>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1"/>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[决算图表.xls]收入决算结构图!$A$2:$A$5</c:f>
              <c:strCache>
                <c:ptCount val="4"/>
                <c:pt idx="0">
                  <c:v>一般公共预算财政拨款收入</c:v>
                </c:pt>
                <c:pt idx="1">
                  <c:v>政府性基金预算财政拨款收入</c:v>
                </c:pt>
                <c:pt idx="2">
                  <c:v>国有资本经营预算财政拨款收入</c:v>
                </c:pt>
                <c:pt idx="3">
                  <c:v>其他收入</c:v>
                </c:pt>
              </c:strCache>
            </c:strRef>
          </c:cat>
          <c:val>
            <c:numRef>
              <c:f>[决算图表.xls]收入决算结构图!$B$2:$B$5</c:f>
              <c:numCache>
                <c:formatCode>General</c:formatCode>
                <c:ptCount val="4"/>
                <c:pt idx="0">
                  <c:v>354.42</c:v>
                </c:pt>
                <c:pt idx="1">
                  <c:v>0</c:v>
                </c:pt>
                <c:pt idx="2">
                  <c:v>0</c:v>
                </c:pt>
                <c:pt idx="3">
                  <c:v>0</c:v>
                </c:pt>
              </c:numCache>
            </c:numRef>
          </c:val>
        </c:ser>
        <c:dLbls>
          <c:showLegendKey val="1"/>
          <c:showVal val="1"/>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03da48e-b9df-4bc7-9144-192e9d17002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0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r>
              <a:rPr lang="zh-CN" altLang="en-US" b="1" i="0" u="none" strike="noStrike" baseline="0">
                <a:solidFill>
                  <a:srgbClr val="000000"/>
                </a:solidFill>
                <a:latin typeface="+mn-ea"/>
                <a:ea typeface="+mn-ea"/>
                <a:cs typeface="Calibri" panose="020F0502020204030204" charset="-122"/>
              </a:rPr>
              <a:t>支出决算结构图</a:t>
            </a:r>
            <a:endParaRPr lang="zh-CN" altLang="en-US" b="1" i="0" u="none" strike="noStrike" baseline="0">
              <a:solidFill>
                <a:srgbClr val="000000"/>
              </a:solidFill>
              <a:latin typeface="+mn-ea"/>
              <a:ea typeface="+mn-ea"/>
              <a:cs typeface="Calibri" panose="020F0502020204030204" charset="-122"/>
            </a:endParaRPr>
          </a:p>
        </c:rich>
      </c:tx>
      <c:layout/>
      <c:overlay val="0"/>
    </c:title>
    <c:autoTitleDeleted val="0"/>
    <c:plotArea>
      <c:layout/>
      <c:pieChart>
        <c:varyColors val="1"/>
        <c:ser>
          <c:idx val="0"/>
          <c:order val="0"/>
          <c:spPr>
            <a:ln>
              <a:noFill/>
            </a:ln>
          </c:spPr>
          <c:explosion val="0"/>
          <c:dPt>
            <c:idx val="0"/>
            <c:bubble3D val="0"/>
            <c:explosion val="0"/>
            <c:spPr>
              <a:ln>
                <a:noFill/>
              </a:ln>
            </c:spPr>
          </c:dPt>
          <c:dPt>
            <c:idx val="1"/>
            <c:bubble3D val="0"/>
            <c:explosion val="0"/>
            <c:spPr>
              <a:ln>
                <a:noFill/>
              </a:ln>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solidFill>
                        <a:latin typeface="+mn-lt"/>
                        <a:ea typeface="+mn-ea"/>
                        <a:cs typeface="+mn-cs"/>
                      </a:defRPr>
                    </a:pPr>
                    <a:r>
                      <a:t>基本支出, 354.4</a:t>
                    </a:r>
                    <a:r>
                      <a:rPr lang="en-US" altLang="zh-CN"/>
                      <a:t>1</a:t>
                    </a:r>
                    <a:r>
                      <a:t>, 100.00%</a:t>
                    </a:r>
                  </a:p>
                </c:rich>
              </c:tx>
              <c:dLblPos val="bestFit"/>
              <c:showLegendKey val="0"/>
              <c:showVal val="1"/>
              <c:showCatName val="1"/>
              <c:showSerName val="0"/>
              <c:showPercent val="1"/>
              <c:showBubbleSize val="0"/>
              <c:extLst>
                <c:ext xmlns:c15="http://schemas.microsoft.com/office/drawing/2012/chart" uri="{CE6537A1-D6FC-4f65-9D91-7224C49458BB}"/>
              </c:extLst>
            </c:dLbl>
            <c:dLbl>
              <c:idx val="1"/>
              <c:layout>
                <c:manualLayout>
                  <c:x val="0.206221358144702"/>
                  <c:y val="0.125786163522013"/>
                </c:manualLayout>
              </c:layout>
              <c:dLblPos val="bestFit"/>
              <c:showLegendKey val="0"/>
              <c:showVal val="1"/>
              <c:showCatName val="1"/>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[决算图表.xls]支出决算结构图!$A$2:$A$3</c:f>
              <c:strCache>
                <c:ptCount val="2"/>
                <c:pt idx="0">
                  <c:v>基本支出</c:v>
                </c:pt>
                <c:pt idx="1">
                  <c:v>项目支出</c:v>
                </c:pt>
              </c:strCache>
            </c:strRef>
          </c:cat>
          <c:val>
            <c:numRef>
              <c:f>[决算图表.xls]支出决算结构图!$B$2:$B$3</c:f>
              <c:numCache>
                <c:formatCode>General</c:formatCode>
                <c:ptCount val="2"/>
                <c:pt idx="0">
                  <c:v>354.42</c:v>
                </c:pt>
                <c:pt idx="1">
                  <c:v>0</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extLst>
      <c:ext uri="{0b15fc19-7d7d-44ad-8c2d-2c3a37ce22c3}">
        <chartProps xmlns="https://web.wps.cn/et/2018/main" chartId="{7b5cfc5a-4609-4abe-923b-0c12a8358bb8}"/>
      </c:ext>
    </c:extLst>
  </c:chart>
  <c:txPr>
    <a:bodyPr wrap="square"/>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spc="0" baseline="0">
                <a:solidFill>
                  <a:schemeClr val="tx1"/>
                </a:solidFill>
                <a:latin typeface="+mn-lt"/>
                <a:ea typeface="+mn-ea"/>
                <a:cs typeface="+mn-cs"/>
              </a:defRPr>
            </a:pPr>
            <a:r>
              <a:rPr sz="1000">
                <a:solidFill>
                  <a:schemeClr val="tx1"/>
                </a:solidFill>
                <a:latin typeface="+mn-ea"/>
              </a:rPr>
              <a:t>财政拨款收、支决算总计变动情况</a:t>
            </a:r>
            <a:endParaRPr sz="1000">
              <a:solidFill>
                <a:schemeClr val="tx1"/>
              </a:solidFill>
              <a:latin typeface="+mn-ea"/>
            </a:endParaRPr>
          </a:p>
        </c:rich>
      </c:tx>
      <c:layout/>
      <c:overlay val="0"/>
      <c:spPr>
        <a:noFill/>
        <a:ln>
          <a:noFill/>
        </a:ln>
        <a:effectLst/>
      </c:spPr>
    </c:title>
    <c:autoTitleDeleted val="0"/>
    <c:plotArea>
      <c:layout>
        <c:manualLayout>
          <c:layoutTarget val="inner"/>
          <c:xMode val="edge"/>
          <c:yMode val="edge"/>
          <c:x val="0.0806388888888889"/>
          <c:y val="0.273611111111111"/>
          <c:w val="0.884638888888889"/>
          <c:h val="0.607268518518518"/>
        </c:manualLayout>
      </c:layout>
      <c:barChart>
        <c:barDir val="col"/>
        <c:grouping val="clustered"/>
        <c:varyColors val="0"/>
        <c:ser>
          <c:idx val="0"/>
          <c:order val="0"/>
          <c:tx>
            <c:strRef>
              <c:f>[决算图表.xls]财政拨款收支决算总计变动表!$A$2</c:f>
              <c:strCache>
                <c:ptCount val="1"/>
                <c:pt idx="0">
                  <c:v>2024</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[决算图表.xls]财政拨款收支决算总计变动表!$B$1:$C$1</c:f>
              <c:strCache>
                <c:ptCount val="2"/>
                <c:pt idx="0">
                  <c:v>收入</c:v>
                </c:pt>
                <c:pt idx="1">
                  <c:v>支出</c:v>
                </c:pt>
              </c:strCache>
            </c:strRef>
          </c:cat>
          <c:val>
            <c:numRef>
              <c:f>[决算图表.xls]财政拨款收支决算总计变动表!$B$2:$C$2</c:f>
              <c:numCache>
                <c:formatCode>General</c:formatCode>
                <c:ptCount val="2"/>
                <c:pt idx="0">
                  <c:v>379.76</c:v>
                </c:pt>
                <c:pt idx="1">
                  <c:v>379.76</c:v>
                </c:pt>
              </c:numCache>
            </c:numRef>
          </c:val>
        </c:ser>
        <c:ser>
          <c:idx val="1"/>
          <c:order val="1"/>
          <c:tx>
            <c:strRef>
              <c:f>[决算图表.xls]财政拨款收支决算总计变动表!$A$3</c:f>
              <c:strCache>
                <c:ptCount val="1"/>
                <c:pt idx="0">
                  <c:v>2025</c:v>
                </c:pt>
              </c:strCache>
            </c:strRef>
          </c:tx>
          <c:spPr>
            <a:solidFill>
              <a:schemeClr val="accent2"/>
            </a:solidFill>
            <a:ln>
              <a:noFill/>
            </a:ln>
            <a:effectLst/>
          </c:spPr>
          <c:invertIfNegative val="0"/>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solidFill>
                        <a:latin typeface="+mn-lt"/>
                        <a:ea typeface="+mn-ea"/>
                        <a:cs typeface="+mn-cs"/>
                      </a:defRPr>
                    </a:pPr>
                    <a:r>
                      <a:t>354.4</a:t>
                    </a:r>
                    <a:r>
                      <a:rPr lang="en-US" altLang="zh-CN"/>
                      <a:t>1</a:t>
                    </a:r>
                    <a:endParaRPr lang="en-US" altLang="zh-CN"/>
                  </a:p>
                </c:rich>
              </c:tx>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0.00208333333333333"/>
                  <c:y val="0"/>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solidFill>
                        <a:latin typeface="+mn-lt"/>
                        <a:ea typeface="+mn-ea"/>
                        <a:cs typeface="+mn-cs"/>
                      </a:defRPr>
                    </a:pPr>
                    <a:r>
                      <a:t>354.4</a:t>
                    </a:r>
                    <a:r>
                      <a:rPr lang="en-US" altLang="zh-CN"/>
                      <a:t>1</a:t>
                    </a:r>
                    <a:endParaRPr lang="en-US" altLang="zh-CN"/>
                  </a:p>
                </c:rich>
              </c:tx>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[决算图表.xls]财政拨款收支决算总计变动表!$B$1:$C$1</c:f>
              <c:strCache>
                <c:ptCount val="2"/>
                <c:pt idx="0">
                  <c:v>收入</c:v>
                </c:pt>
                <c:pt idx="1">
                  <c:v>支出</c:v>
                </c:pt>
              </c:strCache>
            </c:strRef>
          </c:cat>
          <c:val>
            <c:numRef>
              <c:f>[决算图表.xls]财政拨款收支决算总计变动表!$B$3:$C$3</c:f>
              <c:numCache>
                <c:formatCode>General</c:formatCode>
                <c:ptCount val="2"/>
                <c:pt idx="0">
                  <c:v>354.42</c:v>
                </c:pt>
                <c:pt idx="1">
                  <c:v>354.42</c:v>
                </c:pt>
              </c:numCache>
            </c:numRef>
          </c:val>
        </c:ser>
        <c:dLbls>
          <c:showLegendKey val="0"/>
          <c:showVal val="1"/>
          <c:showCatName val="0"/>
          <c:showSerName val="0"/>
          <c:showPercent val="0"/>
          <c:showBubbleSize val="0"/>
        </c:dLbls>
        <c:gapWidth val="219"/>
        <c:overlap val="-27"/>
        <c:axId val="126574018"/>
        <c:axId val="790943367"/>
      </c:barChart>
      <c:catAx>
        <c:axId val="12657401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crossAx val="790943367"/>
        <c:crosses val="autoZero"/>
        <c:auto val="1"/>
        <c:lblAlgn val="ctr"/>
        <c:lblOffset val="100"/>
        <c:noMultiLvlLbl val="0"/>
      </c:catAx>
      <c:valAx>
        <c:axId val="7909433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crossAx val="126574018"/>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ayout>
        <c:manualLayout>
          <c:xMode val="edge"/>
          <c:yMode val="edge"/>
          <c:x val="0.393125"/>
          <c:y val="0.15208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868ac7e4-d932-4d31-86e2-db0a72cc38fd}"/>
      </c:ext>
    </c:extLst>
  </c:chart>
  <c:spPr>
    <a:solidFill>
      <a:schemeClr val="bg1"/>
    </a:solidFill>
    <a:ln w="9525" cap="flat" cmpd="sng" algn="ctr">
      <a:solidFill>
        <a:schemeClr val="tx1">
          <a:lumMod val="15000"/>
          <a:lumOff val="85000"/>
        </a:schemeClr>
      </a:solidFill>
      <a:round/>
    </a:ln>
    <a:effectLst/>
  </c:spPr>
  <c:txPr>
    <a:bodyPr/>
    <a:lstStyle/>
    <a:p>
      <a:pPr>
        <a:defRPr lang="zh-CN">
          <a:solidFill>
            <a:schemeClr val="tx1"/>
          </a:solidFill>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000" b="1"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r>
              <a:rPr sz="1000" b="1"/>
              <a:t>一般公共预算财政拨款支出决算变动情况</a:t>
            </a:r>
            <a:endParaRPr sz="1000" b="1" i="0" u="none" strike="noStrike" baseline="0">
              <a:solidFill>
                <a:srgbClr val="000000">
                  <a:alpha val="100000"/>
                </a:srgbClr>
              </a:solidFill>
              <a:latin typeface="宋体" panose="02010600030101010101" charset="-122"/>
              <a:ea typeface="宋体" panose="02010600030101010101" charset="-122"/>
              <a:cs typeface="宋体" panose="02010600030101010101" charset="-122"/>
            </a:endParaRPr>
          </a:p>
        </c:rich>
      </c:tx>
      <c:layout/>
      <c:overlay val="0"/>
      <c:spPr>
        <a:noFill/>
        <a:ln w="3175">
          <a:noFill/>
        </a:ln>
      </c:spPr>
    </c:title>
    <c:autoTitleDeleted val="0"/>
    <c:plotArea>
      <c:layout>
        <c:manualLayout>
          <c:layoutTarget val="inner"/>
          <c:xMode val="edge"/>
          <c:yMode val="edge"/>
          <c:x val="0.230420261619816"/>
          <c:y val="0.196689606180349"/>
          <c:w val="0.532359081419624"/>
          <c:h val="0.722772277227723"/>
        </c:manualLayout>
      </c:layout>
      <c:barChart>
        <c:barDir val="col"/>
        <c:grouping val="clustered"/>
        <c:varyColors val="0"/>
        <c:ser>
          <c:idx val="0"/>
          <c:order val="0"/>
          <c:tx>
            <c:strRef>
              <c:f>[决算图表.xls]一般公共预算财政拨款支出决算变动情况!$B$1</c:f>
              <c:strCache>
                <c:ptCount val="1"/>
                <c:pt idx="0">
                  <c:v>一般公共预算财政拨款支出</c:v>
                </c:pt>
              </c:strCache>
            </c:strRef>
          </c:tx>
          <c:spPr>
            <a:solidFill>
              <a:srgbClr val="9999FF">
                <a:alpha val="100000"/>
              </a:srgbClr>
            </a:solidFill>
            <a:ln w="12700">
              <a:solidFill>
                <a:srgbClr val="000000">
                  <a:alpha val="100000"/>
                </a:srgbClr>
              </a:solidFill>
              <a:prstDash val="solid"/>
            </a:ln>
          </c:spPr>
          <c:invertIfNegative val="0"/>
          <c:dLbls>
            <c:delete val="1"/>
          </c:dLbls>
          <c:cat>
            <c:numRef>
              <c:f>[决算图表.xls]一般公共预算财政拨款支出决算变动情况!$A$2:$A$3</c:f>
              <c:numCache>
                <c:formatCode>General</c:formatCode>
                <c:ptCount val="2"/>
                <c:pt idx="0">
                  <c:v>2024</c:v>
                </c:pt>
                <c:pt idx="1">
                  <c:v>2025</c:v>
                </c:pt>
              </c:numCache>
            </c:numRef>
          </c:cat>
          <c:val>
            <c:numRef>
              <c:f>[决算图表.xls]一般公共预算财政拨款支出决算变动情况!$B$2:$B$3</c:f>
              <c:numCache>
                <c:formatCode>General</c:formatCode>
                <c:ptCount val="2"/>
                <c:pt idx="0">
                  <c:v>379.76</c:v>
                </c:pt>
                <c:pt idx="1">
                  <c:v>354.42</c:v>
                </c:pt>
              </c:numCache>
            </c:numRef>
          </c:val>
        </c:ser>
        <c:dLbls>
          <c:showLegendKey val="0"/>
          <c:showVal val="0"/>
          <c:showCatName val="0"/>
          <c:showSerName val="0"/>
          <c:showPercent val="0"/>
          <c:showBubbleSize val="0"/>
        </c:dLbls>
        <c:gapWidth val="150"/>
        <c:overlap val="0"/>
        <c:axId val="478526836"/>
        <c:axId val="568523391"/>
      </c:barChart>
      <c:catAx>
        <c:axId val="478526836"/>
        <c:scaling>
          <c:orientation val="minMax"/>
        </c:scaling>
        <c:delete val="0"/>
        <c:axPos val="b"/>
        <c:majorTickMark val="in"/>
        <c:minorTickMark val="none"/>
        <c:tickLblPos val="nextTo"/>
        <c:spPr>
          <a:ln w="3175" cap="flat" cmpd="sng" algn="ctr">
            <a:solidFill>
              <a:srgbClr val="000000">
                <a:alpha val="100000"/>
              </a:srgbClr>
            </a:solidFill>
            <a:prstDash val="solid"/>
            <a:round/>
          </a:ln>
        </c:spPr>
        <c:txPr>
          <a:bodyPr rot="0" spcFirstLastPara="0" vertOverflow="ellipsis" vert="horz" wrap="square" anchor="ctr" anchorCtr="1"/>
          <a:lstStyle/>
          <a:p>
            <a:pPr>
              <a:defRPr lang="zh-CN" sz="10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crossAx val="568523391"/>
        <c:crosses val="autoZero"/>
        <c:auto val="1"/>
        <c:lblAlgn val="ctr"/>
        <c:lblOffset val="100"/>
        <c:tickLblSkip val="1"/>
        <c:noMultiLvlLbl val="0"/>
      </c:catAx>
      <c:valAx>
        <c:axId val="568523391"/>
        <c:scaling>
          <c:orientation val="minMax"/>
        </c:scaling>
        <c:delete val="0"/>
        <c:axPos val="l"/>
        <c:majorGridlines>
          <c:spPr>
            <a:ln w="3175" cap="flat" cmpd="sng" algn="ctr">
              <a:solidFill>
                <a:srgbClr val="000000">
                  <a:alpha val="100000"/>
                </a:srgbClr>
              </a:solidFill>
              <a:prstDash val="solid"/>
              <a:round/>
            </a:ln>
          </c:spPr>
        </c:majorGridlines>
        <c:numFmt formatCode="General" sourceLinked="1"/>
        <c:majorTickMark val="in"/>
        <c:minorTickMark val="none"/>
        <c:tickLblPos val="nextTo"/>
        <c:spPr>
          <a:ln w="3175" cap="flat" cmpd="sng" algn="ctr">
            <a:solidFill>
              <a:srgbClr val="000000">
                <a:alpha val="100000"/>
              </a:srgbClr>
            </a:solidFill>
            <a:prstDash val="solid"/>
            <a:round/>
          </a:ln>
        </c:spPr>
        <c:txPr>
          <a:bodyPr rot="0" spcFirstLastPara="0" vertOverflow="ellipsis" vert="horz" wrap="square" anchor="ctr" anchorCtr="1"/>
          <a:lstStyle/>
          <a:p>
            <a:pPr>
              <a:defRPr lang="zh-CN" sz="10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crossAx val="478526836"/>
        <c:crosses val="autoZero"/>
        <c:crossBetween val="between"/>
      </c:valAx>
      <c:spPr>
        <a:solidFill>
          <a:srgbClr val="C0C0C0">
            <a:alpha val="100000"/>
          </a:srgbClr>
        </a:solidFill>
        <a:ln w="12700">
          <a:solidFill>
            <a:srgbClr val="808080">
              <a:alpha val="100000"/>
            </a:srgbClr>
          </a:solidFill>
          <a:prstDash val="solid"/>
        </a:ln>
      </c:spPr>
    </c:plotArea>
    <c:legend>
      <c:legendPos val="r"/>
      <c:legendEntry>
        <c:idx val="0"/>
        <c:txPr>
          <a:bodyPr rot="0" spcFirstLastPara="0" vertOverflow="ellipsis" vert="horz" wrap="square" anchor="ctr" anchorCtr="1"/>
          <a:lstStyle/>
          <a:p>
            <a:pPr>
              <a:defRPr lang="zh-CN" sz="800"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legendEntry>
      <c:layout>
        <c:manualLayout>
          <c:xMode val="edge"/>
          <c:yMode val="edge"/>
          <c:x val="0.3008998017386"/>
          <c:y val="0.088663282571912"/>
          <c:w val="0.409028519139851"/>
          <c:h val="0.0712351945854484"/>
        </c:manualLayout>
      </c:layout>
      <c:overlay val="0"/>
      <c:spPr>
        <a:solidFill>
          <a:srgbClr val="FFFFFF">
            <a:alpha val="100000"/>
          </a:srgbClr>
        </a:solidFill>
        <a:ln w="3175">
          <a:solidFill>
            <a:srgbClr val="000000">
              <a:alpha val="100000"/>
            </a:srgbClr>
          </a:solidFill>
          <a:prstDash val="solid"/>
        </a:ln>
      </c:spPr>
      <c:txPr>
        <a:bodyPr rot="0" spcFirstLastPara="0" vertOverflow="ellipsis" vert="horz" wrap="square" anchor="ctr" anchorCtr="1"/>
        <a:lstStyle/>
        <a:p>
          <a:pPr>
            <a:defRPr lang="zh-CN" sz="800"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legend>
    <c:plotVisOnly val="1"/>
    <c:dispBlanksAs val="gap"/>
    <c:showDLblsOverMax val="0"/>
    <c:extLst>
      <c:ext uri="{0b15fc19-7d7d-44ad-8c2d-2c3a37ce22c3}">
        <chartProps xmlns="https://web.wps.cn/et/2018/main" chartId="{50c568ae-0b75-4a56-9f10-a9bfec54d36f}"/>
      </c:ext>
    </c:extLst>
  </c:chart>
  <c:spPr>
    <a:solidFill>
      <a:srgbClr val="FFFFFF">
        <a:alpha val="100000"/>
      </a:srgbClr>
    </a:solidFill>
    <a:ln w="3175" cap="flat" cmpd="sng" algn="ctr">
      <a:solidFill>
        <a:srgbClr val="000000">
          <a:alpha val="100000"/>
        </a:srgbClr>
      </a:solidFill>
      <a:prstDash val="solid"/>
      <a:round/>
    </a:ln>
  </c:spPr>
  <c:txPr>
    <a:bodyPr rot="0" wrap="square" anchor="ctr" anchorCtr="1"/>
    <a:lstStyle/>
    <a:p>
      <a:pPr>
        <a:defRPr lang="zh-CN" sz="12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solidFill>
                <a:latin typeface="+mn-lt"/>
                <a:ea typeface="+mn-ea"/>
                <a:cs typeface="+mn-cs"/>
              </a:defRPr>
            </a:pPr>
            <a:r>
              <a:rPr sz="1000" b="1">
                <a:solidFill>
                  <a:schemeClr val="tx1"/>
                </a:solidFill>
                <a:latin typeface="+mn-ea"/>
              </a:rPr>
              <a:t>一般公共预算财政拨款支出决算情况</a:t>
            </a:r>
            <a:endParaRPr sz="1000" b="1">
              <a:solidFill>
                <a:schemeClr val="tx1"/>
              </a:solidFill>
              <a:latin typeface="+mn-ea"/>
            </a:endParaRP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outEnd"/>
            <c:showLegendKey val="1"/>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[决算图表.xls]一般公共预算财政拨款支出决算结构!$G$2:$G$5</c:f>
              <c:strCache>
                <c:ptCount val="4"/>
                <c:pt idx="0">
                  <c:v>社会保障和就业支出</c:v>
                </c:pt>
                <c:pt idx="1">
                  <c:v>卫生健康支出</c:v>
                </c:pt>
                <c:pt idx="2">
                  <c:v>自然资源海洋气象等支出</c:v>
                </c:pt>
                <c:pt idx="3">
                  <c:v>住房保障支出</c:v>
                </c:pt>
              </c:strCache>
            </c:strRef>
          </c:cat>
          <c:val>
            <c:numRef>
              <c:f>[决算图表.xls]一般公共预算财政拨款支出决算结构!$H$2:$H$5</c:f>
              <c:numCache>
                <c:formatCode>General</c:formatCode>
                <c:ptCount val="4"/>
                <c:pt idx="0">
                  <c:v>48.54</c:v>
                </c:pt>
                <c:pt idx="1">
                  <c:v>17.02</c:v>
                </c:pt>
                <c:pt idx="2">
                  <c:v>265.94</c:v>
                </c:pt>
                <c:pt idx="3">
                  <c:v>22.91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310a02f4-e23e-4f76-a0c8-dbdf9ae3dd2c}"/>
      </c:ext>
    </c:extLst>
  </c:chart>
  <c:spPr>
    <a:solidFill>
      <a:schemeClr val="bg1"/>
    </a:solidFill>
    <a:ln w="9525" cap="flat" cmpd="sng" algn="ctr">
      <a:solidFill>
        <a:schemeClr val="tx1">
          <a:lumMod val="15000"/>
          <a:lumOff val="85000"/>
        </a:schemeClr>
      </a:solidFill>
      <a:round/>
    </a:ln>
    <a:effectLst/>
  </c:spPr>
  <c:txPr>
    <a:bodyPr/>
    <a:lstStyle/>
    <a:p>
      <a:pPr>
        <a:defRPr lang="zh-CN">
          <a:solidFill>
            <a:schemeClr val="tx1"/>
          </a:solidFill>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000" b="1">
                <a:latin typeface="+mn-ea"/>
                <a:cs typeface="+mn-ea"/>
              </a:rPr>
              <a:t>“三公”经费财政拨款支出结构</a:t>
            </a:r>
            <a:endParaRPr sz="1000" b="1">
              <a:latin typeface="+mn-ea"/>
              <a:cs typeface="+mn-ea"/>
            </a:endParaRP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2"/>
              <c:layout/>
              <c:dLblPos val="inEnd"/>
              <c:showLegendKey val="0"/>
              <c:showVal val="1"/>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[决算图表.xls]“三公”经费财政拨款支出结构!$A$2:$A$4</c:f>
              <c:strCache>
                <c:ptCount val="3"/>
                <c:pt idx="0">
                  <c:v>公务接待费支出</c:v>
                </c:pt>
                <c:pt idx="1">
                  <c:v>因公出国（境）费支出</c:v>
                </c:pt>
                <c:pt idx="2">
                  <c:v>公务用车购置及运行维护费支出</c:v>
                </c:pt>
              </c:strCache>
            </c:strRef>
          </c:cat>
          <c:val>
            <c:numRef>
              <c:f>[决算图表.xls]“三公”经费财政拨款支出结构!$B$2:$B$4</c:f>
              <c:numCache>
                <c:formatCode>General</c:formatCode>
                <c:ptCount val="3"/>
                <c:pt idx="0">
                  <c:v>0</c:v>
                </c:pt>
                <c:pt idx="1">
                  <c:v>0</c:v>
                </c:pt>
                <c:pt idx="2">
                  <c:v>1.1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05cba08-66c3-458a-ab9c-eaa46893f4e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20</Pages>
  <Words>212</Words>
  <Characters>225</Characters>
  <Lines>193</Lines>
  <Paragraphs>142</Paragraphs>
  <TotalTime>4</TotalTime>
  <ScaleCrop>false</ScaleCrop>
  <LinksUpToDate>false</LinksUpToDate>
  <CharactersWithSpaces>236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2024-09-15T17:42:00Z</dcterms:created>
  <dc:creator>曹颖</dc:creator>
  <cp:lastModifiedBy>ying ying Z </cp:lastModifiedBy>
  <cp:lastPrinted>2023-08-05T10:35:00Z</cp:lastPrinted>
  <dcterms:modified xsi:type="dcterms:W3CDTF">2026-09-10T07:20:57Z</dcterms:modified>
  <dc:title>四川省***</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eyJoZGlkIjoiNTg3YjI3Zjc2MzNiOTAzMWQ3ZTE0ODk2ZjQ0ZjFkZmMiLCJ1c2VySWQiOiIzMzE4NzY0OTMifQ==</vt:lpwstr>
  </property>
  <property fmtid="{D5CDD505-2E9C-101B-9397-08002B2CF9AE}" pid="4" name="ICV">
    <vt:lpwstr>94ECEADEED0D4A4E8FC16CB1E5092037_12</vt:lpwstr>
  </property>
</Properties>
</file>