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7C3D1">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77193"/>
      <w:bookmarkStart w:id="2" w:name="_Toc15378441"/>
      <w:bookmarkStart w:id="3" w:name="_Toc15396475"/>
      <w:bookmarkStart w:id="4" w:name="_Toc15377425"/>
      <w:bookmarkStart w:id="5" w:name="_Toc15306267"/>
    </w:p>
    <w:p w14:paraId="63BCA052">
      <w:pPr>
        <w:pStyle w:val="8"/>
        <w:rPr>
          <w:rFonts w:hint="eastAsia" w:ascii="Times New Roman" w:hAnsi="Times New Roman" w:eastAsia="方正小标宋简体" w:cs="Times New Roman"/>
          <w:color w:val="auto"/>
          <w:kern w:val="2"/>
          <w:sz w:val="72"/>
          <w:szCs w:val="72"/>
          <w:highlight w:val="none"/>
          <w:lang w:val="en-US" w:eastAsia="zh-CN" w:bidi="ar-SA"/>
        </w:rPr>
      </w:pPr>
    </w:p>
    <w:p w14:paraId="7680B6E3">
      <w:pPr>
        <w:pStyle w:val="8"/>
        <w:rPr>
          <w:rFonts w:hint="eastAsia" w:ascii="Times New Roman" w:hAnsi="Times New Roman" w:eastAsia="方正小标宋简体" w:cs="Times New Roman"/>
          <w:color w:val="auto"/>
          <w:kern w:val="2"/>
          <w:sz w:val="72"/>
          <w:szCs w:val="72"/>
          <w:highlight w:val="none"/>
          <w:lang w:val="en-US" w:eastAsia="zh-CN" w:bidi="ar-SA"/>
        </w:rPr>
      </w:pPr>
    </w:p>
    <w:p w14:paraId="42A6C0B3">
      <w:pPr>
        <w:pStyle w:val="8"/>
        <w:rPr>
          <w:rFonts w:hint="eastAsia" w:ascii="Times New Roman" w:hAnsi="Times New Roman" w:eastAsia="方正小标宋简体" w:cs="Times New Roman"/>
          <w:color w:val="auto"/>
          <w:kern w:val="2"/>
          <w:sz w:val="72"/>
          <w:szCs w:val="72"/>
          <w:highlight w:val="none"/>
          <w:lang w:val="en-US" w:eastAsia="zh-CN" w:bidi="ar-SA"/>
        </w:rPr>
      </w:pPr>
    </w:p>
    <w:p w14:paraId="49C48A58">
      <w:pPr>
        <w:pStyle w:val="8"/>
        <w:jc w:val="center"/>
        <w:rPr>
          <w:rFonts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2025年度</w:t>
      </w:r>
      <w:r>
        <w:rPr>
          <w:rFonts w:ascii="Times New Roman" w:hAnsi="Times New Roman" w:eastAsia="方正小标宋简体" w:cs="Times New Roman"/>
          <w:color w:val="auto"/>
          <w:kern w:val="2"/>
          <w:sz w:val="44"/>
          <w:szCs w:val="44"/>
          <w:highlight w:val="none"/>
          <w:lang w:val="en-US" w:eastAsia="zh-CN" w:bidi="ar-SA"/>
        </w:rPr>
        <w:t>四川省攀枝花市地理信息中心市级</w:t>
      </w:r>
      <w:r>
        <w:rPr>
          <w:rFonts w:hint="eastAsia" w:ascii="Times New Roman" w:hAnsi="Times New Roman" w:eastAsia="方正小标宋简体" w:cs="Times New Roman"/>
          <w:color w:val="auto"/>
          <w:kern w:val="2"/>
          <w:sz w:val="44"/>
          <w:szCs w:val="44"/>
          <w:highlight w:val="none"/>
          <w:lang w:val="en-US" w:eastAsia="zh-CN" w:bidi="ar-SA"/>
        </w:rPr>
        <w:t>单位决算公开文字说明</w:t>
      </w:r>
    </w:p>
    <w:p w14:paraId="752B6D9D">
      <w:pPr>
        <w:spacing w:line="600" w:lineRule="exact"/>
        <w:jc w:val="center"/>
        <w:outlineLvl w:val="0"/>
        <w:rPr>
          <w:rFonts w:ascii="Times New Roman" w:hAnsi="Times New Roman" w:eastAsia="方正小标宋简体"/>
          <w:color w:val="auto"/>
          <w:sz w:val="72"/>
          <w:szCs w:val="72"/>
          <w:highlight w:val="none"/>
        </w:rPr>
      </w:pPr>
    </w:p>
    <w:p w14:paraId="61BF1F16">
      <w:pPr>
        <w:pStyle w:val="23"/>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7FFEE0B1">
      <w:pPr>
        <w:rPr>
          <w:rFonts w:ascii="Times New Roman" w:hAnsi="Times New Roman"/>
        </w:rPr>
      </w:pPr>
    </w:p>
    <w:p w14:paraId="5B812F49">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1FD25859">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2405B0E4">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79F4CE29">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10BC7A5B">
      <w:pPr>
        <w:pStyle w:val="8"/>
        <w:jc w:val="center"/>
        <w:rPr>
          <w:rFonts w:ascii="Times New Roman" w:hAnsi="Times New Roman" w:eastAsia="方正小标宋简体" w:cs="Times New Roman"/>
          <w:color w:val="auto"/>
          <w:kern w:val="2"/>
          <w:sz w:val="44"/>
          <w:szCs w:val="44"/>
          <w:highlight w:val="none"/>
          <w:lang w:val="en-US" w:eastAsia="zh-CN" w:bidi="ar-SA"/>
        </w:rPr>
      </w:pPr>
      <w:bookmarkStart w:id="6" w:name="_Toc15378442"/>
      <w:bookmarkStart w:id="7" w:name="_Toc15377426"/>
      <w:bookmarkStart w:id="8" w:name="_Toc15396476"/>
      <w:bookmarkStart w:id="9" w:name="_Toc15377194"/>
      <w:bookmarkStart w:id="10" w:name="_Toc15396598"/>
      <w:r>
        <w:rPr>
          <w:rFonts w:hint="eastAsia" w:ascii="Times New Roman" w:hAnsi="Times New Roman" w:eastAsia="方正小标宋简体" w:cs="Times New Roman"/>
          <w:color w:val="auto"/>
          <w:kern w:val="2"/>
          <w:sz w:val="44"/>
          <w:szCs w:val="44"/>
          <w:highlight w:val="none"/>
          <w:lang w:val="en-US" w:eastAsia="zh-CN" w:bidi="ar-SA"/>
        </w:rPr>
        <w:t>2025年度</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四川省</w:t>
      </w:r>
      <w:r>
        <w:rPr>
          <w:rFonts w:ascii="Times New Roman" w:hAnsi="Times New Roman" w:eastAsia="方正小标宋简体" w:cs="Times New Roman"/>
          <w:color w:val="auto"/>
          <w:kern w:val="2"/>
          <w:sz w:val="44"/>
          <w:szCs w:val="44"/>
          <w:highlight w:val="none"/>
          <w:lang w:val="en-US" w:eastAsia="zh-CN" w:bidi="ar-SA"/>
        </w:rPr>
        <w:t>攀枝花市地理信息中心</w:t>
      </w:r>
    </w:p>
    <w:p w14:paraId="6C919D90">
      <w:pPr>
        <w:pStyle w:val="8"/>
        <w:jc w:val="center"/>
        <w:rPr>
          <w:rFonts w:hint="eastAsia" w:ascii="Times New Roman" w:hAnsi="Times New Roman" w:eastAsia="方正小标宋简体" w:cs="Times New Roman"/>
          <w:color w:val="auto"/>
          <w:kern w:val="2"/>
          <w:sz w:val="44"/>
          <w:szCs w:val="44"/>
          <w:highlight w:val="none"/>
          <w:lang w:val="en-US" w:eastAsia="zh-CN" w:bidi="ar-SA"/>
        </w:rPr>
      </w:pPr>
      <w:bookmarkStart w:id="133" w:name="_GoBack"/>
      <w:bookmarkEnd w:id="133"/>
      <w:r>
        <w:rPr>
          <w:rFonts w:ascii="Times New Roman" w:hAnsi="Times New Roman" w:eastAsia="方正小标宋简体" w:cs="Times New Roman"/>
          <w:color w:val="auto"/>
          <w:kern w:val="2"/>
          <w:sz w:val="44"/>
          <w:szCs w:val="44"/>
          <w:highlight w:val="none"/>
          <w:lang w:val="en-US" w:eastAsia="zh-CN" w:bidi="ar-SA"/>
        </w:rPr>
        <w:t>单位</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p>
    <w:p w14:paraId="26B949DB">
      <w:pPr>
        <w:widowControl/>
        <w:jc w:val="center"/>
        <w:rPr>
          <w:rFonts w:hint="eastAsia" w:ascii="Times New Roman" w:hAnsi="Times New Roman" w:eastAsia="黑体"/>
          <w:color w:val="auto"/>
          <w:sz w:val="48"/>
          <w:szCs w:val="48"/>
          <w:highlight w:val="none"/>
        </w:rPr>
        <w:sectPr>
          <w:footerReference r:id="rId6" w:type="first"/>
          <w:footerReference r:id="rId5" w:type="default"/>
          <w:pgSz w:w="11906" w:h="16838"/>
          <w:pgMar w:top="1440" w:right="1800" w:bottom="1440" w:left="1800" w:header="851" w:footer="992" w:gutter="0"/>
          <w:pgNumType w:start="4"/>
          <w:cols w:space="425" w:num="1"/>
          <w:titlePg/>
          <w:docGrid w:type="lines" w:linePitch="312" w:charSpace="0"/>
        </w:sectPr>
      </w:pPr>
    </w:p>
    <w:p w14:paraId="083C8F90">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5B0329A0">
      <w:pPr>
        <w:widowControl/>
        <w:jc w:val="center"/>
        <w:rPr>
          <w:rFonts w:ascii="Times New Roman" w:hAnsi="Times New Roman" w:eastAsia="黑体" w:cs="Arial"/>
          <w:color w:val="auto"/>
          <w:sz w:val="28"/>
          <w:szCs w:val="28"/>
          <w:highlight w:val="none"/>
        </w:rPr>
      </w:pPr>
    </w:p>
    <w:p w14:paraId="12678FDD">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w:t>
      </w:r>
      <w:r>
        <w:rPr>
          <w:rFonts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w:t>
      </w:r>
      <w:r>
        <w:rPr>
          <w:rFonts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日</w:t>
      </w:r>
    </w:p>
    <w:p w14:paraId="185E1C5E">
      <w:pPr>
        <w:pStyle w:val="13"/>
        <w:pageBreakBefore w:val="0"/>
        <w:widowControl w:val="0"/>
        <w:tabs>
          <w:tab w:val="right" w:leader="dot" w:pos="8306"/>
        </w:tabs>
        <w:rPr>
          <w:rFonts w:hint="eastAsia" w:ascii="方正黑体_GBK" w:hAnsi="方正黑体_GBK" w:eastAsia="方正黑体_GBK" w:cs="方正黑体_GBK"/>
          <w:sz w:val="32"/>
          <w:szCs w:val="32"/>
        </w:rPr>
      </w:pPr>
      <w:r>
        <w:rPr>
          <w:rFonts w:ascii="Times New Roman" w:hAnsi="Times New Roman"/>
          <w:color w:val="auto"/>
          <w:highlight w:val="none"/>
        </w:rPr>
        <w:fldChar w:fldCharType="begin"/>
      </w:r>
      <w:r>
        <w:rPr>
          <w:rFonts w:ascii="Times New Roman" w:hAnsi="Times New Roman"/>
          <w:color w:val="auto"/>
          <w:highlight w:val="none"/>
        </w:rPr>
        <w:instrText xml:space="preserve"> TOC \o "1-2" \h \u</w:instrText>
      </w:r>
      <w:r>
        <w:rPr>
          <w:rFonts w:ascii="Times New Roman" w:hAnsi="Times New Roman"/>
          <w:color w:val="auto"/>
          <w:highlight w:val="none"/>
        </w:rPr>
        <w:fldChar w:fldCharType="separate"/>
      </w: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Hyperlink \l "_Toc19018767"</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highlight w:val="none"/>
        </w:rPr>
        <w:t>第一部分</w:t>
      </w:r>
      <w:r>
        <w:rPr>
          <w:rFonts w:hint="eastAsia" w:ascii="方正黑体_GBK" w:hAnsi="方正黑体_GBK" w:eastAsia="方正黑体_GBK" w:cs="方正黑体_GBK"/>
          <w:sz w:val="32"/>
          <w:szCs w:val="32"/>
          <w:highlight w:val="none"/>
          <w:lang w:val="en-US" w:eastAsia="zh-CN"/>
        </w:rPr>
        <w:t xml:space="preserve"> </w:t>
      </w:r>
      <w:r>
        <w:rPr>
          <w:rFonts w:hint="eastAsia" w:ascii="方正黑体_GBK" w:hAnsi="方正黑体_GBK" w:eastAsia="方正黑体_GBK" w:cs="方正黑体_GBK"/>
          <w:sz w:val="32"/>
          <w:szCs w:val="32"/>
          <w:highlight w:val="none"/>
        </w:rPr>
        <w:t xml:space="preserve"> </w:t>
      </w:r>
      <w:r>
        <w:rPr>
          <w:rFonts w:hint="eastAsia" w:ascii="方正黑体_GBK" w:hAnsi="方正黑体_GBK" w:eastAsia="方正黑体_GBK" w:cs="方正黑体_GBK"/>
          <w:bCs w:val="0"/>
          <w:kern w:val="44"/>
          <w:sz w:val="32"/>
          <w:szCs w:val="32"/>
          <w:lang w:val="en-US" w:eastAsia="zh-CN" w:bidi="ar-SA"/>
        </w:rPr>
        <w:t>部门概况</w:t>
      </w:r>
      <w:r>
        <w:rPr>
          <w:rFonts w:hint="eastAsia" w:ascii="方正黑体_GBK" w:hAnsi="方正黑体_GBK" w:eastAsia="方正黑体_GBK" w:cs="方正黑体_GBK"/>
          <w:sz w:val="32"/>
          <w:szCs w:val="32"/>
        </w:rPr>
        <w:tab/>
      </w: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PageRef _Toc19018767 \h</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rPr>
        <w:t>2</w:t>
      </w:r>
      <w:r>
        <w:rPr>
          <w:rFonts w:hint="eastAsia" w:ascii="方正黑体_GBK" w:hAnsi="方正黑体_GBK" w:eastAsia="方正黑体_GBK" w:cs="方正黑体_GBK"/>
          <w:sz w:val="32"/>
          <w:szCs w:val="32"/>
        </w:rPr>
        <w:fldChar w:fldCharType="end"/>
      </w:r>
      <w:r>
        <w:rPr>
          <w:rFonts w:hint="eastAsia" w:ascii="方正黑体_GBK" w:hAnsi="方正黑体_GBK" w:eastAsia="方正黑体_GBK" w:cs="方正黑体_GBK"/>
          <w:sz w:val="32"/>
          <w:szCs w:val="32"/>
        </w:rPr>
        <w:fldChar w:fldCharType="end"/>
      </w:r>
    </w:p>
    <w:p w14:paraId="2A679035">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"_Toc19018768"</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highlight w:val="none"/>
          <w:u w:color="auto"/>
          <w:shd w:val="clear" w:color="auto" w:fill="auto"/>
          <w:lang w:eastAsia="zh-CN"/>
        </w:rPr>
        <w:t xml:space="preserve">一、 </w:t>
      </w:r>
      <w:r>
        <w:rPr>
          <w:rFonts w:hint="eastAsia" w:ascii="方正仿宋_GBK" w:hAnsi="方正仿宋_GBK" w:eastAsia="方正仿宋_GBK" w:cs="方正仿宋_GBK"/>
          <w:sz w:val="32"/>
          <w:szCs w:val="32"/>
          <w:highlight w:val="none"/>
          <w:lang w:eastAsia="zh-CN"/>
        </w:rPr>
        <w:t>部门职责</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_Toc19018768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372FC126">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"_Toc19018769"</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highlight w:val="none"/>
        </w:rPr>
        <w:t>二、机</w:t>
      </w:r>
      <w:r>
        <w:rPr>
          <w:rFonts w:hint="eastAsia" w:ascii="方正仿宋_GBK" w:hAnsi="方正仿宋_GBK" w:eastAsia="方正仿宋_GBK" w:cs="方正仿宋_GBK"/>
          <w:bCs w:val="0"/>
          <w:kern w:val="2"/>
          <w:sz w:val="32"/>
          <w:szCs w:val="32"/>
          <w:lang w:val="en-US" w:eastAsia="zh-CN" w:bidi="ar-SA"/>
        </w:rPr>
        <w:t>构设置</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_Toc19018769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3</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0B9EA4F0">
      <w:pPr>
        <w:pStyle w:val="13"/>
        <w:pageBreakBefore w:val="0"/>
        <w:widowControl w:val="0"/>
        <w:tabs>
          <w:tab w:val="right" w:leader="dot" w:pos="8306"/>
        </w:tabs>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Hyperlink \l "_Toc19018770"</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highlight w:val="none"/>
        </w:rPr>
        <w:t>第二部分</w:t>
      </w:r>
      <w:r>
        <w:rPr>
          <w:rFonts w:hint="eastAsia" w:ascii="方正黑体_GBK" w:hAnsi="方正黑体_GBK" w:eastAsia="方正黑体_GBK" w:cs="方正黑体_GBK"/>
          <w:sz w:val="32"/>
          <w:szCs w:val="32"/>
          <w:highlight w:val="none"/>
          <w:lang w:val="en-US" w:eastAsia="zh-CN"/>
        </w:rPr>
        <w:t xml:space="preserve"> </w:t>
      </w:r>
      <w:r>
        <w:rPr>
          <w:rFonts w:hint="eastAsia" w:ascii="方正黑体_GBK" w:hAnsi="方正黑体_GBK" w:eastAsia="方正黑体_GBK" w:cs="方正黑体_GBK"/>
          <w:sz w:val="32"/>
          <w:szCs w:val="32"/>
          <w:highlight w:val="none"/>
        </w:rPr>
        <w:t xml:space="preserve"> </w:t>
      </w:r>
      <w:r>
        <w:rPr>
          <w:rFonts w:hint="eastAsia" w:ascii="方正黑体_GBK" w:hAnsi="方正黑体_GBK" w:eastAsia="方正黑体_GBK" w:cs="方正黑体_GBK"/>
          <w:sz w:val="32"/>
          <w:szCs w:val="32"/>
          <w:highlight w:val="none"/>
          <w:lang w:val="en-US" w:eastAsia="zh-CN"/>
        </w:rPr>
        <w:t>2025年度</w:t>
      </w:r>
      <w:r>
        <w:rPr>
          <w:rFonts w:hint="eastAsia" w:ascii="方正黑体_GBK" w:hAnsi="方正黑体_GBK" w:eastAsia="方正黑体_GBK" w:cs="方正黑体_GBK"/>
          <w:sz w:val="32"/>
          <w:szCs w:val="32"/>
          <w:highlight w:val="none"/>
        </w:rPr>
        <w:t>部门决算情况说明</w:t>
      </w:r>
      <w:r>
        <w:rPr>
          <w:rFonts w:hint="eastAsia" w:ascii="方正黑体_GBK" w:hAnsi="方正黑体_GBK" w:eastAsia="方正黑体_GBK" w:cs="方正黑体_GBK"/>
          <w:sz w:val="32"/>
          <w:szCs w:val="32"/>
        </w:rPr>
        <w:tab/>
      </w: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PageRef _Toc19018770 \h</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rPr>
        <w:t>4</w:t>
      </w:r>
      <w:r>
        <w:rPr>
          <w:rFonts w:hint="eastAsia" w:ascii="方正黑体_GBK" w:hAnsi="方正黑体_GBK" w:eastAsia="方正黑体_GBK" w:cs="方正黑体_GBK"/>
          <w:sz w:val="32"/>
          <w:szCs w:val="32"/>
        </w:rPr>
        <w:fldChar w:fldCharType="end"/>
      </w:r>
      <w:r>
        <w:rPr>
          <w:rFonts w:hint="eastAsia" w:ascii="方正黑体_GBK" w:hAnsi="方正黑体_GBK" w:eastAsia="方正黑体_GBK" w:cs="方正黑体_GBK"/>
          <w:sz w:val="32"/>
          <w:szCs w:val="32"/>
        </w:rPr>
        <w:fldChar w:fldCharType="end"/>
      </w:r>
    </w:p>
    <w:p w14:paraId="2A646EA2">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"_Toc19018771"</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highlight w:val="none"/>
          <w:lang w:eastAsia="zh-CN"/>
        </w:rPr>
        <w:t>一、</w:t>
      </w:r>
      <w:r>
        <w:rPr>
          <w:rFonts w:hint="eastAsia" w:ascii="方正仿宋_GBK" w:hAnsi="方正仿宋_GBK" w:eastAsia="方正仿宋_GBK" w:cs="方正仿宋_GBK"/>
          <w:sz w:val="32"/>
          <w:szCs w:val="32"/>
          <w:highlight w:val="none"/>
        </w:rPr>
        <w:t>收</w:t>
      </w:r>
      <w:r>
        <w:rPr>
          <w:rFonts w:hint="eastAsia" w:ascii="方正仿宋_GBK" w:hAnsi="方正仿宋_GBK" w:eastAsia="方正仿宋_GBK" w:cs="方正仿宋_GBK"/>
          <w:bCs/>
          <w:kern w:val="2"/>
          <w:sz w:val="32"/>
          <w:szCs w:val="32"/>
          <w:lang w:val="en-US" w:eastAsia="zh-CN" w:bidi="ar-SA"/>
        </w:rPr>
        <w:t>入支出决算总体情况说明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_Toc19018771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4</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4D11C1E3">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"_Toc19018773"</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highlight w:val="none"/>
          <w:lang w:eastAsia="zh-CN"/>
        </w:rPr>
        <w:t>二、收入决算情况说明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_Toc19018773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6</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6ACB8873">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"_Toc19018775"</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highlight w:val="none"/>
          <w:lang w:eastAsia="zh-CN"/>
        </w:rPr>
        <w:t>三、</w:t>
      </w:r>
      <w:r>
        <w:rPr>
          <w:rFonts w:hint="eastAsia" w:ascii="方正仿宋_GBK" w:hAnsi="方正仿宋_GBK" w:eastAsia="方正仿宋_GBK" w:cs="方正仿宋_GBK"/>
          <w:sz w:val="32"/>
          <w:szCs w:val="32"/>
          <w:highlight w:val="none"/>
        </w:rPr>
        <w:t>支</w:t>
      </w:r>
      <w:r>
        <w:rPr>
          <w:rFonts w:hint="eastAsia" w:ascii="方正仿宋_GBK" w:hAnsi="方正仿宋_GBK" w:eastAsia="方正仿宋_GBK" w:cs="方正仿宋_GBK"/>
          <w:bCs/>
          <w:kern w:val="2"/>
          <w:sz w:val="32"/>
          <w:szCs w:val="32"/>
          <w:lang w:val="en-US" w:eastAsia="zh-CN" w:bidi="ar-SA"/>
        </w:rPr>
        <w:t>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_Toc19018775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6</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1D4A47CB">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"_Toc19018777"</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highlight w:val="none"/>
        </w:rPr>
        <w:t>四、财</w:t>
      </w:r>
      <w:r>
        <w:rPr>
          <w:rFonts w:hint="eastAsia" w:ascii="方正仿宋_GBK" w:hAnsi="方正仿宋_GBK" w:eastAsia="方正仿宋_GBK" w:cs="方正仿宋_GBK"/>
          <w:bCs/>
          <w:kern w:val="2"/>
          <w:sz w:val="32"/>
          <w:szCs w:val="32"/>
          <w:lang w:val="en-US" w:eastAsia="zh-CN" w:bidi="ar-SA"/>
        </w:rPr>
        <w:t>政拨款收入支出决算总体情况说明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_Toc19018777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07D32D4F">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"_Toc19018778"</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highlight w:val="none"/>
        </w:rPr>
        <w:t>五、一</w:t>
      </w:r>
      <w:r>
        <w:rPr>
          <w:rFonts w:hint="eastAsia" w:ascii="方正仿宋_GBK" w:hAnsi="方正仿宋_GBK" w:eastAsia="方正仿宋_GBK" w:cs="方正仿宋_GBK"/>
          <w:bCs/>
          <w:kern w:val="2"/>
          <w:sz w:val="32"/>
          <w:szCs w:val="32"/>
          <w:lang w:val="en-US" w:eastAsia="zh-CN" w:bidi="ar-SA"/>
        </w:rPr>
        <w:t>般公共预算财政拨款支出决算情况说明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_Toc19018778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00BDE24A">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"_Toc19018779"</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highlight w:val="none"/>
        </w:rPr>
        <w:t>六、一</w:t>
      </w:r>
      <w:r>
        <w:rPr>
          <w:rFonts w:hint="eastAsia" w:ascii="方正仿宋_GBK" w:hAnsi="方正仿宋_GBK" w:eastAsia="方正仿宋_GBK" w:cs="方正仿宋_GBK"/>
          <w:bCs/>
          <w:kern w:val="2"/>
          <w:sz w:val="32"/>
          <w:szCs w:val="32"/>
          <w:lang w:val="en-US" w:eastAsia="zh-CN" w:bidi="ar-SA"/>
        </w:rPr>
        <w:t>般公共预算财政拨款基本支出决算情况说明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_Toc19018779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10</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4F2CAEAF">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"_Toc19018780"</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highlight w:val="none"/>
        </w:rPr>
        <w:t>七、</w:t>
      </w:r>
      <w:r>
        <w:rPr>
          <w:rFonts w:hint="eastAsia" w:ascii="方正仿宋_GBK" w:hAnsi="方正仿宋_GBK" w:eastAsia="方正仿宋_GBK" w:cs="方正仿宋_GBK"/>
          <w:bCs/>
          <w:kern w:val="2"/>
          <w:sz w:val="32"/>
          <w:szCs w:val="32"/>
          <w:lang w:val="en-US" w:eastAsia="zh-CN" w:bidi="ar-SA"/>
        </w:rPr>
        <w:t>财政拨款“三公”经费支出决算情况说明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_Toc19018780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10</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24EA3588">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"_Toc19018781"</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highlight w:val="none"/>
        </w:rPr>
        <w:t>八、</w:t>
      </w:r>
      <w:r>
        <w:rPr>
          <w:rFonts w:hint="eastAsia" w:ascii="方正仿宋_GBK" w:hAnsi="方正仿宋_GBK" w:eastAsia="方正仿宋_GBK" w:cs="方正仿宋_GBK"/>
          <w:bCs/>
          <w:kern w:val="2"/>
          <w:sz w:val="32"/>
          <w:szCs w:val="32"/>
          <w:lang w:val="en-US" w:eastAsia="zh-CN" w:bidi="ar-SA"/>
        </w:rPr>
        <w:t>政府性基金预算支出决算情况说明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_Toc19018781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12</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7E19753F">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"_Toc19018782"</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九、国有资本经营预算支出决算情况说明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_Toc19018782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12</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6DE3F317">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"_Toc19018783"</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十、其他重要事项的情况说明</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_Toc19018783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12</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643C4945">
      <w:pPr>
        <w:pStyle w:val="13"/>
        <w:pageBreakBefore w:val="0"/>
        <w:widowControl w:val="0"/>
        <w:tabs>
          <w:tab w:val="right" w:leader="dot" w:pos="8306"/>
        </w:tabs>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Hyperlink \l "_Toc19018784"</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highlight w:val="none"/>
        </w:rPr>
        <w:t>第</w:t>
      </w:r>
      <w:r>
        <w:rPr>
          <w:rFonts w:hint="eastAsia" w:ascii="方正黑体_GBK" w:hAnsi="方正黑体_GBK" w:eastAsia="方正黑体_GBK" w:cs="方正黑体_GBK"/>
          <w:sz w:val="32"/>
          <w:szCs w:val="32"/>
          <w:highlight w:val="none"/>
          <w:lang w:eastAsia="zh-CN"/>
        </w:rPr>
        <w:t>三</w:t>
      </w:r>
      <w:r>
        <w:rPr>
          <w:rFonts w:hint="eastAsia" w:ascii="方正黑体_GBK" w:hAnsi="方正黑体_GBK" w:eastAsia="方正黑体_GBK" w:cs="方正黑体_GBK"/>
          <w:sz w:val="32"/>
          <w:szCs w:val="32"/>
          <w:highlight w:val="none"/>
        </w:rPr>
        <w:t>部分</w:t>
      </w:r>
      <w:r>
        <w:rPr>
          <w:rFonts w:hint="eastAsia" w:ascii="方正黑体_GBK" w:hAnsi="方正黑体_GBK" w:eastAsia="方正黑体_GBK" w:cs="方正黑体_GBK"/>
          <w:sz w:val="32"/>
          <w:szCs w:val="32"/>
          <w:highlight w:val="none"/>
          <w:lang w:val="en-US" w:eastAsia="zh-CN"/>
        </w:rPr>
        <w:t xml:space="preserve">  </w:t>
      </w:r>
      <w:r>
        <w:rPr>
          <w:rFonts w:hint="eastAsia" w:ascii="方正黑体_GBK" w:hAnsi="方正黑体_GBK" w:eastAsia="方正黑体_GBK" w:cs="方正黑体_GBK"/>
          <w:sz w:val="32"/>
          <w:szCs w:val="32"/>
          <w:highlight w:val="none"/>
        </w:rPr>
        <w:t>名词解释</w:t>
      </w:r>
      <w:r>
        <w:rPr>
          <w:rFonts w:hint="eastAsia" w:ascii="方正黑体_GBK" w:hAnsi="方正黑体_GBK" w:eastAsia="方正黑体_GBK" w:cs="方正黑体_GBK"/>
          <w:sz w:val="32"/>
          <w:szCs w:val="32"/>
        </w:rPr>
        <w:tab/>
      </w: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PageRef _Toc19018784 \h</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rPr>
        <w:t>14</w:t>
      </w:r>
      <w:r>
        <w:rPr>
          <w:rFonts w:hint="eastAsia" w:ascii="方正黑体_GBK" w:hAnsi="方正黑体_GBK" w:eastAsia="方正黑体_GBK" w:cs="方正黑体_GBK"/>
          <w:sz w:val="32"/>
          <w:szCs w:val="32"/>
        </w:rPr>
        <w:fldChar w:fldCharType="end"/>
      </w:r>
      <w:r>
        <w:rPr>
          <w:rFonts w:hint="eastAsia" w:ascii="方正黑体_GBK" w:hAnsi="方正黑体_GBK" w:eastAsia="方正黑体_GBK" w:cs="方正黑体_GBK"/>
          <w:sz w:val="32"/>
          <w:szCs w:val="32"/>
        </w:rPr>
        <w:fldChar w:fldCharType="end"/>
      </w:r>
    </w:p>
    <w:p w14:paraId="20073328">
      <w:pPr>
        <w:pStyle w:val="13"/>
        <w:pageBreakBefore w:val="0"/>
        <w:widowControl w:val="0"/>
        <w:tabs>
          <w:tab w:val="right" w:leader="dot" w:pos="8306"/>
        </w:tabs>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Hyperlink \l "_Toc19018785"</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rPr>
        <w:t>第四部分</w:t>
      </w: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 xml:space="preserve"> 附件</w:t>
      </w:r>
      <w:r>
        <w:rPr>
          <w:rFonts w:hint="eastAsia" w:ascii="方正黑体_GBK" w:hAnsi="方正黑体_GBK" w:eastAsia="方正黑体_GBK" w:cs="方正黑体_GBK"/>
          <w:sz w:val="32"/>
          <w:szCs w:val="32"/>
        </w:rPr>
        <w:tab/>
      </w: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PageRef _Toc19018785 \h</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rPr>
        <w:t>16</w:t>
      </w:r>
      <w:r>
        <w:rPr>
          <w:rFonts w:hint="eastAsia" w:ascii="方正黑体_GBK" w:hAnsi="方正黑体_GBK" w:eastAsia="方正黑体_GBK" w:cs="方正黑体_GBK"/>
          <w:sz w:val="32"/>
          <w:szCs w:val="32"/>
        </w:rPr>
        <w:fldChar w:fldCharType="end"/>
      </w:r>
      <w:r>
        <w:rPr>
          <w:rFonts w:hint="eastAsia" w:ascii="方正黑体_GBK" w:hAnsi="方正黑体_GBK" w:eastAsia="方正黑体_GBK" w:cs="方正黑体_GBK"/>
          <w:sz w:val="32"/>
          <w:szCs w:val="32"/>
        </w:rPr>
        <w:fldChar w:fldCharType="end"/>
      </w:r>
    </w:p>
    <w:p w14:paraId="4BEFB813">
      <w:pPr>
        <w:pStyle w:val="13"/>
        <w:pageBreakBefore w:val="0"/>
        <w:widowControl w:val="0"/>
        <w:tabs>
          <w:tab w:val="right" w:leader="dot" w:pos="8306"/>
        </w:tabs>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Hyperlink \l "_Toc19018787"</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bCs/>
          <w:sz w:val="32"/>
          <w:szCs w:val="32"/>
          <w:highlight w:val="none"/>
        </w:rPr>
        <w:t>五部分 附表</w:t>
      </w:r>
      <w:r>
        <w:rPr>
          <w:rFonts w:hint="eastAsia" w:ascii="方正黑体_GBK" w:hAnsi="方正黑体_GBK" w:eastAsia="方正黑体_GBK" w:cs="方正黑体_GBK"/>
          <w:sz w:val="32"/>
          <w:szCs w:val="32"/>
        </w:rPr>
        <w:tab/>
      </w:r>
      <w:r>
        <w:rPr>
          <w:rFonts w:hint="eastAsia" w:ascii="方正黑体_GBK" w:hAnsi="方正黑体_GBK" w:eastAsia="方正黑体_GBK" w:cs="方正黑体_GBK"/>
          <w:sz w:val="32"/>
          <w:szCs w:val="32"/>
        </w:rPr>
        <w:fldChar w:fldCharType="begin"/>
      </w:r>
      <w:r>
        <w:rPr>
          <w:rFonts w:hint="eastAsia" w:ascii="方正黑体_GBK" w:hAnsi="方正黑体_GBK" w:eastAsia="方正黑体_GBK" w:cs="方正黑体_GBK"/>
          <w:sz w:val="32"/>
          <w:szCs w:val="32"/>
        </w:rPr>
        <w:instrText xml:space="preserve">PageRef _Toc19018787 \h</w:instrText>
      </w:r>
      <w:r>
        <w:rPr>
          <w:rFonts w:hint="eastAsia" w:ascii="方正黑体_GBK" w:hAnsi="方正黑体_GBK" w:eastAsia="方正黑体_GBK" w:cs="方正黑体_GBK"/>
          <w:sz w:val="32"/>
          <w:szCs w:val="32"/>
        </w:rPr>
        <w:fldChar w:fldCharType="separate"/>
      </w:r>
      <w:r>
        <w:rPr>
          <w:rFonts w:hint="eastAsia" w:ascii="方正黑体_GBK" w:hAnsi="方正黑体_GBK" w:eastAsia="方正黑体_GBK" w:cs="方正黑体_GBK"/>
          <w:sz w:val="32"/>
          <w:szCs w:val="32"/>
        </w:rPr>
        <w:t>17</w:t>
      </w:r>
      <w:r>
        <w:rPr>
          <w:rFonts w:hint="eastAsia" w:ascii="方正黑体_GBK" w:hAnsi="方正黑体_GBK" w:eastAsia="方正黑体_GBK" w:cs="方正黑体_GBK"/>
          <w:sz w:val="32"/>
          <w:szCs w:val="32"/>
        </w:rPr>
        <w:fldChar w:fldCharType="end"/>
      </w:r>
      <w:r>
        <w:rPr>
          <w:rFonts w:hint="eastAsia" w:ascii="方正黑体_GBK" w:hAnsi="方正黑体_GBK" w:eastAsia="方正黑体_GBK" w:cs="方正黑体_GBK"/>
          <w:sz w:val="32"/>
          <w:szCs w:val="32"/>
        </w:rPr>
        <w:fldChar w:fldCharType="end"/>
      </w:r>
    </w:p>
    <w:p w14:paraId="3E2F1641">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"_Toc19018788"</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一、收入支出决算总表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_Toc19018788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412C9AB6">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"_Toc19018789"</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二、收入决算表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_Toc19018789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5981D080">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"_Toc19018790"</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三、支出决算表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_Toc19018790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2E195CE4">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"_Toc19018791"</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四、财政拨款收入支出决算总表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_Toc19018791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65BEBC77">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"_Toc19018792"</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五、财政拨款支出决算明细表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_Toc19018792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7B38D4D5">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"_Toc19018793"</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六、一般公共预算财政拨款支出决算表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_Toc19018793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1559C059">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"_Toc19018794"</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七、一般公共预算财政拨款支出决算明细表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_Toc19018794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26FE20D4">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"_Toc19018795"</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八、一般公共预算财政拨款基本支出决算表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_Toc19018795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62343EC4">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"_Toc19018796"</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九、一般公共预算财政拨款项目支出决算表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_Toc19018796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284DE890">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"_Toc19018797"</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十、政府性基金预算财政拨款收入支出决算表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_Toc19018797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2A8FAE93">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"_Toc19018798"</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十一、国有资本经营预算财政拨款收入支出决算表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_Toc19018798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1EF113BE">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"_Toc19018799"</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十二、国有资本经营预算财政拨款支出决算表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_Toc19018799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0280A4C5">
      <w:pPr>
        <w:pStyle w:val="14"/>
        <w:pageBreakBefore w:val="0"/>
        <w:widowControl w:val="0"/>
        <w:tabs>
          <w:tab w:val="right" w:leader="dot" w:pos="8306"/>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Hyperlink \l "_Toc19018800"</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bCs/>
          <w:kern w:val="2"/>
          <w:sz w:val="32"/>
          <w:szCs w:val="32"/>
          <w:lang w:val="en-US" w:eastAsia="zh-CN" w:bidi="ar-SA"/>
        </w:rPr>
        <w:t>十三、财政拨款“三公”经费支出决算表</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PageRef _Toc19018800 \h</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17</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fldChar w:fldCharType="end"/>
      </w:r>
    </w:p>
    <w:p w14:paraId="11A5F3C4">
      <w:pPr>
        <w:pStyle w:val="13"/>
        <w:pageBreakBefore w:val="0"/>
        <w:widowControl w:val="0"/>
        <w:tabs>
          <w:tab w:val="right" w:leader="dot" w:pos="8306"/>
        </w:tabs>
        <w:spacing w:beforeAutospacing="0" w:afterAutospacing="0" w:line="560" w:lineRule="exact"/>
        <w:rPr>
          <w:rFonts w:ascii="Times New Roman" w:hAnsi="Times New Roman"/>
          <w:color w:val="auto"/>
          <w:highlight w:val="none"/>
        </w:rPr>
      </w:pPr>
      <w:r>
        <w:rPr>
          <w:rFonts w:ascii="Times New Roman" w:hAnsi="Times New Roman"/>
          <w:color w:val="auto"/>
          <w:highlight w:val="none"/>
        </w:rPr>
        <w:fldChar w:fldCharType="end"/>
      </w:r>
    </w:p>
    <w:p w14:paraId="4E6731B1">
      <w:pPr>
        <w:keepNext w:val="0"/>
        <w:keepLines w:val="0"/>
        <w:pageBreakBefore w:val="0"/>
        <w:widowControl w:val="0"/>
        <w:suppressLineNumbers w:val="0"/>
        <w:suppressAutoHyphens w:val="0"/>
      </w:pPr>
    </w:p>
    <w:p w14:paraId="1FD2BF49">
      <w:pPr>
        <w:pStyle w:val="2"/>
        <w:keepNext w:val="0"/>
        <w:keepLines w:val="0"/>
        <w:pageBreakBefore w:val="0"/>
        <w:widowControl w:val="0"/>
        <w:suppressLineNumbers w:val="0"/>
        <w:suppressAutoHyphens w:val="0"/>
      </w:pPr>
    </w:p>
    <w:p w14:paraId="674E8AC4">
      <w:pPr>
        <w:pStyle w:val="3"/>
        <w:keepNext w:val="0"/>
        <w:keepLines w:val="0"/>
        <w:pageBreakBefore w:val="0"/>
        <w:widowControl w:val="0"/>
        <w:suppressLineNumbers w:val="0"/>
        <w:suppressAutoHyphens w:val="0"/>
      </w:pPr>
    </w:p>
    <w:p w14:paraId="4ED8A1E1">
      <w:pPr>
        <w:keepNext w:val="0"/>
        <w:keepLines w:val="0"/>
        <w:pageBreakBefore w:val="0"/>
        <w:widowControl w:val="0"/>
        <w:suppressLineNumbers w:val="0"/>
        <w:suppressAutoHyphens w:val="0"/>
      </w:pPr>
    </w:p>
    <w:p w14:paraId="5E846C10">
      <w:pPr>
        <w:pStyle w:val="2"/>
        <w:keepNext w:val="0"/>
        <w:keepLines w:val="0"/>
        <w:pageBreakBefore w:val="0"/>
        <w:widowControl w:val="0"/>
        <w:suppressLineNumbers w:val="0"/>
        <w:suppressAutoHyphens w:val="0"/>
      </w:pPr>
    </w:p>
    <w:p w14:paraId="42B72BF2">
      <w:pPr>
        <w:pStyle w:val="3"/>
        <w:keepNext w:val="0"/>
        <w:keepLines w:val="0"/>
        <w:pageBreakBefore w:val="0"/>
        <w:widowControl w:val="0"/>
        <w:suppressLineNumbers w:val="0"/>
        <w:suppressAutoHyphens w:val="0"/>
      </w:pPr>
    </w:p>
    <w:p w14:paraId="1D37BB17">
      <w:pPr>
        <w:keepNext w:val="0"/>
        <w:keepLines w:val="0"/>
        <w:pageBreakBefore w:val="0"/>
        <w:widowControl w:val="0"/>
        <w:suppressLineNumbers w:val="0"/>
        <w:suppressAutoHyphens w:val="0"/>
      </w:pPr>
    </w:p>
    <w:p w14:paraId="439074F8">
      <w:pPr>
        <w:pStyle w:val="2"/>
        <w:keepNext w:val="0"/>
        <w:keepLines w:val="0"/>
        <w:pageBreakBefore w:val="0"/>
        <w:widowControl w:val="0"/>
        <w:suppressLineNumbers w:val="0"/>
        <w:suppressAutoHyphens w:val="0"/>
      </w:pPr>
    </w:p>
    <w:p w14:paraId="1298D22A">
      <w:pPr>
        <w:pStyle w:val="3"/>
        <w:keepNext w:val="0"/>
        <w:keepLines w:val="0"/>
        <w:pageBreakBefore w:val="0"/>
        <w:widowControl w:val="0"/>
        <w:suppressLineNumbers w:val="0"/>
        <w:suppressAutoHyphens w:val="0"/>
      </w:pPr>
    </w:p>
    <w:p w14:paraId="1E275900">
      <w:pPr>
        <w:keepNext w:val="0"/>
        <w:keepLines w:val="0"/>
        <w:pageBreakBefore w:val="0"/>
        <w:widowControl w:val="0"/>
        <w:suppressLineNumbers w:val="0"/>
        <w:suppressAutoHyphens w:val="0"/>
      </w:pPr>
    </w:p>
    <w:p w14:paraId="3B72C590">
      <w:pPr>
        <w:pStyle w:val="2"/>
        <w:keepNext w:val="0"/>
        <w:keepLines w:val="0"/>
        <w:pageBreakBefore w:val="0"/>
        <w:widowControl w:val="0"/>
        <w:suppressLineNumbers w:val="0"/>
        <w:suppressAutoHyphens w:val="0"/>
      </w:pPr>
    </w:p>
    <w:p w14:paraId="51B64BB7">
      <w:pPr>
        <w:pStyle w:val="3"/>
        <w:keepNext w:val="0"/>
        <w:keepLines w:val="0"/>
        <w:pageBreakBefore w:val="0"/>
        <w:widowControl w:val="0"/>
        <w:suppressLineNumbers w:val="0"/>
        <w:suppressAutoHyphens w:val="0"/>
      </w:pPr>
    </w:p>
    <w:p w14:paraId="05A26E42">
      <w:pPr>
        <w:keepNext w:val="0"/>
        <w:keepLines w:val="0"/>
        <w:pageBreakBefore w:val="0"/>
        <w:widowControl w:val="0"/>
        <w:suppressLineNumbers w:val="0"/>
        <w:suppressAutoHyphens w:val="0"/>
      </w:pPr>
    </w:p>
    <w:p w14:paraId="3C445E13">
      <w:pPr>
        <w:pStyle w:val="2"/>
        <w:keepNext w:val="0"/>
        <w:keepLines w:val="0"/>
        <w:pageBreakBefore w:val="0"/>
        <w:widowControl w:val="0"/>
        <w:suppressLineNumbers w:val="0"/>
        <w:suppressAutoHyphens w:val="0"/>
      </w:pPr>
    </w:p>
    <w:p w14:paraId="5AB108F6">
      <w:pPr>
        <w:pStyle w:val="5"/>
        <w:jc w:val="center"/>
        <w:rPr>
          <w:rStyle w:val="20"/>
          <w:rFonts w:hint="eastAsia" w:ascii="Times New Roman" w:hAnsi="Times New Roman" w:eastAsia="方正小标宋简体" w:cs="方正小标宋简体"/>
          <w:b/>
          <w:bCs w:val="0"/>
          <w:color w:val="auto"/>
          <w:highlight w:val="none"/>
        </w:rPr>
      </w:pPr>
      <w:bookmarkStart w:id="12" w:name="_Toc15396599"/>
      <w:bookmarkStart w:id="13" w:name="_Toc15377196"/>
      <w:bookmarkStart w:id="14" w:name="_Toc10426258"/>
      <w:bookmarkStart w:id="15" w:name="_Toc19018767"/>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0"/>
          <w:rFonts w:hint="eastAsia" w:ascii="Times New Roman" w:hAnsi="Times New Roman" w:eastAsia="方正小标宋简体" w:cs="方正小标宋简体"/>
          <w:b w:val="0"/>
          <w:bCs w:val="0"/>
          <w:color w:val="auto"/>
          <w:highlight w:val="none"/>
        </w:rPr>
        <w:t>部门概况</w:t>
      </w:r>
      <w:bookmarkEnd w:id="12"/>
      <w:bookmarkEnd w:id="13"/>
      <w:bookmarkEnd w:id="14"/>
      <w:bookmarkEnd w:id="15"/>
    </w:p>
    <w:p w14:paraId="4536B090">
      <w:pPr>
        <w:widowControl/>
        <w:jc w:val="left"/>
        <w:rPr>
          <w:rFonts w:ascii="Times New Roman" w:hAnsi="Times New Roman" w:eastAsia="黑体"/>
          <w:color w:val="auto"/>
          <w:sz w:val="32"/>
          <w:szCs w:val="32"/>
          <w:highlight w:val="none"/>
        </w:rPr>
      </w:pPr>
    </w:p>
    <w:p w14:paraId="1037CC8F">
      <w:pPr>
        <w:pStyle w:val="6"/>
        <w:numPr>
          <w:ilvl w:val="0"/>
          <w:numId w:val="1"/>
        </w:numPr>
        <w:rPr>
          <w:rFonts w:ascii="Times New Roman" w:hAnsi="Times New Roman" w:eastAsia="黑体"/>
          <w:b w:val="0"/>
          <w:color w:val="auto"/>
          <w:highlight w:val="none"/>
          <w:lang w:eastAsia="zh-CN"/>
        </w:rPr>
      </w:pPr>
      <w:bookmarkStart w:id="16" w:name="_Toc15377197"/>
      <w:bookmarkEnd w:id="16"/>
      <w:bookmarkStart w:id="17" w:name="_Toc15396600"/>
      <w:bookmarkEnd w:id="17"/>
      <w:bookmarkStart w:id="18" w:name="_Toc10426259"/>
      <w:bookmarkStart w:id="19" w:name="_Toc19018768"/>
      <w:r>
        <w:rPr>
          <w:rFonts w:hint="eastAsia" w:ascii="Times New Roman" w:hAnsi="Times New Roman" w:eastAsia="黑体"/>
          <w:b w:val="0"/>
          <w:color w:val="auto"/>
          <w:highlight w:val="none"/>
          <w:lang w:eastAsia="zh-CN"/>
        </w:rPr>
        <w:t>部门职责</w:t>
      </w:r>
      <w:bookmarkEnd w:id="18"/>
      <w:bookmarkEnd w:id="19"/>
    </w:p>
    <w:p w14:paraId="26E47D2D">
      <w:pPr>
        <w:pStyle w:val="8"/>
        <w:adjustRightInd w:val="0"/>
        <w:snapToGrid w:val="0"/>
        <w:spacing w:before="30" w:beforeLines="0" w:line="600" w:lineRule="exact"/>
        <w:ind w:firstLine="640" w:firstLineChars="200"/>
        <w:rPr>
          <w:sz w:val="32"/>
          <w:szCs w:val="32"/>
        </w:rPr>
      </w:pPr>
      <w:bookmarkStart w:id="20" w:name="_Toc143178750"/>
      <w:bookmarkStart w:id="21" w:name="_Toc176509464"/>
      <w:r>
        <w:rPr>
          <w:rFonts w:hint="eastAsia"/>
          <w:sz w:val="32"/>
          <w:szCs w:val="32"/>
        </w:rPr>
        <w:t>（一）为全市各级机关、企事业单位提供最新建设信息和城市空间定位信息服务，实现数据共享，确保城市规划、建设和管理的有序进行。</w:t>
      </w:r>
      <w:bookmarkEnd w:id="20"/>
      <w:bookmarkEnd w:id="21"/>
    </w:p>
    <w:p w14:paraId="69595BD9">
      <w:pPr>
        <w:pStyle w:val="8"/>
        <w:adjustRightInd w:val="0"/>
        <w:snapToGrid w:val="0"/>
        <w:spacing w:before="30" w:beforeLines="0" w:line="600" w:lineRule="exact"/>
        <w:ind w:firstLine="640" w:firstLineChars="200"/>
        <w:rPr>
          <w:sz w:val="32"/>
          <w:szCs w:val="32"/>
        </w:rPr>
      </w:pPr>
      <w:bookmarkStart w:id="22" w:name="_Toc143178751"/>
      <w:bookmarkStart w:id="23" w:name="_Toc176509465"/>
      <w:r>
        <w:rPr>
          <w:rFonts w:hint="eastAsia"/>
          <w:sz w:val="32"/>
          <w:szCs w:val="32"/>
        </w:rPr>
        <w:t>（二）负责城市空间定位信息数据库系统的实时更新、调整及日常维护等工作。</w:t>
      </w:r>
      <w:bookmarkEnd w:id="22"/>
      <w:bookmarkEnd w:id="23"/>
    </w:p>
    <w:p w14:paraId="24A6EDD9">
      <w:pPr>
        <w:ind w:firstLine="640" w:firstLineChars="200"/>
        <w:rPr>
          <w:rFonts w:ascii="仿宋_GB2312" w:eastAsia="仿宋_GB2312"/>
          <w:sz w:val="32"/>
          <w:szCs w:val="32"/>
        </w:rPr>
      </w:pPr>
      <w:r>
        <w:rPr>
          <w:rFonts w:hint="eastAsia" w:ascii="仿宋_GB2312" w:eastAsia="仿宋_GB2312"/>
          <w:sz w:val="32"/>
          <w:szCs w:val="32"/>
        </w:rPr>
        <w:t>（三）负责全市基础地理信息的汇集、加工、处理和集成。</w:t>
      </w:r>
    </w:p>
    <w:p w14:paraId="7491B8DB">
      <w:pPr>
        <w:ind w:firstLine="640" w:firstLineChars="200"/>
        <w:rPr>
          <w:rFonts w:ascii="仿宋_GB2312" w:eastAsia="仿宋_GB2312"/>
          <w:sz w:val="32"/>
          <w:szCs w:val="32"/>
        </w:rPr>
      </w:pPr>
      <w:r>
        <w:rPr>
          <w:rFonts w:hint="eastAsia" w:ascii="仿宋_GB2312" w:eastAsia="仿宋_GB2312"/>
          <w:sz w:val="32"/>
          <w:szCs w:val="32"/>
        </w:rPr>
        <w:t>（四）负责城市基础空间定位信息系统的安全保密工作。</w:t>
      </w:r>
    </w:p>
    <w:p w14:paraId="272D40D8">
      <w:pPr>
        <w:rPr>
          <w:rFonts w:hint="eastAsia"/>
        </w:rPr>
      </w:pPr>
      <w:r>
        <w:rPr>
          <w:rFonts w:hint="eastAsia" w:ascii="仿宋_GB2312" w:eastAsia="仿宋_GB2312"/>
          <w:sz w:val="32"/>
          <w:szCs w:val="32"/>
        </w:rPr>
        <w:t>（五）统筹我市对遥感影像的需求，制定年度计划；组织我市遥感影像获取与加工处理工作；负责我市遥感影像统筹服务平台的运行维护，及时更新遥感影像数据库，保持遥感影像数据与省市同步更新，为市内各遥感影像应用行业提供影像资源，建立共享机制。</w:t>
      </w:r>
    </w:p>
    <w:p w14:paraId="3C6927E8">
      <w:pPr>
        <w:pStyle w:val="6"/>
        <w:rPr>
          <w:rStyle w:val="21"/>
          <w:rFonts w:ascii="Times New Roman" w:hAnsi="Times New Roman"/>
          <w:b w:val="0"/>
          <w:bCs w:val="0"/>
          <w:color w:val="auto"/>
          <w:highlight w:val="none"/>
        </w:rPr>
      </w:pPr>
      <w:bookmarkStart w:id="24" w:name="_Toc15377200"/>
      <w:bookmarkStart w:id="25" w:name="_Toc10426260"/>
      <w:bookmarkStart w:id="26" w:name="_Toc19018769"/>
      <w:bookmarkStart w:id="27" w:name="_Toc15396601"/>
      <w:r>
        <w:rPr>
          <w:rFonts w:hint="eastAsia" w:ascii="Times New Roman" w:hAnsi="Times New Roman" w:eastAsia="黑体"/>
          <w:b w:val="0"/>
          <w:color w:val="auto"/>
          <w:highlight w:val="none"/>
        </w:rPr>
        <w:t>二、机</w:t>
      </w:r>
      <w:r>
        <w:rPr>
          <w:rStyle w:val="21"/>
          <w:rFonts w:hint="eastAsia" w:ascii="Times New Roman" w:hAnsi="Times New Roman" w:eastAsia="黑体"/>
          <w:b w:val="0"/>
          <w:bCs w:val="0"/>
          <w:color w:val="auto"/>
          <w:highlight w:val="none"/>
        </w:rPr>
        <w:t>构设置</w:t>
      </w:r>
      <w:bookmarkEnd w:id="24"/>
      <w:bookmarkEnd w:id="25"/>
      <w:bookmarkEnd w:id="26"/>
      <w:bookmarkEnd w:id="27"/>
    </w:p>
    <w:p w14:paraId="3A43CE5B">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攀枝花市地理信息中心</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ascii="Times New Roman" w:hAnsi="Times New Roman" w:eastAsia="仿宋_GB2312" w:cs="仿宋_GB2312"/>
          <w:color w:val="auto"/>
          <w:sz w:val="32"/>
          <w:szCs w:val="32"/>
          <w:highlight w:val="none"/>
        </w:rPr>
        <w:t>0</w:t>
      </w:r>
      <w:r>
        <w:rPr>
          <w:rFonts w:hint="eastAsia" w:ascii="Times New Roman" w:hAnsi="Times New Roman" w:eastAsia="仿宋_GB2312" w:cs="仿宋_GB2312"/>
          <w:color w:val="auto"/>
          <w:sz w:val="32"/>
          <w:szCs w:val="32"/>
          <w:highlight w:val="none"/>
        </w:rPr>
        <w:t>个，其中行政单位</w:t>
      </w:r>
      <w:r>
        <w:rPr>
          <w:rFonts w:ascii="Times New Roman" w:hAnsi="Times New Roman" w:eastAsia="仿宋_GB2312" w:cs="仿宋_GB2312"/>
          <w:color w:val="auto"/>
          <w:sz w:val="32"/>
          <w:szCs w:val="32"/>
          <w:highlight w:val="none"/>
        </w:rPr>
        <w:t>0</w:t>
      </w:r>
      <w:r>
        <w:rPr>
          <w:rFonts w:hint="eastAsia" w:ascii="Times New Roman" w:hAnsi="Times New Roman" w:eastAsia="仿宋_GB2312" w:cs="仿宋_GB2312"/>
          <w:color w:val="auto"/>
          <w:sz w:val="32"/>
          <w:szCs w:val="32"/>
          <w:highlight w:val="none"/>
        </w:rPr>
        <w:t>个，参照公务员法管理的事业单位</w:t>
      </w:r>
      <w:r>
        <w:rPr>
          <w:rFonts w:ascii="Times New Roman" w:hAnsi="Times New Roman" w:eastAsia="仿宋_GB2312" w:cs="仿宋_GB2312"/>
          <w:bCs/>
          <w:color w:val="auto"/>
          <w:sz w:val="32"/>
          <w:szCs w:val="32"/>
          <w:highlight w:val="none"/>
        </w:rPr>
        <w:t>0</w:t>
      </w:r>
      <w:r>
        <w:rPr>
          <w:rFonts w:hint="eastAsia" w:ascii="Times New Roman" w:hAnsi="Times New Roman" w:eastAsia="仿宋_GB2312" w:cs="仿宋_GB2312"/>
          <w:color w:val="auto"/>
          <w:sz w:val="32"/>
          <w:szCs w:val="32"/>
          <w:highlight w:val="none"/>
        </w:rPr>
        <w:t>个，其他事业单位</w:t>
      </w:r>
      <w:r>
        <w:rPr>
          <w:rFonts w:ascii="Times New Roman" w:hAnsi="Times New Roman" w:eastAsia="仿宋_GB2312" w:cs="仿宋_GB2312"/>
          <w:color w:val="auto"/>
          <w:sz w:val="32"/>
          <w:szCs w:val="32"/>
          <w:highlight w:val="none"/>
        </w:rPr>
        <w:t>0</w:t>
      </w:r>
      <w:r>
        <w:rPr>
          <w:rFonts w:hint="eastAsia" w:ascii="Times New Roman" w:hAnsi="Times New Roman" w:eastAsia="仿宋_GB2312" w:cs="仿宋_GB2312"/>
          <w:color w:val="auto"/>
          <w:sz w:val="32"/>
          <w:szCs w:val="32"/>
          <w:highlight w:val="none"/>
        </w:rPr>
        <w:t>个。</w:t>
      </w:r>
    </w:p>
    <w:p w14:paraId="0B91B05B">
      <w:pPr>
        <w:widowControl/>
        <w:jc w:val="left"/>
        <w:rPr>
          <w:rFonts w:ascii="Times New Roman" w:hAnsi="Times New Roman" w:eastAsia="仿宋"/>
          <w:color w:val="auto"/>
          <w:kern w:val="0"/>
          <w:sz w:val="32"/>
          <w:szCs w:val="32"/>
          <w:highlight w:val="none"/>
        </w:rPr>
      </w:pPr>
    </w:p>
    <w:p w14:paraId="384F7634">
      <w:pPr>
        <w:pStyle w:val="2"/>
        <w:jc w:val="left"/>
      </w:pPr>
    </w:p>
    <w:p w14:paraId="26F73F12">
      <w:pPr>
        <w:pStyle w:val="3"/>
        <w:jc w:val="both"/>
      </w:pPr>
    </w:p>
    <w:p w14:paraId="10866AE2"/>
    <w:p w14:paraId="7F5BDB41">
      <w:pPr>
        <w:pStyle w:val="2"/>
      </w:pPr>
    </w:p>
    <w:p w14:paraId="127DB4BE">
      <w:pPr>
        <w:pStyle w:val="3"/>
      </w:pPr>
    </w:p>
    <w:p w14:paraId="7D654277"/>
    <w:p w14:paraId="13B90632">
      <w:pPr>
        <w:pStyle w:val="2"/>
      </w:pPr>
    </w:p>
    <w:p w14:paraId="4D818ABD">
      <w:pPr>
        <w:pStyle w:val="3"/>
      </w:pPr>
    </w:p>
    <w:p w14:paraId="37495116"/>
    <w:p w14:paraId="13B141A6">
      <w:pPr>
        <w:pStyle w:val="2"/>
      </w:pPr>
    </w:p>
    <w:p w14:paraId="0438A4E7">
      <w:pPr>
        <w:pStyle w:val="3"/>
      </w:pPr>
    </w:p>
    <w:p w14:paraId="6CD4B22E"/>
    <w:p w14:paraId="19F94AD0">
      <w:pPr>
        <w:pStyle w:val="2"/>
      </w:pPr>
    </w:p>
    <w:p w14:paraId="2AD196CD">
      <w:pPr>
        <w:pStyle w:val="3"/>
      </w:pPr>
    </w:p>
    <w:p w14:paraId="3F537AD9"/>
    <w:p w14:paraId="5917AA10">
      <w:pPr>
        <w:pStyle w:val="2"/>
      </w:pPr>
    </w:p>
    <w:p w14:paraId="620249BD">
      <w:pPr>
        <w:pStyle w:val="3"/>
      </w:pPr>
    </w:p>
    <w:p w14:paraId="711062CA"/>
    <w:p w14:paraId="0A4FD7AB">
      <w:pPr>
        <w:pStyle w:val="2"/>
      </w:pPr>
    </w:p>
    <w:p w14:paraId="2F16080A">
      <w:pPr>
        <w:pStyle w:val="3"/>
      </w:pPr>
    </w:p>
    <w:p w14:paraId="277F6901"/>
    <w:p w14:paraId="6E001C6C">
      <w:pPr>
        <w:pStyle w:val="2"/>
      </w:pPr>
    </w:p>
    <w:p w14:paraId="54006CFA">
      <w:pPr>
        <w:pStyle w:val="3"/>
      </w:pPr>
    </w:p>
    <w:p w14:paraId="58428DC2"/>
    <w:p w14:paraId="42611256">
      <w:pPr>
        <w:pStyle w:val="2"/>
      </w:pPr>
    </w:p>
    <w:p w14:paraId="067B27EE">
      <w:pPr>
        <w:pStyle w:val="3"/>
      </w:pPr>
    </w:p>
    <w:p w14:paraId="614C1FB0"/>
    <w:p w14:paraId="50219E69">
      <w:pPr>
        <w:pStyle w:val="2"/>
      </w:pPr>
    </w:p>
    <w:p w14:paraId="0504109C">
      <w:pPr>
        <w:pStyle w:val="3"/>
      </w:pPr>
    </w:p>
    <w:p w14:paraId="159D2236"/>
    <w:p w14:paraId="028694D1">
      <w:pPr>
        <w:pStyle w:val="2"/>
      </w:pPr>
    </w:p>
    <w:p w14:paraId="32E9D7EE">
      <w:pPr>
        <w:pStyle w:val="3"/>
      </w:pPr>
    </w:p>
    <w:p w14:paraId="6A8105EE"/>
    <w:p w14:paraId="36C1C9D7">
      <w:pPr>
        <w:pStyle w:val="2"/>
      </w:pPr>
    </w:p>
    <w:p w14:paraId="05BF3940">
      <w:pPr>
        <w:pStyle w:val="3"/>
      </w:pPr>
    </w:p>
    <w:p w14:paraId="2CB07671"/>
    <w:p w14:paraId="71CAAC6D">
      <w:pPr>
        <w:pStyle w:val="5"/>
        <w:jc w:val="center"/>
        <w:rPr>
          <w:rFonts w:hint="eastAsia" w:ascii="Times New Roman" w:hAnsi="Times New Roman" w:eastAsia="方正小标宋简体" w:cs="方正小标宋简体"/>
          <w:b w:val="0"/>
          <w:color w:val="auto"/>
          <w:highlight w:val="none"/>
        </w:rPr>
      </w:pPr>
      <w:bookmarkStart w:id="28" w:name="_Toc15396602"/>
      <w:bookmarkStart w:id="29" w:name="_Toc19018770"/>
      <w:bookmarkStart w:id="30" w:name="_Toc15377204"/>
      <w:bookmarkStart w:id="31" w:name="_Toc10426261"/>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eastAsia="方正小标宋简体" w:cs="方正小标宋简体"/>
          <w:b w:val="0"/>
          <w:color w:val="auto"/>
          <w:highlight w:val="none"/>
          <w:lang w:val="en-US" w:eastAsia="zh-CN"/>
        </w:rPr>
        <w:t>2025年度</w:t>
      </w:r>
      <w:r>
        <w:rPr>
          <w:rFonts w:hint="eastAsia" w:ascii="Times New Roman" w:hAnsi="Times New Roman" w:eastAsia="方正小标宋简体" w:cs="方正小标宋简体"/>
          <w:b w:val="0"/>
          <w:color w:val="auto"/>
          <w:highlight w:val="none"/>
        </w:rPr>
        <w:t>部门决算情况说明</w:t>
      </w:r>
      <w:bookmarkEnd w:id="28"/>
      <w:bookmarkEnd w:id="29"/>
      <w:bookmarkEnd w:id="30"/>
      <w:bookmarkEnd w:id="31"/>
    </w:p>
    <w:p w14:paraId="2E60A9C8">
      <w:pPr>
        <w:rPr>
          <w:rFonts w:ascii="Times New Roman" w:hAnsi="Times New Roman"/>
          <w:color w:val="auto"/>
          <w:highlight w:val="none"/>
        </w:rPr>
      </w:pPr>
    </w:p>
    <w:p w14:paraId="167B1DC7">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bookmarkStart w:id="32" w:name="_Toc15396603"/>
      <w:bookmarkStart w:id="33" w:name="_Toc15377205"/>
      <w:bookmarkStart w:id="34" w:name="_Toc19018771"/>
      <w:bookmarkStart w:id="35" w:name="_Toc10426262"/>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1"/>
          <w:rFonts w:hint="eastAsia" w:ascii="Times New Roman" w:hAnsi="Times New Roman" w:eastAsia="黑体"/>
          <w:b w:val="0"/>
          <w:color w:val="auto"/>
          <w:highlight w:val="none"/>
        </w:rPr>
        <w:t>入支出决算总体情况说明</w:t>
      </w:r>
      <w:bookmarkEnd w:id="32"/>
      <w:bookmarkEnd w:id="33"/>
      <w:bookmarkEnd w:id="34"/>
      <w:bookmarkEnd w:id="35"/>
    </w:p>
    <w:p w14:paraId="4D102C0C">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eastAsia="仿宋_GB2312" w:cs="仿宋_GB2312"/>
          <w:sz w:val="32"/>
          <w:szCs w:val="32"/>
        </w:rPr>
      </w:pPr>
      <w:bookmarkStart w:id="36" w:name="_Toc10426301"/>
      <w:bookmarkStart w:id="37" w:name="_Toc19018772"/>
      <w:bookmarkStart w:id="38" w:name="_Toc10426263"/>
      <w:r>
        <w:rPr>
          <w:rFonts w:hint="eastAsia" w:eastAsia="仿宋_GB2312"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265.33</w:t>
      </w:r>
      <w:r>
        <w:rPr>
          <w:rFonts w:hint="eastAsia" w:ascii="Times New Roman" w:hAnsi="Times New Roman" w:eastAsia="仿宋_GB2312" w:cs="仿宋_GB2312"/>
          <w:color w:val="auto"/>
          <w:sz w:val="32"/>
          <w:szCs w:val="32"/>
          <w:highlight w:val="none"/>
        </w:rPr>
        <w:t>万元。与</w:t>
      </w:r>
      <w:r>
        <w:rPr>
          <w:rFonts w:hint="eastAsia" w:eastAsia="仿宋_GB2312" w:cs="仿宋_GB2312"/>
          <w:color w:val="auto"/>
          <w:sz w:val="32"/>
          <w:szCs w:val="32"/>
          <w:highlight w:val="none"/>
          <w:lang w:eastAsia="zh-CN"/>
        </w:rPr>
        <w:t>上</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ascii="仿宋_GB2312" w:hAnsi="仿宋_GB2312" w:eastAsia="仿宋_GB2312" w:cs="仿宋_GB2312"/>
          <w:sz w:val="32"/>
          <w:szCs w:val="32"/>
        </w:rPr>
        <w:t>141.54</w:t>
      </w:r>
      <w:r>
        <w:rPr>
          <w:rFonts w:hint="eastAsia" w:eastAsia="仿宋_GB2312" w:cs="仿宋_GB2312"/>
          <w:sz w:val="32"/>
          <w:szCs w:val="32"/>
        </w:rPr>
        <w:t>万元，下降</w:t>
      </w:r>
      <w:r>
        <w:rPr>
          <w:rFonts w:hint="eastAsia" w:ascii="方正仿宋_GBK" w:hAnsi="方正仿宋_GBK" w:eastAsia="方正仿宋_GBK" w:cs="方正仿宋_GBK"/>
          <w:sz w:val="32"/>
          <w:szCs w:val="32"/>
        </w:rPr>
        <w:t>35%</w:t>
      </w:r>
      <w:r>
        <w:rPr>
          <w:rFonts w:hint="eastAsia" w:eastAsia="仿宋_GB2312" w:cs="仿宋_GB2312"/>
          <w:sz w:val="32"/>
          <w:szCs w:val="32"/>
        </w:rPr>
        <w:t>。主要变动原因是</w:t>
      </w:r>
      <w:r>
        <w:rPr>
          <w:rFonts w:eastAsia="仿宋_GB2312" w:cs="仿宋_GB2312"/>
          <w:sz w:val="32"/>
          <w:szCs w:val="32"/>
        </w:rPr>
        <w:t>项目预算减少。</w:t>
      </w:r>
      <w:bookmarkEnd w:id="36"/>
      <w:bookmarkEnd w:id="37"/>
      <w:bookmarkEnd w:id="38"/>
    </w:p>
    <w:p w14:paraId="7BF1AB72">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eastAsia="仿宋_GB2312" w:cs="仿宋_GB2312"/>
          <w:sz w:val="32"/>
          <w:szCs w:val="32"/>
        </w:rPr>
      </w:pPr>
    </w:p>
    <w:p w14:paraId="532FFEE0">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eastAsia="仿宋_GB2312" w:cs="仿宋_GB2312"/>
          <w:sz w:val="32"/>
          <w:szCs w:val="32"/>
        </w:rPr>
      </w:pPr>
    </w:p>
    <w:p w14:paraId="252EA0B6">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eastAsia="仿宋_GB2312" w:cs="仿宋_GB2312"/>
          <w:sz w:val="32"/>
          <w:szCs w:val="32"/>
        </w:rPr>
      </w:pPr>
    </w:p>
    <w:p w14:paraId="497B3E8F">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eastAsia="仿宋_GB2312" w:cs="仿宋_GB2312"/>
          <w:sz w:val="32"/>
          <w:szCs w:val="32"/>
        </w:rPr>
      </w:pPr>
    </w:p>
    <w:p w14:paraId="0E0AAA20">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eastAsia="仿宋_GB2312" w:cs="仿宋_GB2312"/>
          <w:sz w:val="32"/>
          <w:szCs w:val="32"/>
        </w:rPr>
      </w:pPr>
    </w:p>
    <w:p w14:paraId="178B8422">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eastAsia="仿宋_GB2312" w:cs="仿宋_GB2312"/>
          <w:sz w:val="32"/>
          <w:szCs w:val="32"/>
        </w:rPr>
      </w:pPr>
    </w:p>
    <w:p w14:paraId="4CC1D055">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eastAsia="仿宋_GB2312" w:cs="仿宋_GB2312"/>
          <w:sz w:val="32"/>
          <w:szCs w:val="32"/>
        </w:rPr>
      </w:pPr>
    </w:p>
    <w:p w14:paraId="06464D4E">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eastAsia="仿宋_GB2312" w:cs="仿宋_GB2312"/>
          <w:sz w:val="32"/>
          <w:szCs w:val="32"/>
        </w:rPr>
      </w:pPr>
    </w:p>
    <w:p w14:paraId="056F517D">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eastAsia="仿宋_GB2312" w:cs="仿宋_GB2312"/>
          <w:sz w:val="32"/>
          <w:szCs w:val="32"/>
        </w:rPr>
      </w:pPr>
    </w:p>
    <w:p w14:paraId="41D53AEA">
      <w:pPr>
        <w:pStyle w:val="28"/>
        <w:keepNext w:val="0"/>
        <w:keepLines w:val="0"/>
        <w:pageBreakBefore w:val="0"/>
        <w:widowControl w:val="0"/>
        <w:kinsoku/>
        <w:wordWrap/>
        <w:overflowPunct/>
        <w:topLinePunct w:val="0"/>
        <w:autoSpaceDE/>
        <w:autoSpaceDN/>
        <w:adjustRightInd/>
        <w:snapToGrid/>
        <w:spacing w:line="600" w:lineRule="exact"/>
        <w:ind w:left="0" w:firstLine="640" w:firstLineChars="200"/>
        <w:outlineLvl w:val="1"/>
        <w:rPr>
          <w:rFonts w:hint="eastAsia" w:ascii="Times New Roman" w:hAnsi="Times New Roman" w:eastAsia="仿宋_GB2312" w:cs="仿宋_GB2312"/>
          <w:color w:val="auto"/>
          <w:sz w:val="32"/>
          <w:szCs w:val="32"/>
          <w:highlight w:val="none"/>
        </w:rPr>
      </w:pPr>
      <w:r>
        <w:rPr>
          <w:rFonts w:eastAsia="仿宋_GB2312" w:cs="仿宋_GB2312"/>
          <w:sz w:val="32"/>
          <w:szCs w:val="32"/>
        </w:rPr>
        <w:drawing>
          <wp:anchor distT="0" distB="0" distL="0" distR="0" simplePos="0" relativeHeight="251659264" behindDoc="0" locked="0" layoutInCell="1" allowOverlap="1">
            <wp:simplePos x="0" y="0"/>
            <wp:positionH relativeFrom="column">
              <wp:posOffset>406400</wp:posOffset>
            </wp:positionH>
            <wp:positionV relativeFrom="paragraph">
              <wp:posOffset>-3152775</wp:posOffset>
            </wp:positionV>
            <wp:extent cx="5274310" cy="3076575"/>
            <wp:effectExtent l="5080" t="4445" r="16510" b="5080"/>
            <wp:wrapTight wrapText="bothSides">
              <wp:wrapPolygon>
                <wp:start x="0" y="0"/>
                <wp:lineTo x="0" y="21600"/>
                <wp:lineTo x="21600" y="21600"/>
                <wp:lineTo x="21600" y="0"/>
                <wp:lineTo x="0" y="0"/>
              </wp:wrapPolygon>
            </wp:wrapTight>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430921E">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bookmarkStart w:id="39" w:name="_Toc10426264"/>
      <w:bookmarkStart w:id="40" w:name="_Toc15377206"/>
      <w:bookmarkStart w:id="41" w:name="_Toc15396604"/>
      <w:bookmarkStart w:id="42" w:name="_Toc19018773"/>
      <w:r>
        <w:rPr>
          <w:rFonts w:hint="eastAsia" w:ascii="Times New Roman" w:hAnsi="Times New Roman" w:eastAsia="黑体"/>
          <w:color w:val="auto"/>
          <w:sz w:val="32"/>
          <w:szCs w:val="32"/>
          <w:highlight w:val="none"/>
          <w:lang w:eastAsia="zh-CN"/>
        </w:rPr>
        <w:t>二、收入决算情况说明</w:t>
      </w:r>
      <w:bookmarkEnd w:id="39"/>
      <w:bookmarkEnd w:id="40"/>
      <w:bookmarkEnd w:id="41"/>
      <w:bookmarkEnd w:id="42"/>
    </w:p>
    <w:p w14:paraId="622AD1B3">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方正仿宋_GBK" w:hAnsi="方正仿宋_GBK" w:eastAsia="方正仿宋_GBK" w:cs="方正仿宋_GBK"/>
          <w:color w:val="auto"/>
          <w:sz w:val="32"/>
          <w:szCs w:val="32"/>
          <w:highlight w:val="none"/>
          <w:lang w:eastAsia="zh-CN"/>
        </w:rPr>
      </w:pPr>
      <w:bookmarkStart w:id="43" w:name="_Toc10426265"/>
      <w:bookmarkStart w:id="44" w:name="_Toc19018774"/>
      <w:bookmarkStart w:id="45" w:name="_Toc10426303"/>
      <w:r>
        <w:rPr>
          <w:rFonts w:hint="eastAsia" w:ascii="方正仿宋_GBK" w:hAnsi="方正仿宋_GBK" w:eastAsia="方正仿宋_GBK" w:cs="方正仿宋_GBK"/>
          <w:color w:val="auto"/>
          <w:sz w:val="32"/>
          <w:szCs w:val="32"/>
          <w:highlight w:val="none"/>
          <w:lang w:eastAsia="zh-CN"/>
        </w:rPr>
        <w:t>2025</w:t>
      </w:r>
      <w:r>
        <w:rPr>
          <w:rFonts w:hint="eastAsia" w:eastAsia="仿宋_GB2312" w:cs="仿宋_GB2312"/>
          <w:color w:val="auto"/>
          <w:sz w:val="32"/>
          <w:szCs w:val="32"/>
          <w:highlight w:val="none"/>
          <w:lang w:eastAsia="zh-CN"/>
        </w:rPr>
        <w:t>年度</w:t>
      </w:r>
      <w:r>
        <w:rPr>
          <w:rFonts w:hint="eastAsia" w:ascii="Times New Roman" w:hAnsi="Times New Roman" w:eastAsia="仿宋_GB2312" w:cs="仿宋_GB2312"/>
          <w:color w:val="auto"/>
          <w:sz w:val="32"/>
          <w:szCs w:val="32"/>
          <w:highlight w:val="none"/>
          <w:lang w:eastAsia="zh-CN"/>
        </w:rPr>
        <w:t>本年收入合计</w:t>
      </w:r>
      <w:r>
        <w:rPr>
          <w:rFonts w:hint="eastAsia" w:ascii="仿宋_GB2312" w:hAnsi="仿宋_GB2312" w:eastAsia="仿宋_GB2312" w:cs="仿宋_GB2312"/>
          <w:sz w:val="32"/>
          <w:szCs w:val="32"/>
        </w:rPr>
        <w:t>265.33</w:t>
      </w:r>
      <w:r>
        <w:rPr>
          <w:rFonts w:hint="eastAsia" w:ascii="Times New Roman" w:hAnsi="Times New Roman" w:eastAsia="仿宋_GB2312" w:cs="仿宋_GB2312"/>
          <w:color w:val="auto"/>
          <w:sz w:val="32"/>
          <w:szCs w:val="32"/>
          <w:highlight w:val="none"/>
          <w:lang w:eastAsia="zh-CN"/>
        </w:rPr>
        <w:t>万元，其中：一般公共预算财政拨款收入</w:t>
      </w:r>
      <w:r>
        <w:rPr>
          <w:rFonts w:hint="eastAsia" w:ascii="仿宋_GB2312" w:hAnsi="仿宋_GB2312" w:eastAsia="仿宋_GB2312" w:cs="仿宋_GB2312"/>
          <w:sz w:val="32"/>
          <w:szCs w:val="32"/>
        </w:rPr>
        <w:t>265.33</w:t>
      </w:r>
      <w:r>
        <w:rPr>
          <w:rFonts w:hint="eastAsia" w:ascii="Times New Roman" w:hAnsi="Times New Roman" w:eastAsia="仿宋_GB2312" w:cs="仿宋_GB2312"/>
          <w:color w:val="auto"/>
          <w:sz w:val="32"/>
          <w:szCs w:val="32"/>
          <w:highlight w:val="none"/>
          <w:lang w:eastAsia="zh-CN"/>
        </w:rPr>
        <w:t>万元，</w:t>
      </w:r>
      <w:r>
        <w:rPr>
          <w:rFonts w:hint="eastAsia" w:ascii="方正仿宋_GBK" w:hAnsi="方正仿宋_GBK" w:eastAsia="方正仿宋_GBK" w:cs="方正仿宋_GBK"/>
          <w:color w:val="auto"/>
          <w:sz w:val="32"/>
          <w:szCs w:val="32"/>
          <w:highlight w:val="none"/>
          <w:lang w:eastAsia="zh-CN"/>
        </w:rPr>
        <w:t>占</w:t>
      </w:r>
      <w:r>
        <w:rPr>
          <w:rFonts w:hint="eastAsia" w:ascii="方正仿宋_GBK" w:hAnsi="方正仿宋_GBK" w:eastAsia="方正仿宋_GBK" w:cs="方正仿宋_GBK"/>
          <w:sz w:val="32"/>
          <w:szCs w:val="32"/>
        </w:rPr>
        <w:t>100</w:t>
      </w:r>
      <w:r>
        <w:rPr>
          <w:rFonts w:hint="eastAsia" w:ascii="方正仿宋_GBK" w:hAnsi="方正仿宋_GBK" w:eastAsia="方正仿宋_GBK" w:cs="方正仿宋_GBK"/>
          <w:color w:val="auto"/>
          <w:sz w:val="32"/>
          <w:szCs w:val="32"/>
          <w:highlight w:val="none"/>
          <w:lang w:eastAsia="zh-CN"/>
        </w:rPr>
        <w:t>%；政府性基金预算财政拨款收入</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万元，占</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%；国有资本经营预算财政拨款收入</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万元，占</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%；上级补助收入</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万元，占</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%；事业收入</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万元，占</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%；经营收入</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万元，占</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%；附属单位上缴收入</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万元，占</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%；其他收入</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万元，占</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w:t>
      </w:r>
      <w:bookmarkEnd w:id="43"/>
      <w:bookmarkEnd w:id="44"/>
      <w:bookmarkEnd w:id="45"/>
    </w:p>
    <w:p w14:paraId="7E6DD34B">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ascii="Times New Roman" w:hAnsi="Times New Roman" w:eastAsia="仿宋_GB2312" w:cs="仿宋_GB2312"/>
          <w:color w:val="auto"/>
          <w:sz w:val="32"/>
          <w:szCs w:val="32"/>
          <w:highlight w:val="none"/>
          <w:lang w:eastAsia="zh-CN"/>
        </w:rPr>
      </w:pPr>
      <w:bookmarkStart w:id="46" w:name="_Toc176509471"/>
      <w:bookmarkStart w:id="47" w:name="_Toc143178757"/>
      <w:r>
        <w:rPr>
          <w:rFonts w:ascii="Times New Roman" w:hAnsi="Times New Roman" w:eastAsia="仿宋_GB2312" w:cs="仿宋_GB2312"/>
          <w:color w:val="auto"/>
          <w:sz w:val="32"/>
          <w:szCs w:val="32"/>
          <w:highlight w:val="none"/>
          <w:lang w:eastAsia="zh-CN"/>
        </w:rPr>
        <w:drawing>
          <wp:anchor distT="0" distB="0" distL="114300" distR="114300" simplePos="0" relativeHeight="251659264" behindDoc="1" locked="0" layoutInCell="1" allowOverlap="1">
            <wp:simplePos x="0" y="0"/>
            <wp:positionH relativeFrom="column">
              <wp:posOffset>95250</wp:posOffset>
            </wp:positionH>
            <wp:positionV relativeFrom="paragraph">
              <wp:posOffset>95250</wp:posOffset>
            </wp:positionV>
            <wp:extent cx="5273040" cy="3368040"/>
            <wp:effectExtent l="4445" t="4445" r="18415" b="18415"/>
            <wp:wrapNone/>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End w:id="46"/>
      <w:bookmarkEnd w:id="47"/>
    </w:p>
    <w:p w14:paraId="7188B9CC">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ascii="Times New Roman" w:hAnsi="Times New Roman" w:eastAsia="仿宋_GB2312" w:cs="仿宋_GB2312"/>
          <w:color w:val="auto"/>
          <w:sz w:val="32"/>
          <w:szCs w:val="32"/>
          <w:highlight w:val="none"/>
          <w:lang w:eastAsia="zh-CN"/>
        </w:rPr>
      </w:pPr>
    </w:p>
    <w:p w14:paraId="7E163A4F">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ascii="Times New Roman" w:hAnsi="Times New Roman" w:eastAsia="仿宋_GB2312" w:cs="仿宋_GB2312"/>
          <w:color w:val="auto"/>
          <w:sz w:val="32"/>
          <w:szCs w:val="32"/>
          <w:highlight w:val="none"/>
          <w:lang w:eastAsia="zh-CN"/>
        </w:rPr>
      </w:pPr>
    </w:p>
    <w:p w14:paraId="3E73F7B4">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ascii="Times New Roman" w:hAnsi="Times New Roman" w:eastAsia="仿宋_GB2312" w:cs="仿宋_GB2312"/>
          <w:color w:val="auto"/>
          <w:sz w:val="32"/>
          <w:szCs w:val="32"/>
          <w:highlight w:val="none"/>
          <w:lang w:eastAsia="zh-CN"/>
        </w:rPr>
      </w:pPr>
    </w:p>
    <w:p w14:paraId="165E529D">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ascii="Times New Roman" w:hAnsi="Times New Roman" w:eastAsia="仿宋_GB2312" w:cs="仿宋_GB2312"/>
          <w:color w:val="auto"/>
          <w:sz w:val="32"/>
          <w:szCs w:val="32"/>
          <w:highlight w:val="none"/>
          <w:lang w:eastAsia="zh-CN"/>
        </w:rPr>
      </w:pPr>
    </w:p>
    <w:p w14:paraId="2CF20873">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ascii="Times New Roman" w:hAnsi="Times New Roman" w:eastAsia="仿宋_GB2312" w:cs="仿宋_GB2312"/>
          <w:color w:val="auto"/>
          <w:sz w:val="32"/>
          <w:szCs w:val="32"/>
          <w:highlight w:val="none"/>
          <w:lang w:eastAsia="zh-CN"/>
        </w:rPr>
      </w:pPr>
    </w:p>
    <w:p w14:paraId="3F99525A">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ascii="Times New Roman" w:hAnsi="Times New Roman" w:eastAsia="仿宋_GB2312" w:cs="仿宋_GB2312"/>
          <w:color w:val="auto"/>
          <w:sz w:val="32"/>
          <w:szCs w:val="32"/>
          <w:highlight w:val="none"/>
          <w:lang w:eastAsia="zh-CN"/>
        </w:rPr>
      </w:pPr>
    </w:p>
    <w:p w14:paraId="514956E9">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ascii="Times New Roman" w:hAnsi="Times New Roman" w:eastAsia="仿宋_GB2312" w:cs="仿宋_GB2312"/>
          <w:color w:val="auto"/>
          <w:sz w:val="32"/>
          <w:szCs w:val="32"/>
          <w:highlight w:val="none"/>
          <w:lang w:eastAsia="zh-CN"/>
        </w:rPr>
      </w:pPr>
    </w:p>
    <w:p w14:paraId="1D72FBEA">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ascii="Times New Roman" w:hAnsi="Times New Roman" w:eastAsia="仿宋_GB2312" w:cs="仿宋_GB2312"/>
          <w:color w:val="auto"/>
          <w:sz w:val="32"/>
          <w:szCs w:val="32"/>
          <w:highlight w:val="none"/>
          <w:lang w:eastAsia="zh-CN"/>
        </w:rPr>
      </w:pPr>
    </w:p>
    <w:p w14:paraId="001D3E5A">
      <w:pPr>
        <w:ind w:firstLine="800" w:firstLineChars="250"/>
        <w:rPr>
          <w:rFonts w:hint="eastAsia" w:ascii="Times New Roman" w:hAnsi="Times New Roman" w:eastAsia="仿宋_GB2312" w:cs="仿宋_GB2312"/>
          <w:color w:val="auto"/>
          <w:sz w:val="32"/>
          <w:szCs w:val="32"/>
          <w:highlight w:val="none"/>
          <w:lang w:eastAsia="zh-CN"/>
        </w:rPr>
      </w:pPr>
    </w:p>
    <w:p w14:paraId="60E12DC5">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bookmarkStart w:id="48" w:name="_Toc15377207"/>
      <w:bookmarkStart w:id="49" w:name="_Toc19018775"/>
      <w:bookmarkStart w:id="50" w:name="_Toc10426266"/>
      <w:bookmarkStart w:id="51"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1"/>
          <w:rFonts w:hint="eastAsia" w:ascii="Times New Roman" w:hAnsi="Times New Roman" w:eastAsia="黑体"/>
          <w:b w:val="0"/>
          <w:color w:val="auto"/>
          <w:highlight w:val="none"/>
        </w:rPr>
        <w:t>出决算情况说明</w:t>
      </w:r>
      <w:bookmarkEnd w:id="48"/>
      <w:bookmarkEnd w:id="49"/>
      <w:bookmarkEnd w:id="50"/>
      <w:bookmarkEnd w:id="51"/>
    </w:p>
    <w:p w14:paraId="6C9687C6">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ascii="Times New Roman" w:hAnsi="Times New Roman" w:eastAsia="仿宋_GB2312" w:cs="仿宋_GB2312"/>
          <w:b/>
          <w:bCs/>
          <w:color w:val="auto"/>
          <w:sz w:val="32"/>
          <w:szCs w:val="32"/>
          <w:highlight w:val="none"/>
          <w:lang w:eastAsia="zh-CN"/>
        </w:rPr>
      </w:pPr>
      <w:bookmarkStart w:id="52" w:name="_Toc10426267"/>
      <w:bookmarkStart w:id="53" w:name="_Toc10426305"/>
      <w:bookmarkStart w:id="54" w:name="_Toc19018776"/>
      <w:r>
        <w:rPr>
          <w:rFonts w:hint="eastAsia" w:ascii="方正仿宋_GBK" w:hAnsi="方正仿宋_GBK" w:eastAsia="方正仿宋_GBK" w:cs="方正仿宋_GBK"/>
          <w:color w:val="auto"/>
          <w:sz w:val="32"/>
          <w:szCs w:val="32"/>
          <w:highlight w:val="none"/>
          <w:lang w:eastAsia="zh-CN"/>
        </w:rPr>
        <w:t>2025</w:t>
      </w:r>
      <w:r>
        <w:rPr>
          <w:rFonts w:hint="eastAsia" w:eastAsia="仿宋_GB2312" w:cs="仿宋_GB2312"/>
          <w:color w:val="auto"/>
          <w:sz w:val="32"/>
          <w:szCs w:val="32"/>
          <w:highlight w:val="none"/>
          <w:lang w:eastAsia="zh-CN"/>
        </w:rPr>
        <w:t>年度</w:t>
      </w:r>
      <w:r>
        <w:rPr>
          <w:rFonts w:hint="eastAsia" w:ascii="Times New Roman" w:hAnsi="Times New Roman" w:eastAsia="仿宋_GB2312" w:cs="仿宋_GB2312"/>
          <w:color w:val="auto"/>
          <w:sz w:val="32"/>
          <w:szCs w:val="32"/>
          <w:highlight w:val="none"/>
          <w:lang w:eastAsia="zh-CN"/>
        </w:rPr>
        <w:t>本年支出合计</w:t>
      </w:r>
      <w:r>
        <w:rPr>
          <w:rFonts w:hint="eastAsia" w:ascii="仿宋_GB2312" w:hAnsi="仿宋_GB2312" w:eastAsia="仿宋_GB2312" w:cs="仿宋_GB2312"/>
          <w:sz w:val="32"/>
          <w:szCs w:val="32"/>
        </w:rPr>
        <w:t>265.33</w:t>
      </w:r>
      <w:r>
        <w:rPr>
          <w:rFonts w:hint="eastAsia" w:ascii="Times New Roman" w:hAnsi="Times New Roman"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215.59</w:t>
      </w:r>
      <w:r>
        <w:rPr>
          <w:rFonts w:hint="eastAsia" w:ascii="Times New Roman" w:hAnsi="Times New Roman"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81.</w:t>
      </w:r>
      <w:r>
        <w:rPr>
          <w:rFonts w:ascii="仿宋_GB2312" w:hAnsi="仿宋_GB2312" w:eastAsia="仿宋_GB2312" w:cs="仿宋_GB2312"/>
          <w:sz w:val="32"/>
          <w:szCs w:val="32"/>
        </w:rPr>
        <w:t>3</w:t>
      </w:r>
      <w:r>
        <w:rPr>
          <w:rFonts w:hint="eastAsia" w:ascii="方正仿宋_GBK" w:hAnsi="方正仿宋_GBK" w:eastAsia="方正仿宋_GBK" w:cs="方正仿宋_GBK"/>
          <w:color w:val="auto"/>
          <w:sz w:val="32"/>
          <w:szCs w:val="32"/>
          <w:highlight w:val="none"/>
          <w:lang w:eastAsia="zh-CN"/>
        </w:rPr>
        <w:t>%</w:t>
      </w:r>
      <w:r>
        <w:rPr>
          <w:rFonts w:hint="eastAsia" w:ascii="Times New Roman" w:hAnsi="Times New Roman"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49.73</w:t>
      </w:r>
      <w:r>
        <w:rPr>
          <w:rFonts w:hint="eastAsia" w:ascii="Times New Roman" w:hAnsi="Times New Roman" w:eastAsia="仿宋_GB2312" w:cs="仿宋_GB2312"/>
          <w:color w:val="auto"/>
          <w:sz w:val="32"/>
          <w:szCs w:val="32"/>
          <w:highlight w:val="none"/>
          <w:lang w:eastAsia="zh-CN"/>
        </w:rPr>
        <w:t>万元，占</w:t>
      </w:r>
      <w:r>
        <w:rPr>
          <w:rFonts w:hint="eastAsia" w:ascii="方正仿宋_GBK" w:hAnsi="方正仿宋_GBK" w:eastAsia="方正仿宋_GBK" w:cs="方正仿宋_GBK"/>
          <w:sz w:val="32"/>
          <w:szCs w:val="32"/>
        </w:rPr>
        <w:t>18.7</w:t>
      </w:r>
      <w:r>
        <w:rPr>
          <w:rFonts w:hint="eastAsia" w:ascii="方正仿宋_GBK" w:hAnsi="方正仿宋_GBK" w:eastAsia="方正仿宋_GBK" w:cs="方正仿宋_GBK"/>
          <w:color w:val="auto"/>
          <w:sz w:val="32"/>
          <w:szCs w:val="32"/>
          <w:highlight w:val="none"/>
          <w:lang w:eastAsia="zh-CN"/>
        </w:rPr>
        <w:t>%；上缴上级支出</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万元，占</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%；经营支出</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万元，占</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%；对附属单位补助支出</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万元，占</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sz w:val="32"/>
          <w:szCs w:val="32"/>
          <w:highlight w:val="none"/>
          <w:lang w:eastAsia="zh-CN"/>
        </w:rPr>
        <w:t>%。</w:t>
      </w:r>
      <w:bookmarkEnd w:id="52"/>
      <w:bookmarkEnd w:id="53"/>
      <w:bookmarkEnd w:id="54"/>
    </w:p>
    <w:p w14:paraId="3D084D2B">
      <w:pPr>
        <w:pStyle w:val="28"/>
        <w:keepNext w:val="0"/>
        <w:keepLines w:val="0"/>
        <w:pageBreakBefore w:val="0"/>
        <w:widowControl w:val="0"/>
        <w:kinsoku/>
        <w:wordWrap/>
        <w:overflowPunct/>
        <w:topLinePunct w:val="0"/>
        <w:autoSpaceDE/>
        <w:autoSpaceDN/>
        <w:adjustRightInd/>
        <w:snapToGrid/>
        <w:spacing w:line="600" w:lineRule="exact"/>
        <w:ind w:left="0" w:firstLine="643" w:firstLineChars="200"/>
        <w:outlineLvl w:val="1"/>
        <w:rPr>
          <w:rFonts w:ascii="Times New Roman" w:hAnsi="Times New Roman" w:eastAsia="仿宋_GB2312" w:cs="仿宋_GB2312"/>
          <w:b/>
          <w:bCs/>
          <w:color w:val="auto"/>
          <w:sz w:val="32"/>
          <w:szCs w:val="32"/>
          <w:highlight w:val="none"/>
          <w:lang w:eastAsia="zh-CN"/>
        </w:rPr>
      </w:pPr>
      <w:r>
        <w:rPr>
          <w:rFonts w:ascii="Times New Roman" w:hAnsi="Times New Roman" w:eastAsia="仿宋_GB2312" w:cs="仿宋_GB2312"/>
          <w:b/>
          <w:bCs/>
          <w:color w:val="auto"/>
          <w:sz w:val="32"/>
          <w:szCs w:val="32"/>
          <w:highlight w:val="none"/>
          <w:lang w:eastAsia="zh-CN"/>
        </w:rPr>
        <w:drawing>
          <wp:anchor distT="0" distB="0" distL="0" distR="0" simplePos="0" relativeHeight="251659264" behindDoc="1" locked="0" layoutInCell="1" allowOverlap="1">
            <wp:simplePos x="0" y="0"/>
            <wp:positionH relativeFrom="column">
              <wp:posOffset>225425</wp:posOffset>
            </wp:positionH>
            <wp:positionV relativeFrom="paragraph">
              <wp:posOffset>386080</wp:posOffset>
            </wp:positionV>
            <wp:extent cx="5274310" cy="3076575"/>
            <wp:effectExtent l="5080" t="4445" r="16510" b="5080"/>
            <wp:wrapNone/>
            <wp:docPr id="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C2B4DCF">
      <w:pPr>
        <w:pStyle w:val="28"/>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outlineLvl w:val="1"/>
        <w:rPr>
          <w:rFonts w:ascii="Times New Roman" w:hAnsi="Times New Roman" w:eastAsia="仿宋_GB2312" w:cs="仿宋_GB2312"/>
          <w:b/>
          <w:bCs/>
          <w:color w:val="auto"/>
          <w:sz w:val="32"/>
          <w:szCs w:val="32"/>
          <w:highlight w:val="none"/>
          <w:lang w:eastAsia="zh-CN"/>
        </w:rPr>
      </w:pPr>
    </w:p>
    <w:p w14:paraId="56DFD187">
      <w:pPr>
        <w:pStyle w:val="28"/>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outlineLvl w:val="1"/>
        <w:rPr>
          <w:rFonts w:ascii="Times New Roman" w:hAnsi="Times New Roman" w:eastAsia="仿宋_GB2312" w:cs="仿宋_GB2312"/>
          <w:b/>
          <w:bCs/>
          <w:color w:val="auto"/>
          <w:sz w:val="32"/>
          <w:szCs w:val="32"/>
          <w:highlight w:val="none"/>
          <w:lang w:eastAsia="zh-CN"/>
        </w:rPr>
      </w:pPr>
    </w:p>
    <w:p w14:paraId="424E4D34">
      <w:pPr>
        <w:pStyle w:val="28"/>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outlineLvl w:val="1"/>
        <w:rPr>
          <w:rFonts w:ascii="Times New Roman" w:hAnsi="Times New Roman" w:eastAsia="仿宋_GB2312" w:cs="仿宋_GB2312"/>
          <w:b/>
          <w:bCs/>
          <w:color w:val="auto"/>
          <w:sz w:val="32"/>
          <w:szCs w:val="32"/>
          <w:highlight w:val="none"/>
          <w:lang w:eastAsia="zh-CN"/>
        </w:rPr>
      </w:pPr>
    </w:p>
    <w:p w14:paraId="62C4BB7F">
      <w:pPr>
        <w:pStyle w:val="28"/>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outlineLvl w:val="1"/>
        <w:rPr>
          <w:rFonts w:ascii="Times New Roman" w:hAnsi="Times New Roman" w:eastAsia="仿宋_GB2312" w:cs="仿宋_GB2312"/>
          <w:b/>
          <w:bCs/>
          <w:color w:val="auto"/>
          <w:sz w:val="32"/>
          <w:szCs w:val="32"/>
          <w:highlight w:val="none"/>
          <w:lang w:eastAsia="zh-CN"/>
        </w:rPr>
      </w:pPr>
    </w:p>
    <w:p w14:paraId="237742A9">
      <w:pPr>
        <w:pStyle w:val="28"/>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outlineLvl w:val="1"/>
        <w:rPr>
          <w:rFonts w:ascii="Times New Roman" w:hAnsi="Times New Roman" w:eastAsia="仿宋_GB2312" w:cs="仿宋_GB2312"/>
          <w:b/>
          <w:bCs/>
          <w:color w:val="auto"/>
          <w:sz w:val="32"/>
          <w:szCs w:val="32"/>
          <w:highlight w:val="none"/>
          <w:lang w:eastAsia="zh-CN"/>
        </w:rPr>
      </w:pPr>
    </w:p>
    <w:p w14:paraId="5E5A2C64">
      <w:pPr>
        <w:pStyle w:val="28"/>
        <w:keepNext w:val="0"/>
        <w:keepLines w:val="0"/>
        <w:pageBreakBefore w:val="0"/>
        <w:widowControl w:val="0"/>
        <w:kinsoku/>
        <w:wordWrap/>
        <w:overflowPunct/>
        <w:topLinePunct w:val="0"/>
        <w:autoSpaceDE/>
        <w:autoSpaceDN/>
        <w:bidi w:val="0"/>
        <w:adjustRightInd/>
        <w:snapToGrid/>
        <w:spacing w:line="600" w:lineRule="exact"/>
        <w:ind w:left="0" w:firstLine="643" w:firstLineChars="200"/>
        <w:textAlignment w:val="auto"/>
        <w:outlineLvl w:val="1"/>
        <w:rPr>
          <w:rFonts w:ascii="Times New Roman" w:hAnsi="Times New Roman" w:eastAsia="仿宋_GB2312" w:cs="仿宋_GB2312"/>
          <w:b/>
          <w:bCs/>
          <w:color w:val="auto"/>
          <w:sz w:val="32"/>
          <w:szCs w:val="32"/>
          <w:highlight w:val="none"/>
          <w:lang w:eastAsia="zh-CN"/>
        </w:rPr>
      </w:pPr>
    </w:p>
    <w:p w14:paraId="3F01A0AC">
      <w:pPr>
        <w:ind w:firstLine="800" w:firstLineChars="250"/>
        <w:rPr>
          <w:rFonts w:hint="eastAsia" w:ascii="Times New Roman" w:hAnsi="Times New Roman" w:eastAsia="仿宋_GB2312" w:cs="仿宋_GB2312"/>
          <w:color w:val="auto"/>
          <w:sz w:val="32"/>
          <w:szCs w:val="32"/>
          <w:highlight w:val="none"/>
          <w:lang w:eastAsia="zh-CN"/>
        </w:rPr>
      </w:pPr>
    </w:p>
    <w:p w14:paraId="138A81F4">
      <w:pPr>
        <w:spacing w:line="600" w:lineRule="exact"/>
        <w:ind w:firstLine="640" w:firstLineChars="200"/>
        <w:outlineLvl w:val="1"/>
        <w:rPr>
          <w:rStyle w:val="21"/>
          <w:rFonts w:ascii="Times New Roman" w:hAnsi="Times New Roman" w:eastAsia="黑体"/>
          <w:b w:val="0"/>
          <w:color w:val="auto"/>
          <w:highlight w:val="none"/>
        </w:rPr>
      </w:pPr>
      <w:bookmarkStart w:id="55" w:name="_Toc15377208"/>
      <w:bookmarkStart w:id="56" w:name="_Toc19018777"/>
      <w:bookmarkStart w:id="57" w:name="_Toc10426268"/>
      <w:bookmarkStart w:id="58" w:name="_Toc15396606"/>
      <w:r>
        <w:rPr>
          <w:rFonts w:hint="eastAsia" w:ascii="Times New Roman" w:hAnsi="Times New Roman" w:eastAsia="黑体"/>
          <w:color w:val="auto"/>
          <w:sz w:val="32"/>
          <w:szCs w:val="32"/>
          <w:highlight w:val="none"/>
        </w:rPr>
        <w:t>四、财</w:t>
      </w:r>
      <w:r>
        <w:rPr>
          <w:rStyle w:val="21"/>
          <w:rFonts w:hint="eastAsia" w:ascii="Times New Roman" w:hAnsi="Times New Roman" w:eastAsia="黑体"/>
          <w:b w:val="0"/>
          <w:color w:val="auto"/>
          <w:highlight w:val="none"/>
        </w:rPr>
        <w:t>政拨款收入支出决算总体情况说明</w:t>
      </w:r>
      <w:bookmarkEnd w:id="55"/>
      <w:bookmarkEnd w:id="56"/>
      <w:bookmarkEnd w:id="57"/>
      <w:bookmarkEnd w:id="58"/>
    </w:p>
    <w:p w14:paraId="2590F270">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财政拨款收入、支出总计均为</w:t>
      </w:r>
      <w:r>
        <w:rPr>
          <w:rFonts w:hint="eastAsia" w:ascii="仿宋_GB2312" w:hAnsi="仿宋_GB2312" w:eastAsia="仿宋_GB2312" w:cs="仿宋_GB2312"/>
          <w:sz w:val="32"/>
          <w:szCs w:val="32"/>
        </w:rPr>
        <w:t>265.33</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年度相比，财政拨款收入、支出总计各减少</w:t>
      </w:r>
      <w:r>
        <w:rPr>
          <w:rFonts w:hint="eastAsia" w:ascii="方正仿宋_GBK" w:hAnsi="方正仿宋_GBK" w:eastAsia="方正仿宋_GBK" w:cs="方正仿宋_GBK"/>
          <w:color w:val="auto"/>
          <w:kern w:val="2"/>
          <w:sz w:val="32"/>
          <w:szCs w:val="32"/>
          <w:highlight w:val="none"/>
          <w:lang w:val="en-US" w:eastAsia="zh-CN" w:bidi="ar-SA"/>
        </w:rPr>
        <w:t>141.54万元，下降35%。主要变动原因是项目预算减少。</w:t>
      </w:r>
    </w:p>
    <w:p w14:paraId="5D10E916">
      <w:pPr>
        <w:pStyle w:val="2"/>
      </w:pPr>
    </w:p>
    <w:p w14:paraId="2EC79F8C">
      <w:pPr>
        <w:pStyle w:val="3"/>
      </w:pPr>
      <w:r>
        <w:drawing>
          <wp:anchor distT="0" distB="0" distL="114300" distR="114300" simplePos="0" relativeHeight="251659264" behindDoc="1" locked="0" layoutInCell="1" allowOverlap="1">
            <wp:simplePos x="0" y="0"/>
            <wp:positionH relativeFrom="column">
              <wp:posOffset>361950</wp:posOffset>
            </wp:positionH>
            <wp:positionV relativeFrom="paragraph">
              <wp:posOffset>95250</wp:posOffset>
            </wp:positionV>
            <wp:extent cx="5274310" cy="3076575"/>
            <wp:effectExtent l="5080" t="4445" r="16510" b="5080"/>
            <wp:wrapNone/>
            <wp:docPr id="10"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57B9DEBB"/>
    <w:p w14:paraId="5969D417">
      <w:pPr>
        <w:pStyle w:val="2"/>
      </w:pPr>
    </w:p>
    <w:p w14:paraId="7E64ABD2">
      <w:pPr>
        <w:pStyle w:val="3"/>
      </w:pPr>
    </w:p>
    <w:p w14:paraId="1C920E51"/>
    <w:p w14:paraId="6D519883">
      <w:pPr>
        <w:pStyle w:val="2"/>
      </w:pPr>
    </w:p>
    <w:p w14:paraId="00E1080C">
      <w:pPr>
        <w:pStyle w:val="3"/>
      </w:pPr>
    </w:p>
    <w:p w14:paraId="716C9CA9"/>
    <w:p w14:paraId="0D5B6C7E">
      <w:pPr>
        <w:pStyle w:val="2"/>
      </w:pPr>
    </w:p>
    <w:p w14:paraId="2AA0A383">
      <w:pPr>
        <w:pStyle w:val="3"/>
      </w:pPr>
    </w:p>
    <w:p w14:paraId="005F60DB"/>
    <w:p w14:paraId="777BA4E2">
      <w:pPr>
        <w:pStyle w:val="2"/>
      </w:pPr>
    </w:p>
    <w:p w14:paraId="263A8CCD">
      <w:pPr>
        <w:pStyle w:val="3"/>
      </w:pPr>
    </w:p>
    <w:p w14:paraId="0F454624"/>
    <w:p w14:paraId="273B478A">
      <w:pPr>
        <w:pStyle w:val="2"/>
      </w:pPr>
    </w:p>
    <w:p w14:paraId="4F2739EA">
      <w:pPr>
        <w:pStyle w:val="3"/>
      </w:pPr>
    </w:p>
    <w:p w14:paraId="2D2F0C37">
      <w:pPr>
        <w:pStyle w:val="2"/>
        <w:rPr>
          <w:rFonts w:hint="eastAsia"/>
        </w:rPr>
      </w:pPr>
    </w:p>
    <w:p w14:paraId="334D936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9A1567A">
      <w:pPr>
        <w:spacing w:line="600" w:lineRule="exact"/>
        <w:ind w:firstLine="640" w:firstLineChars="200"/>
        <w:outlineLvl w:val="1"/>
        <w:rPr>
          <w:rStyle w:val="21"/>
          <w:rFonts w:ascii="Times New Roman" w:hAnsi="Times New Roman" w:eastAsia="黑体"/>
          <w:b w:val="0"/>
          <w:color w:val="auto"/>
          <w:highlight w:val="none"/>
        </w:rPr>
      </w:pPr>
      <w:bookmarkStart w:id="59" w:name="_Toc15396607"/>
      <w:bookmarkStart w:id="60" w:name="_Toc15377209"/>
      <w:bookmarkStart w:id="61" w:name="_Toc10426269"/>
      <w:bookmarkStart w:id="62" w:name="_Toc19018778"/>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般公共预算财政拨款支出决算情况说明</w:t>
      </w:r>
      <w:bookmarkEnd w:id="59"/>
      <w:bookmarkEnd w:id="60"/>
      <w:bookmarkEnd w:id="61"/>
      <w:bookmarkEnd w:id="62"/>
    </w:p>
    <w:p w14:paraId="25AD347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3"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63"/>
    </w:p>
    <w:p w14:paraId="1334E9D1">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2025年度一般公共预算财政拨款支出</w:t>
      </w:r>
      <w:r>
        <w:rPr>
          <w:rFonts w:hint="eastAsia" w:ascii="方正仿宋_GBK" w:hAnsi="方正仿宋_GBK" w:eastAsia="方正仿宋_GBK" w:cs="方正仿宋_GBK"/>
          <w:sz w:val="32"/>
          <w:szCs w:val="32"/>
        </w:rPr>
        <w:t>265.33</w:t>
      </w:r>
      <w:r>
        <w:rPr>
          <w:rFonts w:hint="eastAsia" w:ascii="方正仿宋_GBK" w:hAnsi="方正仿宋_GBK" w:eastAsia="方正仿宋_GBK" w:cs="方正仿宋_GBK"/>
          <w:color w:val="auto"/>
          <w:kern w:val="2"/>
          <w:sz w:val="32"/>
          <w:szCs w:val="32"/>
          <w:highlight w:val="none"/>
          <w:lang w:val="en-US" w:eastAsia="zh-CN" w:bidi="ar-SA"/>
        </w:rPr>
        <w:t>万元，占本年支出合计的</w:t>
      </w:r>
      <w:r>
        <w:rPr>
          <w:rFonts w:hint="eastAsia" w:ascii="方正仿宋_GBK" w:hAnsi="方正仿宋_GBK" w:eastAsia="方正仿宋_GBK" w:cs="方正仿宋_GBK"/>
          <w:sz w:val="32"/>
          <w:szCs w:val="32"/>
        </w:rPr>
        <w:t>100</w:t>
      </w:r>
      <w:r>
        <w:rPr>
          <w:rFonts w:hint="eastAsia" w:ascii="方正仿宋_GBK" w:hAnsi="方正仿宋_GBK" w:eastAsia="方正仿宋_GBK" w:cs="方正仿宋_GBK"/>
          <w:color w:val="auto"/>
          <w:kern w:val="2"/>
          <w:sz w:val="32"/>
          <w:szCs w:val="32"/>
          <w:highlight w:val="none"/>
          <w:lang w:val="en-US" w:eastAsia="zh-CN" w:bidi="ar-SA"/>
        </w:rPr>
        <w:t>%。与上年度相比，一般公共预算财政拨款支出减少141.54万元，下降35%</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ascii="Times New Roman" w:hAnsi="Times New Roman" w:eastAsia="仿宋_GB2312" w:cs="仿宋_GB2312"/>
          <w:color w:val="auto"/>
          <w:kern w:val="2"/>
          <w:sz w:val="32"/>
          <w:szCs w:val="32"/>
          <w:highlight w:val="none"/>
          <w:lang w:val="en-US" w:eastAsia="zh-CN" w:bidi="ar-SA"/>
        </w:rPr>
        <w:t>项目预算减少。</w:t>
      </w:r>
    </w:p>
    <w:p w14:paraId="17A3323D">
      <w:pPr>
        <w:pStyle w:val="2"/>
      </w:pPr>
    </w:p>
    <w:p w14:paraId="7BF48948">
      <w:pPr>
        <w:pStyle w:val="3"/>
      </w:pPr>
    </w:p>
    <w:p w14:paraId="544BBDBB"/>
    <w:p w14:paraId="4861487F">
      <w:pPr>
        <w:pStyle w:val="2"/>
      </w:pPr>
    </w:p>
    <w:p w14:paraId="4CA1D89F">
      <w:pPr>
        <w:pStyle w:val="3"/>
      </w:pPr>
      <w:r>
        <w:drawing>
          <wp:anchor distT="0" distB="0" distL="114300" distR="114300" simplePos="0" relativeHeight="251659264" behindDoc="1" locked="0" layoutInCell="1" allowOverlap="1">
            <wp:simplePos x="0" y="0"/>
            <wp:positionH relativeFrom="column">
              <wp:posOffset>457200</wp:posOffset>
            </wp:positionH>
            <wp:positionV relativeFrom="paragraph">
              <wp:posOffset>190500</wp:posOffset>
            </wp:positionV>
            <wp:extent cx="5274310" cy="3076575"/>
            <wp:effectExtent l="5080" t="4445" r="16510" b="5080"/>
            <wp:wrapNone/>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515B489"/>
    <w:p w14:paraId="495CEF96">
      <w:pPr>
        <w:pStyle w:val="2"/>
      </w:pPr>
    </w:p>
    <w:p w14:paraId="4EA49A95">
      <w:pPr>
        <w:pStyle w:val="3"/>
      </w:pPr>
    </w:p>
    <w:p w14:paraId="2F4560D5"/>
    <w:p w14:paraId="4D585035">
      <w:pPr>
        <w:pStyle w:val="2"/>
      </w:pPr>
    </w:p>
    <w:p w14:paraId="20C5F669">
      <w:pPr>
        <w:pStyle w:val="3"/>
      </w:pPr>
    </w:p>
    <w:p w14:paraId="5626B714"/>
    <w:p w14:paraId="248B892A">
      <w:pPr>
        <w:pStyle w:val="2"/>
      </w:pPr>
    </w:p>
    <w:p w14:paraId="1AC94FDD">
      <w:pPr>
        <w:pStyle w:val="3"/>
      </w:pPr>
    </w:p>
    <w:p w14:paraId="25F99FD4"/>
    <w:p w14:paraId="5054F7AC">
      <w:pPr>
        <w:pStyle w:val="2"/>
      </w:pPr>
    </w:p>
    <w:p w14:paraId="05DBDD98">
      <w:pPr>
        <w:pStyle w:val="3"/>
      </w:pPr>
    </w:p>
    <w:p w14:paraId="378B9F1B"/>
    <w:p w14:paraId="0E106CC8">
      <w:pPr>
        <w:pStyle w:val="2"/>
      </w:pPr>
    </w:p>
    <w:p w14:paraId="6049DD05">
      <w:pPr>
        <w:pStyle w:val="3"/>
      </w:pPr>
    </w:p>
    <w:p w14:paraId="117168C6">
      <w:pPr>
        <w:rPr>
          <w:rFonts w:hint="eastAsia"/>
        </w:rPr>
      </w:pPr>
    </w:p>
    <w:p w14:paraId="7AD4377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B503AA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4"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64"/>
    </w:p>
    <w:p w14:paraId="1B9E005F">
      <w:pPr>
        <w:spacing w:line="600" w:lineRule="exact"/>
        <w:ind w:firstLine="640"/>
        <w:rPr>
          <w:rFonts w:ascii="方正仿宋_GBK" w:hAnsi="方正仿宋_GBK" w:eastAsia="方正仿宋_GBK" w:cs="方正仿宋_GBK"/>
          <w:sz w:val="32"/>
          <w:szCs w:val="32"/>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ascii="仿宋_GB2312" w:hAnsi="仿宋_GB2312" w:eastAsia="仿宋_GB2312" w:cs="仿宋_GB2312"/>
          <w:sz w:val="32"/>
          <w:szCs w:val="32"/>
        </w:rPr>
        <w:t>265.33</w:t>
      </w:r>
      <w:r>
        <w:rPr>
          <w:rFonts w:hint="eastAsia" w:ascii="Times New Roman" w:hAnsi="Times New Roman" w:eastAsia="仿宋_GB2312" w:cs="仿宋_GB2312"/>
          <w:color w:val="auto"/>
          <w:kern w:val="2"/>
          <w:sz w:val="32"/>
          <w:szCs w:val="32"/>
          <w:highlight w:val="none"/>
          <w:lang w:val="en-US" w:eastAsia="zh-CN" w:bidi="ar-SA"/>
        </w:rPr>
        <w:t>万元，主要用于以下方面</w:t>
      </w:r>
      <w:r>
        <w:rPr>
          <w:rFonts w:hint="eastAsia" w:eastAsia="仿宋_GB2312" w:cs="仿宋_GB2312"/>
          <w:color w:val="auto"/>
          <w:kern w:val="2"/>
          <w:sz w:val="32"/>
          <w:szCs w:val="32"/>
          <w:highlight w:val="none"/>
          <w:lang w:val="en-US" w:eastAsia="zh-CN" w:bidi="ar-SA"/>
        </w:rPr>
        <w:t>：</w:t>
      </w:r>
      <w:r>
        <w:rPr>
          <w:rFonts w:hint="eastAsia" w:ascii="方正仿宋_GBK" w:hAnsi="方正仿宋_GBK" w:eastAsia="方正仿宋_GBK" w:cs="方正仿宋_GBK"/>
          <w:sz w:val="32"/>
          <w:szCs w:val="32"/>
        </w:rPr>
        <w:t>社会保障和就业</w:t>
      </w:r>
      <w:r>
        <w:rPr>
          <w:rFonts w:hint="eastAsia" w:ascii="方正仿宋_GBK" w:hAnsi="方正仿宋_GBK" w:eastAsia="方正仿宋_GBK" w:cs="方正仿宋_GBK"/>
          <w:bCs/>
          <w:sz w:val="32"/>
          <w:szCs w:val="32"/>
        </w:rPr>
        <w:t>支出</w:t>
      </w:r>
      <w:r>
        <w:rPr>
          <w:rFonts w:hint="eastAsia" w:ascii="方正仿宋_GBK" w:hAnsi="方正仿宋_GBK" w:eastAsia="方正仿宋_GBK" w:cs="方正仿宋_GBK"/>
          <w:sz w:val="32"/>
          <w:szCs w:val="32"/>
        </w:rPr>
        <w:t>33.03万元，占12.4%；自然资源海洋气象等支出204万元，占77%；住房保障支出15.52万元，占5.</w:t>
      </w:r>
      <w:r>
        <w:rPr>
          <w:rFonts w:ascii="方正仿宋_GBK" w:hAnsi="方正仿宋_GBK" w:eastAsia="方正仿宋_GBK" w:cs="方正仿宋_GBK"/>
          <w:sz w:val="32"/>
          <w:szCs w:val="32"/>
        </w:rPr>
        <w:t>9</w:t>
      </w:r>
      <w:r>
        <w:rPr>
          <w:rFonts w:hint="eastAsia" w:ascii="方正仿宋_GBK" w:hAnsi="方正仿宋_GBK" w:eastAsia="方正仿宋_GBK" w:cs="方正仿宋_GBK"/>
          <w:sz w:val="32"/>
          <w:szCs w:val="32"/>
        </w:rPr>
        <w:t>%；卫生健康支出12.76万元，占4.8%。</w:t>
      </w:r>
    </w:p>
    <w:p w14:paraId="2CB41C85">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74310" cy="3076575"/>
            <wp:effectExtent l="5080" t="4445" r="16510" b="5080"/>
            <wp:wrapNone/>
            <wp:docPr id="12"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6A881CD7">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6891A459">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3633C72D">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240441A5">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3D629A6F">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0524F4B1">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572593E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5"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65"/>
    </w:p>
    <w:p w14:paraId="76B29F66">
      <w:pPr>
        <w:spacing w:line="600" w:lineRule="exact"/>
        <w:ind w:firstLine="640"/>
        <w:rPr>
          <w:rFonts w:hint="eastAsia" w:ascii="方正仿宋_GBK" w:hAnsi="方正仿宋_GBK" w:eastAsia="方正仿宋_GBK" w:cs="方正仿宋_GBK"/>
          <w:color w:val="auto"/>
          <w:kern w:val="2"/>
          <w:sz w:val="32"/>
          <w:szCs w:val="32"/>
          <w:highlight w:val="none"/>
          <w:lang w:val="en-US" w:eastAsia="zh-CN" w:bidi="ar-SA"/>
        </w:rPr>
      </w:pPr>
      <w:bookmarkStart w:id="66" w:name="_Toc15377213"/>
      <w:bookmarkStart w:id="67" w:name="_Toc15378460"/>
      <w:bookmarkStart w:id="68" w:name="_Toc15377444"/>
      <w:r>
        <w:rPr>
          <w:rFonts w:hint="eastAsia" w:ascii="方正仿宋_GBK" w:hAnsi="方正仿宋_GBK" w:eastAsia="方正仿宋_GBK" w:cs="方正仿宋_GBK"/>
          <w:color w:val="auto"/>
          <w:kern w:val="2"/>
          <w:sz w:val="32"/>
          <w:szCs w:val="32"/>
          <w:highlight w:val="none"/>
          <w:lang w:val="en-US" w:eastAsia="zh-CN" w:bidi="ar-SA"/>
        </w:rPr>
        <w:t>2025年度一般公共预算支出决算数为</w:t>
      </w:r>
      <w:r>
        <w:rPr>
          <w:rFonts w:hint="eastAsia" w:ascii="方正仿宋_GBK" w:hAnsi="方正仿宋_GBK" w:eastAsia="方正仿宋_GBK" w:cs="方正仿宋_GBK"/>
          <w:sz w:val="32"/>
          <w:szCs w:val="32"/>
        </w:rPr>
        <w:t>265.33</w:t>
      </w:r>
      <w:r>
        <w:rPr>
          <w:rFonts w:ascii="方正仿宋_GBK" w:hAnsi="方正仿宋_GBK" w:eastAsia="方正仿宋_GBK" w:cs="方正仿宋_GBK"/>
          <w:sz w:val="32"/>
          <w:szCs w:val="32"/>
        </w:rPr>
        <w:t>万元</w:t>
      </w:r>
      <w:r>
        <w:rPr>
          <w:rFonts w:hint="eastAsia" w:ascii="方正仿宋_GBK" w:hAnsi="方正仿宋_GBK" w:eastAsia="方正仿宋_GBK" w:cs="方正仿宋_GBK"/>
          <w:color w:val="auto"/>
          <w:kern w:val="2"/>
          <w:sz w:val="32"/>
          <w:szCs w:val="32"/>
          <w:highlight w:val="none"/>
          <w:lang w:val="en-US" w:eastAsia="zh-CN" w:bidi="ar-SA"/>
        </w:rPr>
        <w:t>，完成预算100%。其中：</w:t>
      </w:r>
      <w:bookmarkEnd w:id="66"/>
      <w:bookmarkEnd w:id="67"/>
      <w:bookmarkEnd w:id="68"/>
    </w:p>
    <w:p w14:paraId="09D0D410">
      <w:pPr>
        <w:spacing w:line="600" w:lineRule="exact"/>
        <w:ind w:firstLine="640" w:firstLineChars="200"/>
        <w:rPr>
          <w:rStyle w:val="17"/>
          <w:rFonts w:hint="eastAsia" w:ascii="方正仿宋_GBK" w:hAnsi="方正仿宋_GBK" w:eastAsia="方正仿宋_GBK" w:cs="方正仿宋_GBK"/>
          <w:b w:val="0"/>
          <w:sz w:val="32"/>
          <w:szCs w:val="32"/>
        </w:rPr>
      </w:pPr>
      <w:r>
        <w:rPr>
          <w:rStyle w:val="17"/>
          <w:rFonts w:hint="eastAsia" w:ascii="方正仿宋_GBK" w:hAnsi="方正仿宋_GBK" w:eastAsia="方正仿宋_GBK" w:cs="方正仿宋_GBK"/>
          <w:b w:val="0"/>
          <w:sz w:val="32"/>
          <w:szCs w:val="32"/>
        </w:rPr>
        <w:t>1.社会保障和就业（类）行政事业单位养老支出（款）机关事业单位基本养老保险缴费支出（项）: 支出决算为</w:t>
      </w:r>
      <w:r>
        <w:rPr>
          <w:rStyle w:val="17"/>
          <w:rFonts w:ascii="方正仿宋_GBK" w:hAnsi="方正仿宋_GBK" w:eastAsia="方正仿宋_GBK" w:cs="方正仿宋_GBK"/>
          <w:b w:val="0"/>
          <w:sz w:val="32"/>
          <w:szCs w:val="32"/>
        </w:rPr>
        <w:t>21.31</w:t>
      </w:r>
      <w:r>
        <w:rPr>
          <w:rStyle w:val="17"/>
          <w:rFonts w:hint="eastAsia" w:ascii="方正仿宋_GBK" w:hAnsi="方正仿宋_GBK" w:eastAsia="方正仿宋_GBK" w:cs="方正仿宋_GBK"/>
          <w:b w:val="0"/>
          <w:sz w:val="32"/>
          <w:szCs w:val="32"/>
        </w:rPr>
        <w:t>万元，完成预算100%。</w:t>
      </w:r>
    </w:p>
    <w:p w14:paraId="5796D2D8">
      <w:pPr>
        <w:spacing w:line="600" w:lineRule="exact"/>
        <w:ind w:firstLine="640" w:firstLineChars="200"/>
        <w:rPr>
          <w:rStyle w:val="17"/>
          <w:rFonts w:ascii="方正仿宋_GBK" w:hAnsi="方正仿宋_GBK" w:eastAsia="方正仿宋_GBK" w:cs="方正仿宋_GBK"/>
          <w:b w:val="0"/>
          <w:sz w:val="32"/>
          <w:szCs w:val="32"/>
        </w:rPr>
      </w:pPr>
      <w:r>
        <w:rPr>
          <w:rStyle w:val="17"/>
          <w:rFonts w:hint="eastAsia" w:ascii="方正仿宋_GBK" w:hAnsi="方正仿宋_GBK" w:eastAsia="方正仿宋_GBK" w:cs="方正仿宋_GBK"/>
          <w:b w:val="0"/>
          <w:sz w:val="32"/>
          <w:szCs w:val="32"/>
        </w:rPr>
        <w:t>2.社会保障和就业（类）行政事业单位养老支出（款）事业单位离退休（项）: 支出决算为</w:t>
      </w:r>
      <w:r>
        <w:rPr>
          <w:rStyle w:val="17"/>
          <w:rFonts w:ascii="方正仿宋_GBK" w:hAnsi="方正仿宋_GBK" w:eastAsia="方正仿宋_GBK" w:cs="方正仿宋_GBK"/>
          <w:b w:val="0"/>
          <w:sz w:val="32"/>
          <w:szCs w:val="32"/>
        </w:rPr>
        <w:t>10.72</w:t>
      </w:r>
      <w:r>
        <w:rPr>
          <w:rStyle w:val="17"/>
          <w:rFonts w:hint="eastAsia" w:ascii="方正仿宋_GBK" w:hAnsi="方正仿宋_GBK" w:eastAsia="方正仿宋_GBK" w:cs="方正仿宋_GBK"/>
          <w:b w:val="0"/>
          <w:sz w:val="32"/>
          <w:szCs w:val="32"/>
        </w:rPr>
        <w:t>万元，完成预算100%。</w:t>
      </w:r>
    </w:p>
    <w:p w14:paraId="5CE35D5F">
      <w:pPr>
        <w:pStyle w:val="2"/>
        <w:rPr>
          <w:rFonts w:hint="eastAsia"/>
        </w:rPr>
      </w:pPr>
    </w:p>
    <w:p w14:paraId="3B70511D">
      <w:pPr>
        <w:spacing w:line="600" w:lineRule="exact"/>
        <w:ind w:firstLine="640" w:firstLineChars="200"/>
        <w:rPr>
          <w:rStyle w:val="17"/>
          <w:rFonts w:ascii="方正仿宋_GBK" w:hAnsi="方正仿宋_GBK" w:eastAsia="方正仿宋_GBK" w:cs="方正仿宋_GBK"/>
          <w:b w:val="0"/>
          <w:sz w:val="32"/>
          <w:szCs w:val="32"/>
        </w:rPr>
      </w:pPr>
      <w:r>
        <w:rPr>
          <w:rStyle w:val="17"/>
          <w:rFonts w:hint="eastAsia" w:ascii="方正仿宋_GBK" w:hAnsi="方正仿宋_GBK" w:eastAsia="方正仿宋_GBK" w:cs="方正仿宋_GBK"/>
          <w:b w:val="0"/>
          <w:sz w:val="32"/>
          <w:szCs w:val="32"/>
        </w:rPr>
        <w:t>3.社会保障和就业（类）</w:t>
      </w:r>
      <w:r>
        <w:rPr>
          <w:rStyle w:val="17"/>
          <w:rFonts w:ascii="方正仿宋_GBK" w:hAnsi="方正仿宋_GBK" w:eastAsia="方正仿宋_GBK" w:cs="方正仿宋_GBK"/>
          <w:b w:val="0"/>
          <w:sz w:val="32"/>
          <w:szCs w:val="32"/>
        </w:rPr>
        <w:t>人力资源和社会保险管理事务</w:t>
      </w:r>
      <w:r>
        <w:rPr>
          <w:rStyle w:val="17"/>
          <w:rFonts w:hint="eastAsia" w:ascii="方正仿宋_GBK" w:hAnsi="方正仿宋_GBK" w:eastAsia="方正仿宋_GBK" w:cs="方正仿宋_GBK"/>
          <w:b w:val="0"/>
          <w:sz w:val="32"/>
          <w:szCs w:val="32"/>
        </w:rPr>
        <w:t>（款）</w:t>
      </w:r>
      <w:r>
        <w:rPr>
          <w:rStyle w:val="17"/>
          <w:rFonts w:ascii="方正仿宋_GBK" w:hAnsi="方正仿宋_GBK" w:eastAsia="方正仿宋_GBK" w:cs="方正仿宋_GBK"/>
          <w:b w:val="0"/>
          <w:sz w:val="32"/>
          <w:szCs w:val="32"/>
        </w:rPr>
        <w:t>其他人力资源和社会保障管理支出</w:t>
      </w:r>
      <w:r>
        <w:rPr>
          <w:rStyle w:val="17"/>
          <w:rFonts w:hint="eastAsia" w:ascii="方正仿宋_GBK" w:hAnsi="方正仿宋_GBK" w:eastAsia="方正仿宋_GBK" w:cs="方正仿宋_GBK"/>
          <w:b w:val="0"/>
          <w:sz w:val="32"/>
          <w:szCs w:val="32"/>
        </w:rPr>
        <w:t>（项）: 支出决算为</w:t>
      </w:r>
      <w:r>
        <w:rPr>
          <w:rStyle w:val="17"/>
          <w:rFonts w:ascii="方正仿宋_GBK" w:hAnsi="方正仿宋_GBK" w:eastAsia="方正仿宋_GBK" w:cs="方正仿宋_GBK"/>
          <w:b w:val="0"/>
          <w:sz w:val="32"/>
          <w:szCs w:val="32"/>
        </w:rPr>
        <w:t>1</w:t>
      </w:r>
      <w:r>
        <w:rPr>
          <w:rStyle w:val="17"/>
          <w:rFonts w:hint="eastAsia" w:ascii="方正仿宋_GBK" w:hAnsi="方正仿宋_GBK" w:eastAsia="方正仿宋_GBK" w:cs="方正仿宋_GBK"/>
          <w:b w:val="0"/>
          <w:sz w:val="32"/>
          <w:szCs w:val="32"/>
        </w:rPr>
        <w:t>万元，完成预算100%。</w:t>
      </w:r>
    </w:p>
    <w:p w14:paraId="44FB1929">
      <w:pPr>
        <w:spacing w:line="600" w:lineRule="exact"/>
        <w:ind w:firstLine="640" w:firstLineChars="200"/>
        <w:rPr>
          <w:rStyle w:val="17"/>
          <w:rFonts w:hint="eastAsia" w:ascii="方正仿宋_GBK" w:hAnsi="方正仿宋_GBK" w:eastAsia="方正仿宋_GBK" w:cs="方正仿宋_GBK"/>
          <w:b w:val="0"/>
          <w:sz w:val="32"/>
          <w:szCs w:val="32"/>
        </w:rPr>
      </w:pPr>
      <w:r>
        <w:rPr>
          <w:rStyle w:val="17"/>
          <w:rFonts w:hint="eastAsia" w:ascii="方正仿宋_GBK" w:hAnsi="方正仿宋_GBK" w:eastAsia="方正仿宋_GBK" w:cs="方正仿宋_GBK"/>
          <w:b w:val="0"/>
          <w:sz w:val="32"/>
          <w:szCs w:val="32"/>
        </w:rPr>
        <w:t>4.</w:t>
      </w:r>
      <w:r>
        <w:rPr>
          <w:rFonts w:hint="eastAsia" w:ascii="方正仿宋_GBK" w:hAnsi="方正仿宋_GBK" w:eastAsia="方正仿宋_GBK" w:cs="方正仿宋_GBK"/>
          <w:sz w:val="32"/>
          <w:szCs w:val="32"/>
        </w:rPr>
        <w:t>自然资源海洋气象等支出</w:t>
      </w:r>
      <w:r>
        <w:rPr>
          <w:rStyle w:val="17"/>
          <w:rFonts w:hint="eastAsia" w:ascii="方正仿宋_GBK" w:hAnsi="方正仿宋_GBK" w:eastAsia="方正仿宋_GBK" w:cs="方正仿宋_GBK"/>
          <w:b w:val="0"/>
          <w:sz w:val="32"/>
          <w:szCs w:val="32"/>
        </w:rPr>
        <w:t>（类）自然资源事务（款）事业运行（项）:支出决算为</w:t>
      </w:r>
      <w:r>
        <w:rPr>
          <w:rStyle w:val="17"/>
          <w:rFonts w:ascii="方正仿宋_GBK" w:hAnsi="方正仿宋_GBK" w:eastAsia="方正仿宋_GBK" w:cs="方正仿宋_GBK"/>
          <w:b w:val="0"/>
          <w:sz w:val="32"/>
          <w:szCs w:val="32"/>
        </w:rPr>
        <w:t>154.27</w:t>
      </w:r>
      <w:r>
        <w:rPr>
          <w:rStyle w:val="17"/>
          <w:rFonts w:hint="eastAsia" w:ascii="方正仿宋_GBK" w:hAnsi="方正仿宋_GBK" w:eastAsia="方正仿宋_GBK" w:cs="方正仿宋_GBK"/>
          <w:b w:val="0"/>
          <w:sz w:val="32"/>
          <w:szCs w:val="32"/>
        </w:rPr>
        <w:t>万元，完成预100%算数。</w:t>
      </w:r>
    </w:p>
    <w:p w14:paraId="113DF440">
      <w:pPr>
        <w:spacing w:line="600" w:lineRule="exact"/>
        <w:ind w:firstLine="640" w:firstLineChars="200"/>
        <w:rPr>
          <w:rStyle w:val="17"/>
          <w:rFonts w:hint="eastAsia" w:ascii="方正仿宋_GBK" w:hAnsi="方正仿宋_GBK" w:eastAsia="方正仿宋_GBK" w:cs="方正仿宋_GBK"/>
          <w:b w:val="0"/>
          <w:sz w:val="32"/>
          <w:szCs w:val="32"/>
        </w:rPr>
      </w:pPr>
      <w:r>
        <w:rPr>
          <w:rStyle w:val="17"/>
          <w:rFonts w:ascii="方正仿宋_GBK" w:hAnsi="方正仿宋_GBK" w:eastAsia="方正仿宋_GBK" w:cs="方正仿宋_GBK"/>
          <w:b w:val="0"/>
          <w:sz w:val="32"/>
          <w:szCs w:val="32"/>
        </w:rPr>
        <w:t>5</w:t>
      </w:r>
      <w:r>
        <w:rPr>
          <w:rStyle w:val="17"/>
          <w:rFonts w:hint="eastAsia" w:ascii="方正仿宋_GBK" w:hAnsi="方正仿宋_GBK" w:eastAsia="方正仿宋_GBK" w:cs="方正仿宋_GBK"/>
          <w:b w:val="0"/>
          <w:sz w:val="32"/>
          <w:szCs w:val="32"/>
        </w:rPr>
        <w:t>.</w:t>
      </w:r>
      <w:r>
        <w:rPr>
          <w:rFonts w:hint="eastAsia" w:ascii="方正仿宋_GBK" w:hAnsi="方正仿宋_GBK" w:eastAsia="方正仿宋_GBK" w:cs="方正仿宋_GBK"/>
          <w:sz w:val="32"/>
          <w:szCs w:val="32"/>
        </w:rPr>
        <w:t>自然资源海洋气象等支出</w:t>
      </w:r>
      <w:r>
        <w:rPr>
          <w:rStyle w:val="17"/>
          <w:rFonts w:hint="eastAsia" w:ascii="方正仿宋_GBK" w:hAnsi="方正仿宋_GBK" w:eastAsia="方正仿宋_GBK" w:cs="方正仿宋_GBK"/>
          <w:b w:val="0"/>
          <w:sz w:val="32"/>
          <w:szCs w:val="32"/>
        </w:rPr>
        <w:t>（类）自然资源事务（款）其他自然资源事务支出（项）:支出决算为</w:t>
      </w:r>
      <w:r>
        <w:rPr>
          <w:rStyle w:val="17"/>
          <w:rFonts w:ascii="方正仿宋_GBK" w:hAnsi="方正仿宋_GBK" w:eastAsia="方正仿宋_GBK" w:cs="方正仿宋_GBK"/>
          <w:b w:val="0"/>
          <w:sz w:val="32"/>
          <w:szCs w:val="32"/>
        </w:rPr>
        <w:t>49.73</w:t>
      </w:r>
      <w:r>
        <w:rPr>
          <w:rStyle w:val="17"/>
          <w:rFonts w:hint="eastAsia" w:ascii="方正仿宋_GBK" w:hAnsi="方正仿宋_GBK" w:eastAsia="方正仿宋_GBK" w:cs="方正仿宋_GBK"/>
          <w:b w:val="0"/>
          <w:sz w:val="32"/>
          <w:szCs w:val="32"/>
        </w:rPr>
        <w:t>万元，完成预100%算数。</w:t>
      </w:r>
    </w:p>
    <w:p w14:paraId="0371DCA4">
      <w:pPr>
        <w:spacing w:line="600" w:lineRule="exact"/>
        <w:ind w:firstLine="640" w:firstLineChars="200"/>
        <w:rPr>
          <w:rStyle w:val="17"/>
          <w:rFonts w:hint="eastAsia" w:ascii="方正仿宋_GBK" w:hAnsi="方正仿宋_GBK" w:eastAsia="方正仿宋_GBK" w:cs="方正仿宋_GBK"/>
          <w:b w:val="0"/>
          <w:sz w:val="32"/>
          <w:szCs w:val="32"/>
        </w:rPr>
      </w:pPr>
      <w:r>
        <w:rPr>
          <w:rStyle w:val="17"/>
          <w:rFonts w:ascii="方正仿宋_GBK" w:hAnsi="方正仿宋_GBK" w:eastAsia="方正仿宋_GBK" w:cs="方正仿宋_GBK"/>
          <w:b w:val="0"/>
          <w:sz w:val="32"/>
          <w:szCs w:val="32"/>
        </w:rPr>
        <w:t>6</w:t>
      </w:r>
      <w:r>
        <w:rPr>
          <w:rStyle w:val="17"/>
          <w:rFonts w:hint="eastAsia" w:ascii="方正仿宋_GBK" w:hAnsi="方正仿宋_GBK" w:eastAsia="方正仿宋_GBK" w:cs="方正仿宋_GBK"/>
          <w:b w:val="0"/>
          <w:sz w:val="32"/>
          <w:szCs w:val="32"/>
        </w:rPr>
        <w:t>.</w:t>
      </w:r>
      <w:r>
        <w:rPr>
          <w:rFonts w:hint="eastAsia" w:ascii="方正仿宋_GBK" w:hAnsi="方正仿宋_GBK" w:eastAsia="方正仿宋_GBK" w:cs="方正仿宋_GBK"/>
        </w:rPr>
        <w:t xml:space="preserve"> </w:t>
      </w:r>
      <w:r>
        <w:rPr>
          <w:rFonts w:hint="eastAsia" w:ascii="方正仿宋_GBK" w:hAnsi="方正仿宋_GBK" w:eastAsia="方正仿宋_GBK" w:cs="方正仿宋_GBK"/>
          <w:sz w:val="32"/>
          <w:szCs w:val="32"/>
        </w:rPr>
        <w:t>住房保障支出</w:t>
      </w:r>
      <w:r>
        <w:rPr>
          <w:rStyle w:val="17"/>
          <w:rFonts w:hint="eastAsia" w:ascii="方正仿宋_GBK" w:hAnsi="方正仿宋_GBK" w:eastAsia="方正仿宋_GBK" w:cs="方正仿宋_GBK"/>
          <w:b w:val="0"/>
          <w:sz w:val="32"/>
          <w:szCs w:val="32"/>
        </w:rPr>
        <w:t>（类）住房改革支出（款）住房公积金（项）:支出决算为</w:t>
      </w:r>
      <w:r>
        <w:rPr>
          <w:rStyle w:val="17"/>
          <w:rFonts w:ascii="方正仿宋_GBK" w:hAnsi="方正仿宋_GBK" w:eastAsia="方正仿宋_GBK" w:cs="方正仿宋_GBK"/>
          <w:b w:val="0"/>
          <w:sz w:val="32"/>
          <w:szCs w:val="32"/>
        </w:rPr>
        <w:t>15.52</w:t>
      </w:r>
      <w:r>
        <w:rPr>
          <w:rStyle w:val="17"/>
          <w:rFonts w:hint="eastAsia" w:ascii="方正仿宋_GBK" w:hAnsi="方正仿宋_GBK" w:eastAsia="方正仿宋_GBK" w:cs="方正仿宋_GBK"/>
          <w:b w:val="0"/>
          <w:sz w:val="32"/>
          <w:szCs w:val="32"/>
        </w:rPr>
        <w:t>万元，完成预100%算数。</w:t>
      </w:r>
    </w:p>
    <w:p w14:paraId="25041B1A">
      <w:pPr>
        <w:spacing w:line="600" w:lineRule="exact"/>
        <w:ind w:firstLine="640" w:firstLineChars="200"/>
        <w:rPr>
          <w:rStyle w:val="17"/>
          <w:rFonts w:hint="eastAsia" w:ascii="方正仿宋_GBK" w:hAnsi="方正仿宋_GBK" w:eastAsia="方正仿宋_GBK" w:cs="方正仿宋_GBK"/>
          <w:b w:val="0"/>
          <w:sz w:val="32"/>
          <w:szCs w:val="32"/>
        </w:rPr>
      </w:pPr>
      <w:r>
        <w:rPr>
          <w:rStyle w:val="17"/>
          <w:rFonts w:ascii="方正仿宋_GBK" w:hAnsi="方正仿宋_GBK" w:eastAsia="方正仿宋_GBK" w:cs="方正仿宋_GBK"/>
          <w:b w:val="0"/>
          <w:sz w:val="32"/>
          <w:szCs w:val="32"/>
        </w:rPr>
        <w:t>7</w:t>
      </w:r>
      <w:r>
        <w:rPr>
          <w:rStyle w:val="17"/>
          <w:rFonts w:hint="eastAsia" w:ascii="方正仿宋_GBK" w:hAnsi="方正仿宋_GBK" w:eastAsia="方正仿宋_GBK" w:cs="方正仿宋_GBK"/>
          <w:b w:val="0"/>
          <w:sz w:val="32"/>
          <w:szCs w:val="32"/>
        </w:rPr>
        <w:t xml:space="preserve">. </w:t>
      </w:r>
      <w:r>
        <w:rPr>
          <w:rFonts w:hint="eastAsia" w:ascii="方正仿宋_GBK" w:hAnsi="方正仿宋_GBK" w:eastAsia="方正仿宋_GBK" w:cs="方正仿宋_GBK"/>
          <w:sz w:val="32"/>
          <w:szCs w:val="32"/>
        </w:rPr>
        <w:t>卫生健康支出</w:t>
      </w:r>
      <w:r>
        <w:rPr>
          <w:rStyle w:val="17"/>
          <w:rFonts w:hint="eastAsia" w:ascii="方正仿宋_GBK" w:hAnsi="方正仿宋_GBK" w:eastAsia="方正仿宋_GBK" w:cs="方正仿宋_GBK"/>
          <w:b w:val="0"/>
          <w:sz w:val="32"/>
          <w:szCs w:val="32"/>
        </w:rPr>
        <w:t>（类）行政事业单位医疗（款）事业单位医疗（项）:支出决算为</w:t>
      </w:r>
      <w:r>
        <w:rPr>
          <w:rStyle w:val="17"/>
          <w:rFonts w:ascii="方正仿宋_GBK" w:hAnsi="方正仿宋_GBK" w:eastAsia="方正仿宋_GBK" w:cs="方正仿宋_GBK"/>
          <w:b w:val="0"/>
          <w:sz w:val="32"/>
          <w:szCs w:val="32"/>
        </w:rPr>
        <w:t>10.26</w:t>
      </w:r>
      <w:r>
        <w:rPr>
          <w:rStyle w:val="17"/>
          <w:rFonts w:hint="eastAsia" w:ascii="方正仿宋_GBK" w:hAnsi="方正仿宋_GBK" w:eastAsia="方正仿宋_GBK" w:cs="方正仿宋_GBK"/>
          <w:b w:val="0"/>
          <w:sz w:val="32"/>
          <w:szCs w:val="32"/>
        </w:rPr>
        <w:t>万元，完成预100%算数。</w:t>
      </w:r>
    </w:p>
    <w:p w14:paraId="2339D3C5">
      <w:pPr>
        <w:spacing w:line="600" w:lineRule="exact"/>
        <w:ind w:firstLine="640" w:firstLineChars="200"/>
        <w:rPr>
          <w:rStyle w:val="17"/>
          <w:rFonts w:hint="eastAsia" w:ascii="方正仿宋_GBK" w:hAnsi="方正仿宋_GBK" w:eastAsia="方正仿宋_GBK" w:cs="方正仿宋_GBK"/>
          <w:b w:val="0"/>
          <w:sz w:val="32"/>
          <w:szCs w:val="32"/>
        </w:rPr>
      </w:pPr>
      <w:r>
        <w:rPr>
          <w:rStyle w:val="17"/>
          <w:rFonts w:ascii="方正仿宋_GBK" w:hAnsi="方正仿宋_GBK" w:eastAsia="方正仿宋_GBK" w:cs="方正仿宋_GBK"/>
          <w:b w:val="0"/>
          <w:sz w:val="32"/>
          <w:szCs w:val="32"/>
        </w:rPr>
        <w:t>8</w:t>
      </w:r>
      <w:r>
        <w:rPr>
          <w:rStyle w:val="17"/>
          <w:rFonts w:hint="eastAsia" w:ascii="方正仿宋_GBK" w:hAnsi="方正仿宋_GBK" w:eastAsia="方正仿宋_GBK" w:cs="方正仿宋_GBK"/>
          <w:b w:val="0"/>
          <w:sz w:val="32"/>
          <w:szCs w:val="32"/>
        </w:rPr>
        <w:t>.</w:t>
      </w:r>
      <w:r>
        <w:rPr>
          <w:rFonts w:hint="eastAsia" w:ascii="方正仿宋_GBK" w:hAnsi="方正仿宋_GBK" w:eastAsia="方正仿宋_GBK" w:cs="方正仿宋_GBK"/>
        </w:rPr>
        <w:t xml:space="preserve"> </w:t>
      </w:r>
      <w:r>
        <w:rPr>
          <w:rFonts w:hint="eastAsia" w:ascii="方正仿宋_GBK" w:hAnsi="方正仿宋_GBK" w:eastAsia="方正仿宋_GBK" w:cs="方正仿宋_GBK"/>
          <w:sz w:val="32"/>
          <w:szCs w:val="32"/>
        </w:rPr>
        <w:t>卫生健康支出</w:t>
      </w:r>
      <w:r>
        <w:rPr>
          <w:rStyle w:val="17"/>
          <w:rFonts w:hint="eastAsia" w:ascii="方正仿宋_GBK" w:hAnsi="方正仿宋_GBK" w:eastAsia="方正仿宋_GBK" w:cs="方正仿宋_GBK"/>
          <w:b w:val="0"/>
          <w:sz w:val="32"/>
          <w:szCs w:val="32"/>
        </w:rPr>
        <w:t>（类）行政事业单位医疗（款）公务员医疗补助（项）:支出决算为</w:t>
      </w:r>
      <w:r>
        <w:rPr>
          <w:rStyle w:val="17"/>
          <w:rFonts w:ascii="方正仿宋_GBK" w:hAnsi="方正仿宋_GBK" w:eastAsia="方正仿宋_GBK" w:cs="方正仿宋_GBK"/>
          <w:b w:val="0"/>
          <w:sz w:val="32"/>
          <w:szCs w:val="32"/>
        </w:rPr>
        <w:t>1.22</w:t>
      </w:r>
      <w:r>
        <w:rPr>
          <w:rStyle w:val="17"/>
          <w:rFonts w:hint="eastAsia" w:ascii="方正仿宋_GBK" w:hAnsi="方正仿宋_GBK" w:eastAsia="方正仿宋_GBK" w:cs="方正仿宋_GBK"/>
          <w:b w:val="0"/>
          <w:sz w:val="32"/>
          <w:szCs w:val="32"/>
        </w:rPr>
        <w:t>万元，完成预100%算数。</w:t>
      </w:r>
    </w:p>
    <w:p w14:paraId="272B8AE3">
      <w:pPr>
        <w:spacing w:line="600" w:lineRule="exact"/>
        <w:ind w:firstLine="640" w:firstLineChars="200"/>
        <w:rPr>
          <w:rStyle w:val="17"/>
          <w:rFonts w:hint="eastAsia" w:ascii="方正仿宋_GBK" w:hAnsi="方正仿宋_GBK" w:eastAsia="方正仿宋_GBK" w:cs="方正仿宋_GBK"/>
          <w:b w:val="0"/>
          <w:sz w:val="32"/>
          <w:szCs w:val="32"/>
        </w:rPr>
      </w:pPr>
      <w:r>
        <w:rPr>
          <w:rStyle w:val="17"/>
          <w:rFonts w:ascii="方正仿宋_GBK" w:hAnsi="方正仿宋_GBK" w:eastAsia="方正仿宋_GBK" w:cs="方正仿宋_GBK"/>
          <w:b w:val="0"/>
          <w:sz w:val="32"/>
          <w:szCs w:val="32"/>
        </w:rPr>
        <w:t>9</w:t>
      </w:r>
      <w:r>
        <w:rPr>
          <w:rStyle w:val="17"/>
          <w:rFonts w:hint="eastAsia" w:ascii="方正仿宋_GBK" w:hAnsi="方正仿宋_GBK" w:eastAsia="方正仿宋_GBK" w:cs="方正仿宋_GBK"/>
          <w:b w:val="0"/>
          <w:sz w:val="32"/>
          <w:szCs w:val="32"/>
        </w:rPr>
        <w:t>.</w:t>
      </w:r>
      <w:r>
        <w:rPr>
          <w:rFonts w:hint="eastAsia" w:ascii="方正仿宋_GBK" w:hAnsi="方正仿宋_GBK" w:eastAsia="方正仿宋_GBK" w:cs="方正仿宋_GBK"/>
        </w:rPr>
        <w:t xml:space="preserve"> </w:t>
      </w:r>
      <w:r>
        <w:rPr>
          <w:rFonts w:hint="eastAsia" w:ascii="方正仿宋_GBK" w:hAnsi="方正仿宋_GBK" w:eastAsia="方正仿宋_GBK" w:cs="方正仿宋_GBK"/>
          <w:sz w:val="32"/>
          <w:szCs w:val="32"/>
        </w:rPr>
        <w:t>卫生健康支出</w:t>
      </w:r>
      <w:r>
        <w:rPr>
          <w:rStyle w:val="17"/>
          <w:rFonts w:hint="eastAsia" w:ascii="方正仿宋_GBK" w:hAnsi="方正仿宋_GBK" w:eastAsia="方正仿宋_GBK" w:cs="方正仿宋_GBK"/>
          <w:b w:val="0"/>
          <w:sz w:val="32"/>
          <w:szCs w:val="32"/>
        </w:rPr>
        <w:t>（类）行政事业单位医疗（款）其他行政事业单位医疗支出（项）:支出决算为</w:t>
      </w:r>
      <w:r>
        <w:rPr>
          <w:rStyle w:val="17"/>
          <w:rFonts w:ascii="方正仿宋_GBK" w:hAnsi="方正仿宋_GBK" w:eastAsia="方正仿宋_GBK" w:cs="方正仿宋_GBK"/>
          <w:b w:val="0"/>
          <w:sz w:val="32"/>
          <w:szCs w:val="32"/>
        </w:rPr>
        <w:t>1.29</w:t>
      </w:r>
      <w:r>
        <w:rPr>
          <w:rStyle w:val="17"/>
          <w:rFonts w:hint="eastAsia" w:ascii="方正仿宋_GBK" w:hAnsi="方正仿宋_GBK" w:eastAsia="方正仿宋_GBK" w:cs="方正仿宋_GBK"/>
          <w:b w:val="0"/>
          <w:sz w:val="32"/>
          <w:szCs w:val="32"/>
        </w:rPr>
        <w:t>万元，完成预100%算数。</w:t>
      </w:r>
    </w:p>
    <w:p w14:paraId="3167E89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1F78E08">
      <w:pPr>
        <w:tabs>
          <w:tab w:val="right" w:pos="8306"/>
        </w:tabs>
        <w:spacing w:line="600" w:lineRule="exact"/>
        <w:ind w:firstLine="640"/>
        <w:outlineLvl w:val="1"/>
        <w:rPr>
          <w:rStyle w:val="21"/>
          <w:rFonts w:ascii="Times New Roman" w:hAnsi="Times New Roman"/>
          <w:color w:val="auto"/>
          <w:highlight w:val="none"/>
        </w:rPr>
      </w:pPr>
      <w:bookmarkStart w:id="69" w:name="_Toc15396608"/>
      <w:bookmarkStart w:id="70" w:name="_Toc15377214"/>
      <w:bookmarkStart w:id="71" w:name="_Toc19018779"/>
      <w:bookmarkStart w:id="72" w:name="_Toc10426270"/>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般公共预算财政拨款基本支出决算情况说明</w:t>
      </w:r>
      <w:bookmarkEnd w:id="69"/>
      <w:bookmarkEnd w:id="70"/>
      <w:r>
        <w:rPr>
          <w:rStyle w:val="21"/>
          <w:rFonts w:ascii="Times New Roman" w:hAnsi="Times New Roman" w:eastAsia="黑体"/>
          <w:b w:val="0"/>
          <w:color w:val="auto"/>
          <w:highlight w:val="none"/>
        </w:rPr>
        <w:tab/>
      </w:r>
      <w:bookmarkEnd w:id="71"/>
      <w:bookmarkEnd w:id="72"/>
    </w:p>
    <w:p w14:paraId="16CDE7C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一般公共预算财政拨款基本支出</w:t>
      </w:r>
      <w:r>
        <w:rPr>
          <w:rFonts w:hint="eastAsia" w:ascii="仿宋_GB2312" w:hAnsi="仿宋_GB2312" w:eastAsia="仿宋_GB2312" w:cs="仿宋_GB2312"/>
          <w:sz w:val="32"/>
          <w:szCs w:val="32"/>
        </w:rPr>
        <w:t>215.59</w:t>
      </w:r>
      <w:r>
        <w:rPr>
          <w:rFonts w:hint="eastAsia" w:ascii="Times New Roman" w:hAnsi="Times New Roman" w:eastAsia="仿宋_GB2312" w:cs="仿宋_GB2312"/>
          <w:color w:val="auto"/>
          <w:kern w:val="2"/>
          <w:sz w:val="32"/>
          <w:szCs w:val="32"/>
          <w:highlight w:val="none"/>
          <w:lang w:val="en-US" w:eastAsia="zh-CN" w:bidi="ar-SA"/>
        </w:rPr>
        <w:t>万元，其中：</w:t>
      </w:r>
    </w:p>
    <w:p w14:paraId="088EEAF7">
      <w:pPr>
        <w:spacing w:line="600" w:lineRule="exact"/>
        <w:ind w:firstLine="640"/>
        <w:rPr>
          <w:rFonts w:ascii="仿宋" w:eastAsia="仿宋"/>
          <w:sz w:val="32"/>
          <w:szCs w:val="32"/>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204.05</w:t>
      </w:r>
      <w:r>
        <w:rPr>
          <w:rFonts w:hint="eastAsia" w:ascii="Times New Roman" w:hAnsi="Times New Roman" w:eastAsia="仿宋_GB2312" w:cs="仿宋_GB2312"/>
          <w:color w:val="auto"/>
          <w:kern w:val="2"/>
          <w:sz w:val="32"/>
          <w:szCs w:val="32"/>
          <w:highlight w:val="none"/>
          <w:lang w:val="en-US" w:eastAsia="zh-CN" w:bidi="ar-SA"/>
        </w:rPr>
        <w:t>万元，主要包括：</w:t>
      </w:r>
      <w:r>
        <w:rPr>
          <w:rFonts w:hint="eastAsia" w:ascii="仿宋" w:eastAsia="仿宋"/>
          <w:sz w:val="32"/>
          <w:szCs w:val="32"/>
        </w:rPr>
        <w:t>基本工资、津贴补贴、绩效工资、机关事业单位基本养老保险缴费、其他社会保障缴费、公务员医疗补助缴费、职工基本医疗保险缴费、住房公积金、其他对家庭和个人的补助、生活补助、医疗补助等</w:t>
      </w:r>
    </w:p>
    <w:p w14:paraId="66872DE0">
      <w:pPr>
        <w:spacing w:line="600" w:lineRule="exact"/>
        <w:ind w:firstLine="645"/>
        <w:rPr>
          <w:rFonts w:ascii="仿宋" w:eastAsia="仿宋"/>
          <w:sz w:val="32"/>
          <w:szCs w:val="32"/>
        </w:rPr>
      </w:pPr>
      <w:r>
        <w:rPr>
          <w:rFonts w:hint="eastAsia" w:ascii="Times New Roman" w:hAnsi="Times New Roman" w:eastAsia="仿宋_GB2312" w:cs="仿宋_GB2312"/>
          <w:color w:val="auto"/>
          <w:kern w:val="2"/>
          <w:sz w:val="32"/>
          <w:szCs w:val="32"/>
          <w:highlight w:val="none"/>
          <w:lang w:val="en-US" w:eastAsia="zh-CN" w:bidi="ar-SA"/>
        </w:rPr>
        <w:t>公用经费</w:t>
      </w:r>
      <w:r>
        <w:rPr>
          <w:rFonts w:hint="eastAsia" w:ascii="仿宋_GB2312" w:hAnsi="仿宋_GB2312" w:eastAsia="仿宋_GB2312" w:cs="仿宋_GB2312"/>
          <w:sz w:val="32"/>
          <w:szCs w:val="32"/>
        </w:rPr>
        <w:t>11.55</w:t>
      </w:r>
      <w:r>
        <w:rPr>
          <w:rFonts w:hint="eastAsia" w:ascii="Times New Roman" w:hAnsi="Times New Roman" w:eastAsia="仿宋_GB2312" w:cs="仿宋_GB2312"/>
          <w:color w:val="auto"/>
          <w:kern w:val="2"/>
          <w:sz w:val="32"/>
          <w:szCs w:val="32"/>
          <w:highlight w:val="none"/>
          <w:lang w:val="en-US" w:eastAsia="zh-CN" w:bidi="ar-SA"/>
        </w:rPr>
        <w:t>万元，主要包括：</w:t>
      </w:r>
      <w:r>
        <w:rPr>
          <w:rFonts w:hint="eastAsia" w:ascii="仿宋" w:eastAsia="仿宋"/>
          <w:sz w:val="32"/>
          <w:szCs w:val="32"/>
        </w:rPr>
        <w:t>办公费、水费、电费、邮电费、差旅费、工会经费、福利费、其他商品和服务支出等。</w:t>
      </w:r>
    </w:p>
    <w:p w14:paraId="485E4EB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5FADF68">
      <w:pPr>
        <w:spacing w:line="600" w:lineRule="exact"/>
        <w:ind w:firstLine="640"/>
        <w:outlineLvl w:val="1"/>
        <w:rPr>
          <w:rStyle w:val="21"/>
          <w:rFonts w:ascii="Times New Roman" w:hAnsi="Times New Roman" w:eastAsia="黑体"/>
          <w:b w:val="0"/>
          <w:color w:val="auto"/>
          <w:highlight w:val="none"/>
        </w:rPr>
      </w:pPr>
      <w:bookmarkStart w:id="73" w:name="_Toc15396609"/>
      <w:bookmarkStart w:id="74" w:name="_Toc10426271"/>
      <w:bookmarkStart w:id="75" w:name="_Toc19018780"/>
      <w:bookmarkStart w:id="76" w:name="_Toc15377215"/>
      <w:r>
        <w:rPr>
          <w:rFonts w:hint="eastAsia" w:ascii="Times New Roman" w:hAnsi="Times New Roman" w:eastAsia="黑体"/>
          <w:color w:val="auto"/>
          <w:sz w:val="32"/>
          <w:szCs w:val="32"/>
          <w:highlight w:val="none"/>
        </w:rPr>
        <w:t>七、</w:t>
      </w:r>
      <w:r>
        <w:rPr>
          <w:rStyle w:val="21"/>
          <w:rFonts w:hint="eastAsia" w:ascii="Times New Roman" w:hAnsi="Times New Roman" w:eastAsia="黑体"/>
          <w:b w:val="0"/>
          <w:color w:val="auto"/>
          <w:highlight w:val="none"/>
        </w:rPr>
        <w:t>财政拨款</w:t>
      </w:r>
      <w:r>
        <w:rPr>
          <w:rStyle w:val="21"/>
          <w:rFonts w:hint="eastAsia" w:ascii="Times New Roman" w:hAnsi="Times New Roman" w:eastAsia="黑体"/>
          <w:color w:val="auto"/>
          <w:highlight w:val="none"/>
        </w:rPr>
        <w:t>“</w:t>
      </w:r>
      <w:r>
        <w:rPr>
          <w:rStyle w:val="21"/>
          <w:rFonts w:hint="eastAsia" w:ascii="Times New Roman" w:hAnsi="Times New Roman" w:eastAsia="黑体"/>
          <w:b w:val="0"/>
          <w:color w:val="auto"/>
          <w:highlight w:val="none"/>
        </w:rPr>
        <w:t>三公”经费支出决算情况说明</w:t>
      </w:r>
      <w:bookmarkEnd w:id="73"/>
      <w:bookmarkEnd w:id="74"/>
      <w:bookmarkEnd w:id="75"/>
      <w:bookmarkEnd w:id="76"/>
    </w:p>
    <w:p w14:paraId="6B877E9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7"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77"/>
    </w:p>
    <w:p w14:paraId="187B0566">
      <w:pPr>
        <w:spacing w:line="600" w:lineRule="exact"/>
        <w:ind w:firstLine="640"/>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2025年度财政拨款“三公”经费支出决算为</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kern w:val="2"/>
          <w:sz w:val="32"/>
          <w:szCs w:val="32"/>
          <w:highlight w:val="none"/>
          <w:lang w:val="en-US" w:eastAsia="zh-CN" w:bidi="ar-SA"/>
        </w:rPr>
        <w:t>万元，完成预算</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kern w:val="2"/>
          <w:sz w:val="32"/>
          <w:szCs w:val="32"/>
          <w:highlight w:val="none"/>
          <w:lang w:val="en-US" w:eastAsia="zh-CN" w:bidi="ar-SA"/>
        </w:rPr>
        <w:t>%，较上年度减少0.22万元，下降100%。与预算数持平的主要原因是当年度未发生公务接待支出。</w:t>
      </w:r>
    </w:p>
    <w:p w14:paraId="6B151EF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8"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78"/>
    </w:p>
    <w:p w14:paraId="4A6E1ACE">
      <w:pPr>
        <w:spacing w:line="600" w:lineRule="exact"/>
        <w:ind w:firstLine="640"/>
        <w:rPr>
          <w:rFonts w:hint="eastAsia" w:ascii="方正仿宋_GBK" w:hAnsi="方正仿宋_GBK" w:eastAsia="方正仿宋_GBK" w:cs="方正仿宋_GBK"/>
          <w:color w:val="auto"/>
          <w:kern w:val="2"/>
          <w:sz w:val="32"/>
          <w:szCs w:val="32"/>
          <w:highlight w:val="none"/>
          <w:lang w:val="en-US" w:eastAsia="zh-CN" w:bidi="ar-SA"/>
        </w:rPr>
      </w:pPr>
      <w:r>
        <w:rPr>
          <w:rFonts w:hint="eastAsia" w:ascii="方正仿宋_GBK" w:hAnsi="方正仿宋_GBK" w:eastAsia="方正仿宋_GBK" w:cs="方正仿宋_GBK"/>
          <w:color w:val="auto"/>
          <w:kern w:val="2"/>
          <w:sz w:val="32"/>
          <w:szCs w:val="32"/>
          <w:highlight w:val="none"/>
          <w:lang w:val="en-US" w:eastAsia="zh-CN" w:bidi="ar-SA"/>
        </w:rPr>
        <w:t>2025</w:t>
      </w:r>
      <w:r>
        <w:rPr>
          <w:rFonts w:hint="eastAsia" w:eastAsia="仿宋_GB2312" w:cs="仿宋_GB2312"/>
          <w:color w:val="auto"/>
          <w:kern w:val="2"/>
          <w:sz w:val="32"/>
          <w:szCs w:val="32"/>
          <w:highlight w:val="none"/>
          <w:lang w:val="en-US" w:eastAsia="zh-CN" w:bidi="ar-SA"/>
        </w:rPr>
        <w:t>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财政拨款“三公”经费支出决算中，因公出国（境）费支出决算</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方正仿宋_GBK" w:hAnsi="方正仿宋_GBK" w:eastAsia="方正仿宋_GBK" w:cs="方正仿宋_GBK"/>
          <w:color w:val="auto"/>
          <w:kern w:val="2"/>
          <w:sz w:val="32"/>
          <w:szCs w:val="32"/>
          <w:highlight w:val="none"/>
          <w:lang w:val="en-US" w:eastAsia="zh-CN" w:bidi="ar-SA"/>
        </w:rPr>
        <w:t>，占0%；公务用车购置及运行维护费支出决算</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kern w:val="2"/>
          <w:sz w:val="32"/>
          <w:szCs w:val="32"/>
          <w:highlight w:val="none"/>
          <w:lang w:val="en-US" w:eastAsia="zh-CN" w:bidi="ar-SA"/>
        </w:rPr>
        <w:t>万元，占0%；公务接待费支出决算</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kern w:val="2"/>
          <w:sz w:val="32"/>
          <w:szCs w:val="32"/>
          <w:highlight w:val="none"/>
          <w:lang w:val="en-US" w:eastAsia="zh-CN" w:bidi="ar-SA"/>
        </w:rPr>
        <w:t>万元，占0%。具体情况如下：</w:t>
      </w:r>
    </w:p>
    <w:p w14:paraId="5FFB314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BE00B4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ascii="仿宋_GB2312" w:hAnsi="仿宋_GB2312" w:eastAsia="仿宋_GB2312" w:cs="仿宋_GB2312"/>
          <w:sz w:val="32"/>
          <w:szCs w:val="32"/>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ascii="Times New Roman" w:hAnsi="Times New Roman"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w:t>
      </w:r>
    </w:p>
    <w:p w14:paraId="3344687B">
      <w:pPr>
        <w:spacing w:line="600" w:lineRule="exact"/>
        <w:ind w:firstLine="640"/>
        <w:rPr>
          <w:rFonts w:hint="eastAsia" w:ascii="方正仿宋_GBK" w:hAnsi="方正仿宋_GBK" w:eastAsia="方正仿宋_GBK" w:cs="方正仿宋_GBK"/>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ascii="Times New Roman" w:hAnsi="Times New Roman"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ascii="方正仿宋_GBK" w:hAnsi="方正仿宋_GBK" w:eastAsia="方正仿宋_GBK" w:cs="方正仿宋_GBK"/>
          <w:color w:val="auto"/>
          <w:kern w:val="2"/>
          <w:sz w:val="32"/>
          <w:szCs w:val="32"/>
          <w:highlight w:val="none"/>
          <w:lang w:val="en-US" w:eastAsia="zh-CN" w:bidi="ar-SA"/>
        </w:rPr>
        <w:t>0辆，其中：轿车0辆、金额0万元，越野车0辆、金额0万元，载客汽车0辆、金额0万元。截至2025年12月31日，单位共有公务用车0辆，其中：轿车0辆、越野车0辆、载客汽车0辆。</w:t>
      </w:r>
    </w:p>
    <w:p w14:paraId="40787357">
      <w:pPr>
        <w:spacing w:line="600" w:lineRule="exact"/>
        <w:ind w:firstLine="640"/>
        <w:rPr>
          <w:rFonts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w:t>
      </w:r>
    </w:p>
    <w:p w14:paraId="009A3D9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ascii="Times New Roman" w:hAnsi="Times New Roman"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年度减少</w:t>
      </w:r>
      <w:r>
        <w:rPr>
          <w:rFonts w:hint="eastAsia" w:ascii="方正仿宋_GBK" w:hAnsi="方正仿宋_GBK" w:eastAsia="方正仿宋_GBK" w:cs="方正仿宋_GBK"/>
          <w:color w:val="auto"/>
          <w:kern w:val="2"/>
          <w:sz w:val="32"/>
          <w:szCs w:val="32"/>
          <w:highlight w:val="none"/>
          <w:lang w:val="en-US" w:eastAsia="zh-CN" w:bidi="ar-SA"/>
        </w:rPr>
        <w:t>0.22万元，下降100%。主要原因是2025年度未发生公务接待。其</w:t>
      </w:r>
      <w:r>
        <w:rPr>
          <w:rFonts w:hint="eastAsia" w:ascii="Times New Roman" w:hAnsi="Times New Roman" w:eastAsia="仿宋_GB2312" w:cs="仿宋_GB2312"/>
          <w:color w:val="auto"/>
          <w:kern w:val="2"/>
          <w:sz w:val="32"/>
          <w:szCs w:val="32"/>
          <w:highlight w:val="none"/>
          <w:lang w:val="en-US" w:eastAsia="zh-CN" w:bidi="ar-SA"/>
        </w:rPr>
        <w:t>中：</w:t>
      </w:r>
    </w:p>
    <w:p w14:paraId="291899F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万元。国内公务接待</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ascii="Times New Roman" w:hAnsi="Times New Roman"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14:paraId="0FF0AC5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ascii="Times New Roman" w:hAnsi="Times New Roman"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14:paraId="28AABD9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79" w:name="_Toc15396610"/>
      <w:bookmarkStart w:id="80" w:name="_Toc15377218"/>
    </w:p>
    <w:p w14:paraId="123D0C2E">
      <w:pPr>
        <w:spacing w:line="600" w:lineRule="exact"/>
        <w:ind w:firstLine="640"/>
        <w:outlineLvl w:val="1"/>
        <w:rPr>
          <w:rStyle w:val="21"/>
          <w:rFonts w:ascii="Times New Roman" w:hAnsi="Times New Roman" w:eastAsia="黑体"/>
          <w:color w:val="auto"/>
          <w:highlight w:val="none"/>
        </w:rPr>
      </w:pPr>
      <w:bookmarkStart w:id="81" w:name="_Toc19018781"/>
      <w:bookmarkStart w:id="82" w:name="_Toc10426272"/>
      <w:r>
        <w:rPr>
          <w:rFonts w:hint="eastAsia" w:ascii="Times New Roman" w:hAnsi="Times New Roman" w:eastAsia="黑体"/>
          <w:color w:val="auto"/>
          <w:sz w:val="32"/>
          <w:szCs w:val="32"/>
          <w:highlight w:val="none"/>
        </w:rPr>
        <w:t>八、</w:t>
      </w:r>
      <w:r>
        <w:rPr>
          <w:rStyle w:val="21"/>
          <w:rFonts w:hint="eastAsia" w:ascii="Times New Roman" w:hAnsi="Times New Roman" w:eastAsia="黑体"/>
          <w:b w:val="0"/>
          <w:color w:val="auto"/>
          <w:highlight w:val="none"/>
        </w:rPr>
        <w:t>政府性基金预算支出决算情况说明</w:t>
      </w:r>
      <w:bookmarkEnd w:id="79"/>
      <w:bookmarkEnd w:id="80"/>
      <w:bookmarkEnd w:id="81"/>
      <w:bookmarkEnd w:id="82"/>
    </w:p>
    <w:p w14:paraId="37AFFE92">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政府性基金预算财政拨款支出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w:t>
      </w:r>
      <w:r>
        <w:rPr>
          <w:rFonts w:ascii="Times New Roman" w:hAnsi="Times New Roman" w:eastAsia="仿宋_GB2312" w:cs="仿宋_GB2312"/>
          <w:color w:val="auto"/>
          <w:kern w:val="2"/>
          <w:sz w:val="32"/>
          <w:szCs w:val="32"/>
          <w:highlight w:val="none"/>
          <w:lang w:val="en-US" w:eastAsia="zh-CN" w:bidi="ar-SA"/>
        </w:rPr>
        <w:t>持平。</w:t>
      </w:r>
    </w:p>
    <w:p w14:paraId="19A540D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E115FF9">
      <w:pPr>
        <w:spacing w:line="600" w:lineRule="exact"/>
        <w:ind w:left="630"/>
        <w:outlineLvl w:val="1"/>
        <w:rPr>
          <w:rStyle w:val="21"/>
          <w:rFonts w:ascii="Times New Roman" w:hAnsi="Times New Roman" w:eastAsia="黑体"/>
          <w:b w:val="0"/>
          <w:color w:val="auto"/>
          <w:highlight w:val="none"/>
        </w:rPr>
      </w:pPr>
      <w:bookmarkStart w:id="83" w:name="_Toc15377219"/>
      <w:bookmarkStart w:id="84" w:name="_Toc15396611"/>
      <w:bookmarkStart w:id="85" w:name="_Toc10426273"/>
      <w:bookmarkStart w:id="86" w:name="_Toc19018782"/>
      <w:r>
        <w:rPr>
          <w:rStyle w:val="21"/>
          <w:rFonts w:hint="eastAsia" w:ascii="Times New Roman" w:hAnsi="Times New Roman" w:eastAsia="黑体"/>
          <w:b w:val="0"/>
          <w:color w:val="auto"/>
          <w:highlight w:val="none"/>
          <w:lang w:eastAsia="zh-CN"/>
        </w:rPr>
        <w:t>九、</w:t>
      </w:r>
      <w:r>
        <w:rPr>
          <w:rStyle w:val="21"/>
          <w:rFonts w:hint="eastAsia" w:ascii="Times New Roman" w:hAnsi="Times New Roman" w:eastAsia="黑体"/>
          <w:b w:val="0"/>
          <w:color w:val="auto"/>
          <w:highlight w:val="none"/>
        </w:rPr>
        <w:t>国有资本经营预算支出决算情况说明</w:t>
      </w:r>
      <w:bookmarkEnd w:id="83"/>
      <w:bookmarkEnd w:id="84"/>
      <w:bookmarkEnd w:id="85"/>
      <w:bookmarkEnd w:id="86"/>
    </w:p>
    <w:p w14:paraId="3D2C493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国有资本经营预算财政拨款支出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w:t>
      </w:r>
      <w:r>
        <w:rPr>
          <w:rFonts w:ascii="Times New Roman" w:hAnsi="Times New Roman" w:eastAsia="仿宋_GB2312" w:cs="仿宋_GB2312"/>
          <w:color w:val="auto"/>
          <w:kern w:val="2"/>
          <w:sz w:val="32"/>
          <w:szCs w:val="32"/>
          <w:highlight w:val="none"/>
          <w:lang w:val="en-US" w:eastAsia="zh-CN" w:bidi="ar-SA"/>
        </w:rPr>
        <w:t>持平。</w:t>
      </w:r>
    </w:p>
    <w:p w14:paraId="3889CE9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79863D2">
      <w:pPr>
        <w:spacing w:line="600" w:lineRule="exact"/>
        <w:ind w:left="630"/>
        <w:outlineLvl w:val="1"/>
        <w:rPr>
          <w:rStyle w:val="21"/>
          <w:rFonts w:hint="eastAsia" w:ascii="Times New Roman" w:hAnsi="Times New Roman" w:eastAsia="黑体"/>
          <w:b w:val="0"/>
          <w:color w:val="auto"/>
          <w:highlight w:val="none"/>
        </w:rPr>
      </w:pPr>
      <w:bookmarkStart w:id="87" w:name="_Toc15396612"/>
      <w:bookmarkStart w:id="88" w:name="_Toc19018783"/>
      <w:bookmarkStart w:id="89" w:name="_Toc10426274"/>
      <w:bookmarkStart w:id="90" w:name="_Toc15377221"/>
      <w:r>
        <w:rPr>
          <w:rStyle w:val="21"/>
          <w:rFonts w:hint="eastAsia" w:ascii="Times New Roman" w:hAnsi="Times New Roman" w:eastAsia="黑体"/>
          <w:b w:val="0"/>
          <w:color w:val="auto"/>
          <w:highlight w:val="none"/>
          <w:lang w:eastAsia="zh-CN"/>
        </w:rPr>
        <w:t>十、</w:t>
      </w:r>
      <w:r>
        <w:rPr>
          <w:rStyle w:val="21"/>
          <w:rFonts w:hint="eastAsia" w:ascii="Times New Roman" w:hAnsi="Times New Roman" w:eastAsia="黑体"/>
          <w:b w:val="0"/>
          <w:color w:val="auto"/>
          <w:highlight w:val="none"/>
        </w:rPr>
        <w:t>其他重要事项的情况说明</w:t>
      </w:r>
      <w:bookmarkEnd w:id="87"/>
      <w:bookmarkEnd w:id="88"/>
      <w:bookmarkEnd w:id="89"/>
      <w:bookmarkEnd w:id="90"/>
    </w:p>
    <w:p w14:paraId="49EE16C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91" w:name="_Toc15377222"/>
      <w:r>
        <w:rPr>
          <w:rFonts w:hint="eastAsia" w:ascii="Times New Roman" w:hAnsi="Times New Roman" w:eastAsia="楷体_GB2312" w:cs="楷体_GB2312"/>
          <w:b/>
          <w:color w:val="auto"/>
          <w:sz w:val="32"/>
          <w:szCs w:val="32"/>
          <w:highlight w:val="none"/>
        </w:rPr>
        <w:t>（一）机关运行经费支出情况</w:t>
      </w:r>
      <w:bookmarkEnd w:id="91"/>
    </w:p>
    <w:p w14:paraId="2BD6119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攀枝花市地理信息中心</w:t>
      </w:r>
      <w:r>
        <w:rPr>
          <w:rFonts w:hint="eastAsia" w:ascii="Times New Roman" w:hAnsi="Times New Roman"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年度决算数持平。</w:t>
      </w:r>
    </w:p>
    <w:p w14:paraId="35C87FA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92" w:name="_Toc15377223"/>
      <w:r>
        <w:rPr>
          <w:rFonts w:hint="eastAsia" w:ascii="Times New Roman" w:hAnsi="Times New Roman" w:eastAsia="楷体_GB2312" w:cs="楷体_GB2312"/>
          <w:b/>
          <w:color w:val="auto"/>
          <w:sz w:val="32"/>
          <w:szCs w:val="32"/>
          <w:highlight w:val="none"/>
        </w:rPr>
        <w:t>（二）政府采购支出情况</w:t>
      </w:r>
      <w:bookmarkEnd w:id="92"/>
    </w:p>
    <w:p w14:paraId="3BAB8D82">
      <w:pPr>
        <w:spacing w:line="600" w:lineRule="exact"/>
        <w:ind w:firstLine="640"/>
        <w:rPr>
          <w:rFonts w:hint="eastAsia" w:ascii="方正仿宋_GBK" w:hAnsi="方正仿宋_GBK" w:eastAsia="方正仿宋_GBK" w:cs="方正仿宋_GBK"/>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攀枝花市地理信息中心</w:t>
      </w:r>
      <w:r>
        <w:rPr>
          <w:rFonts w:hint="eastAsia" w:ascii="Times New Roman" w:hAnsi="Times New Roman"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kern w:val="2"/>
          <w:sz w:val="32"/>
          <w:szCs w:val="32"/>
          <w:highlight w:val="none"/>
          <w:lang w:val="en-US" w:eastAsia="zh-CN" w:bidi="ar-SA"/>
        </w:rPr>
        <w:t>%，其中：授予小微企业合同金额</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kern w:val="2"/>
          <w:sz w:val="32"/>
          <w:szCs w:val="32"/>
          <w:highlight w:val="none"/>
          <w:lang w:val="en-US" w:eastAsia="zh-CN" w:bidi="ar-SA"/>
        </w:rPr>
        <w:t>万元，占政府采购支出总额的</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color w:val="auto"/>
          <w:kern w:val="2"/>
          <w:sz w:val="32"/>
          <w:szCs w:val="32"/>
          <w:highlight w:val="none"/>
          <w:lang w:val="en-US" w:eastAsia="zh-CN" w:bidi="ar-SA"/>
        </w:rPr>
        <w:t>%。</w:t>
      </w:r>
    </w:p>
    <w:p w14:paraId="1748570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BCCF1B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93" w:name="_Toc15377224"/>
      <w:r>
        <w:rPr>
          <w:rFonts w:hint="eastAsia" w:ascii="Times New Roman" w:hAnsi="Times New Roman" w:eastAsia="楷体_GB2312" w:cs="楷体_GB2312"/>
          <w:b/>
          <w:color w:val="auto"/>
          <w:sz w:val="32"/>
          <w:szCs w:val="32"/>
          <w:highlight w:val="none"/>
        </w:rPr>
        <w:t>（三）国有资产占有使用情况</w:t>
      </w:r>
      <w:bookmarkEnd w:id="93"/>
    </w:p>
    <w:p w14:paraId="4427ED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w:t>
      </w:r>
      <w:r>
        <w:rPr>
          <w:rFonts w:hint="eastAsia" w:ascii="仿宋_GB2312" w:hAnsi="仿宋_GB2312" w:eastAsia="仿宋_GB2312" w:cs="仿宋_GB2312"/>
          <w:sz w:val="32"/>
          <w:szCs w:val="32"/>
        </w:rPr>
        <w:t>攀枝花市地理信息中心</w:t>
      </w:r>
      <w:r>
        <w:rPr>
          <w:rFonts w:hint="eastAsia" w:ascii="Times New Roman" w:hAnsi="Times New Roman"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辆，其中：副部（省）级及以上领导用车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辆、主要</w:t>
      </w:r>
      <w:r>
        <w:rPr>
          <w:rFonts w:hint="eastAsia" w:eastAsia="仿宋_GB2312" w:cs="仿宋_GB2312"/>
          <w:color w:val="auto"/>
          <w:kern w:val="2"/>
          <w:sz w:val="32"/>
          <w:szCs w:val="32"/>
          <w:highlight w:val="none"/>
          <w:lang w:val="en-US" w:eastAsia="zh-CN" w:bidi="ar-SA"/>
        </w:rPr>
        <w:t>负责人</w:t>
      </w:r>
      <w:r>
        <w:rPr>
          <w:rFonts w:hint="eastAsia" w:ascii="Times New Roman" w:hAnsi="Times New Roman" w:eastAsia="仿宋_GB2312" w:cs="仿宋_GB2312"/>
          <w:color w:val="auto"/>
          <w:kern w:val="2"/>
          <w:sz w:val="32"/>
          <w:szCs w:val="32"/>
          <w:highlight w:val="none"/>
          <w:lang w:val="en-US" w:eastAsia="zh-CN" w:bidi="ar-SA"/>
        </w:rPr>
        <w:t>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辆、执法执勤用车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辆、特种专业技术用车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辆、离退休干部服务用车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单价100万元</w:t>
      </w:r>
      <w:r>
        <w:rPr>
          <w:rFonts w:hint="eastAsia" w:eastAsia="仿宋_GB2312" w:cs="仿宋_GB2312"/>
          <w:color w:val="auto"/>
          <w:kern w:val="2"/>
          <w:sz w:val="32"/>
          <w:szCs w:val="32"/>
          <w:highlight w:val="none"/>
          <w:lang w:val="en-US" w:eastAsia="zh-CN" w:bidi="ar-SA"/>
        </w:rPr>
        <w:t>（含）</w:t>
      </w:r>
      <w:r>
        <w:rPr>
          <w:rFonts w:hint="eastAsia" w:ascii="Times New Roman" w:hAnsi="Times New Roman" w:eastAsia="仿宋_GB2312" w:cs="仿宋_GB2312"/>
          <w:color w:val="auto"/>
          <w:kern w:val="2"/>
          <w:sz w:val="32"/>
          <w:szCs w:val="32"/>
          <w:highlight w:val="none"/>
          <w:lang w:val="en-US" w:eastAsia="zh-CN" w:bidi="ar-SA"/>
        </w:rPr>
        <w:t>以上设备（不含车辆）</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台（套）。</w:t>
      </w:r>
    </w:p>
    <w:p w14:paraId="41D9CFF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FE0CF1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06CB838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ascii="Times New Roman" w:hAnsi="Times New Roman" w:eastAsia="仿宋_GB2312" w:cs="仿宋_GB2312"/>
          <w:color w:val="auto"/>
          <w:kern w:val="2"/>
          <w:sz w:val="32"/>
          <w:szCs w:val="32"/>
          <w:highlight w:val="none"/>
          <w:lang w:val="en-US" w:eastAsia="zh-CN" w:bidi="ar-SA"/>
        </w:rPr>
        <w:t>攀枝花市地理信息中心</w:t>
      </w:r>
      <w:r>
        <w:rPr>
          <w:rFonts w:hint="eastAsia" w:ascii="Times New Roman" w:hAnsi="Times New Roman" w:eastAsia="仿宋_GB2312" w:cs="仿宋_GB2312"/>
          <w:color w:val="auto"/>
          <w:kern w:val="2"/>
          <w:sz w:val="32"/>
          <w:szCs w:val="32"/>
          <w:highlight w:val="none"/>
          <w:lang w:val="en-US" w:eastAsia="zh-CN" w:bidi="ar-SA"/>
        </w:rPr>
        <w:t>在2025年度，组织对</w:t>
      </w:r>
      <w:r>
        <w:rPr>
          <w:rFonts w:ascii="Times New Roman" w:hAnsi="Times New Roman" w:eastAsia="仿宋_GB2312" w:cs="仿宋_GB2312"/>
          <w:color w:val="auto"/>
          <w:kern w:val="2"/>
          <w:sz w:val="32"/>
          <w:szCs w:val="32"/>
          <w:highlight w:val="none"/>
          <w:lang w:val="en-US" w:eastAsia="zh-CN" w:bidi="ar-SA"/>
        </w:rPr>
        <w:t>生产成本</w:t>
      </w:r>
      <w:r>
        <w:rPr>
          <w:rFonts w:hint="eastAsia" w:ascii="Times New Roman" w:hAnsi="Times New Roman" w:eastAsia="仿宋_GB2312" w:cs="仿宋_GB2312"/>
          <w:color w:val="auto"/>
          <w:kern w:val="2"/>
          <w:sz w:val="32"/>
          <w:szCs w:val="32"/>
          <w:highlight w:val="none"/>
          <w:lang w:val="en-US" w:eastAsia="zh-CN" w:bidi="ar-SA"/>
        </w:rPr>
        <w:t>等</w:t>
      </w:r>
      <w:r>
        <w:rPr>
          <w:rFonts w:ascii="Times New Roman" w:hAnsi="Times New Roman"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个项目涉及金额</w:t>
      </w:r>
      <w:r>
        <w:rPr>
          <w:rFonts w:ascii="Times New Roman" w:hAnsi="Times New Roman" w:eastAsia="仿宋_GB2312" w:cs="仿宋_GB2312"/>
          <w:color w:val="auto"/>
          <w:kern w:val="2"/>
          <w:sz w:val="32"/>
          <w:szCs w:val="32"/>
          <w:highlight w:val="none"/>
          <w:lang w:val="en-US" w:eastAsia="zh-CN" w:bidi="ar-SA"/>
        </w:rPr>
        <w:t>49.73</w:t>
      </w:r>
      <w:r>
        <w:rPr>
          <w:rFonts w:hint="eastAsia" w:ascii="Times New Roman" w:hAnsi="Times New Roman" w:eastAsia="仿宋_GB2312" w:cs="仿宋_GB2312"/>
          <w:color w:val="auto"/>
          <w:kern w:val="2"/>
          <w:sz w:val="32"/>
          <w:szCs w:val="32"/>
          <w:highlight w:val="none"/>
          <w:lang w:val="en-US" w:eastAsia="zh-CN" w:bidi="ar-SA"/>
        </w:rPr>
        <w:t>万元开展了事前绩效评估，对</w:t>
      </w:r>
      <w:r>
        <w:rPr>
          <w:rFonts w:ascii="Times New Roman" w:hAnsi="Times New Roman"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ascii="Times New Roman" w:hAnsi="Times New Roman"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17FE7B65">
      <w:pPr>
        <w:spacing w:line="600" w:lineRule="exact"/>
        <w:ind w:firstLine="640"/>
        <w:rPr>
          <w:rFonts w:ascii="Times New Roman" w:hAnsi="Times New Roman" w:eastAsia="仿宋_GB2312" w:cs="仿宋_GB2312"/>
          <w:color w:val="auto"/>
          <w:kern w:val="2"/>
          <w:sz w:val="32"/>
          <w:szCs w:val="32"/>
          <w:highlight w:val="none"/>
          <w:lang w:val="en-US" w:eastAsia="zh-CN" w:bidi="ar-SA"/>
        </w:rPr>
      </w:pPr>
    </w:p>
    <w:p w14:paraId="0D250C25">
      <w:pPr>
        <w:pStyle w:val="2"/>
      </w:pPr>
    </w:p>
    <w:p w14:paraId="1D059080">
      <w:pPr>
        <w:pStyle w:val="3"/>
      </w:pPr>
    </w:p>
    <w:p w14:paraId="54D085C2"/>
    <w:p w14:paraId="034E4477">
      <w:pPr>
        <w:pStyle w:val="2"/>
      </w:pPr>
    </w:p>
    <w:p w14:paraId="79BD2FB0">
      <w:pPr>
        <w:pStyle w:val="3"/>
      </w:pPr>
    </w:p>
    <w:p w14:paraId="64D1B9FA"/>
    <w:p w14:paraId="58EC1CCD">
      <w:pPr>
        <w:pStyle w:val="2"/>
      </w:pPr>
    </w:p>
    <w:p w14:paraId="75FE89E0">
      <w:pPr>
        <w:pStyle w:val="3"/>
      </w:pPr>
    </w:p>
    <w:p w14:paraId="60ED35B1"/>
    <w:p w14:paraId="17E4B388">
      <w:pPr>
        <w:pStyle w:val="2"/>
      </w:pPr>
    </w:p>
    <w:p w14:paraId="66969908">
      <w:pPr>
        <w:pStyle w:val="3"/>
      </w:pPr>
    </w:p>
    <w:p w14:paraId="56C48737"/>
    <w:p w14:paraId="3CE33208">
      <w:pPr>
        <w:pStyle w:val="2"/>
      </w:pPr>
    </w:p>
    <w:p w14:paraId="38B5CA13">
      <w:pPr>
        <w:pStyle w:val="3"/>
      </w:pPr>
    </w:p>
    <w:p w14:paraId="1DE33EA7"/>
    <w:p w14:paraId="61C79C0E">
      <w:pPr>
        <w:pStyle w:val="2"/>
      </w:pPr>
    </w:p>
    <w:p w14:paraId="13523315">
      <w:pPr>
        <w:pStyle w:val="3"/>
      </w:pPr>
    </w:p>
    <w:p w14:paraId="2D5B227E"/>
    <w:p w14:paraId="7BFC81F3">
      <w:pPr>
        <w:pStyle w:val="2"/>
      </w:pPr>
    </w:p>
    <w:p w14:paraId="2D728628">
      <w:pPr>
        <w:pStyle w:val="3"/>
      </w:pPr>
    </w:p>
    <w:p w14:paraId="74C247FC"/>
    <w:p w14:paraId="103966A8">
      <w:pPr>
        <w:pStyle w:val="2"/>
      </w:pPr>
    </w:p>
    <w:p w14:paraId="5ABFB785">
      <w:pPr>
        <w:pStyle w:val="3"/>
      </w:pPr>
    </w:p>
    <w:p w14:paraId="14874D4D"/>
    <w:p w14:paraId="7E749043">
      <w:pPr>
        <w:pStyle w:val="2"/>
      </w:pPr>
    </w:p>
    <w:p w14:paraId="0640016E">
      <w:pPr>
        <w:pStyle w:val="3"/>
      </w:pPr>
    </w:p>
    <w:p w14:paraId="04A2700D"/>
    <w:p w14:paraId="3AA86A7C">
      <w:pPr>
        <w:pStyle w:val="2"/>
      </w:pPr>
    </w:p>
    <w:p w14:paraId="1A4A2642"/>
    <w:p w14:paraId="1D5A70B0">
      <w:pPr>
        <w:rPr>
          <w:rFonts w:hint="eastAsia"/>
        </w:rPr>
      </w:pPr>
    </w:p>
    <w:p w14:paraId="2F8CF1AD">
      <w:pPr>
        <w:spacing w:line="600" w:lineRule="exact"/>
        <w:jc w:val="center"/>
        <w:outlineLvl w:val="0"/>
        <w:rPr>
          <w:rFonts w:hint="eastAsia" w:ascii="Times New Roman" w:hAnsi="Times New Roman" w:eastAsia="黑体"/>
          <w:color w:val="auto"/>
          <w:sz w:val="44"/>
          <w:szCs w:val="44"/>
          <w:highlight w:val="none"/>
        </w:rPr>
      </w:pPr>
      <w:bookmarkStart w:id="94" w:name="_Toc15377225"/>
      <w:bookmarkStart w:id="95" w:name="_Toc19018784"/>
      <w:bookmarkStart w:id="96" w:name="_Toc15396613"/>
      <w:bookmarkStart w:id="97" w:name="_Toc1042627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94"/>
      <w:bookmarkEnd w:id="95"/>
      <w:bookmarkEnd w:id="96"/>
      <w:bookmarkEnd w:id="97"/>
    </w:p>
    <w:p w14:paraId="327FD5E0">
      <w:pPr>
        <w:spacing w:line="600" w:lineRule="exact"/>
        <w:jc w:val="left"/>
        <w:rPr>
          <w:rFonts w:ascii="Times New Roman" w:hAnsi="Times New Roman"/>
          <w:b/>
          <w:color w:val="auto"/>
          <w:sz w:val="44"/>
          <w:szCs w:val="44"/>
          <w:highlight w:val="none"/>
        </w:rPr>
      </w:pPr>
    </w:p>
    <w:p w14:paraId="07E4F160">
      <w:pPr>
        <w:pStyle w:val="27"/>
        <w:spacing w:line="560" w:lineRule="exact"/>
        <w:ind w:firstLine="640" w:firstLineChars="200"/>
        <w:rPr>
          <w:rFonts w:ascii="仿宋_GB2312" w:eastAsia="仿宋_GB2312"/>
          <w:color w:val="auto"/>
          <w:sz w:val="32"/>
          <w:szCs w:val="32"/>
        </w:rPr>
      </w:pPr>
      <w:bookmarkStart w:id="98" w:name="_Toc15396614"/>
      <w:bookmarkStart w:id="99"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5AB621A8">
      <w:pPr>
        <w:pStyle w:val="27"/>
        <w:spacing w:line="560" w:lineRule="exact"/>
        <w:ind w:firstLine="640" w:firstLineChars="200"/>
        <w:rPr>
          <w:rFonts w:ascii="仿宋_GB2312" w:eastAsia="仿宋_GB2312" w:cs="Times New Roman"/>
          <w:kern w:val="2"/>
          <w:sz w:val="32"/>
          <w:szCs w:val="32"/>
        </w:rPr>
      </w:pPr>
      <w:r>
        <w:rPr>
          <w:rFonts w:ascii="仿宋_GB2312" w:eastAsia="仿宋_GB2312"/>
          <w:color w:val="auto"/>
          <w:sz w:val="32"/>
          <w:szCs w:val="32"/>
        </w:rPr>
        <w:t xml:space="preserve">2. </w:t>
      </w:r>
      <w:r>
        <w:rPr>
          <w:rFonts w:ascii="仿宋_GB2312" w:eastAsia="仿宋_GB2312" w:cs="Times New Roman"/>
          <w:kern w:val="2"/>
          <w:sz w:val="32"/>
          <w:szCs w:val="32"/>
        </w:rPr>
        <w:t>社会保障和就业支出（类）行政事业单位</w:t>
      </w:r>
      <w:r>
        <w:rPr>
          <w:rFonts w:hint="eastAsia" w:ascii="仿宋_GB2312" w:eastAsia="仿宋_GB2312" w:cs="Times New Roman"/>
          <w:kern w:val="2"/>
          <w:sz w:val="32"/>
          <w:szCs w:val="32"/>
        </w:rPr>
        <w:t>养老支出</w:t>
      </w:r>
      <w:r>
        <w:rPr>
          <w:rFonts w:ascii="仿宋_GB2312" w:eastAsia="仿宋_GB2312" w:cs="Times New Roman"/>
          <w:kern w:val="2"/>
          <w:sz w:val="32"/>
          <w:szCs w:val="32"/>
        </w:rPr>
        <w:t>（款）</w:t>
      </w:r>
      <w:r>
        <w:rPr>
          <w:rFonts w:hint="eastAsia" w:ascii="仿宋_GB2312" w:eastAsia="仿宋_GB2312" w:cs="Times New Roman"/>
          <w:kern w:val="2"/>
          <w:sz w:val="32"/>
          <w:szCs w:val="32"/>
        </w:rPr>
        <w:t>机关事业单位基本养老保险缴费支出</w:t>
      </w:r>
      <w:r>
        <w:rPr>
          <w:rFonts w:ascii="仿宋_GB2312" w:eastAsia="仿宋_GB2312" w:cs="Times New Roman"/>
          <w:kern w:val="2"/>
          <w:sz w:val="32"/>
          <w:szCs w:val="32"/>
        </w:rPr>
        <w:t>（项）：</w:t>
      </w:r>
      <w:r>
        <w:rPr>
          <w:rFonts w:hint="eastAsia" w:ascii="仿宋_GB2312" w:eastAsia="仿宋_GB2312" w:cs="Times New Roman"/>
          <w:kern w:val="2"/>
          <w:sz w:val="32"/>
          <w:szCs w:val="32"/>
        </w:rPr>
        <w:t>指机关事业单位实施养老保险制度由单位缴纳的基本养老保险费支出。</w:t>
      </w:r>
    </w:p>
    <w:p w14:paraId="10EF619D">
      <w:pPr>
        <w:pStyle w:val="27"/>
        <w:spacing w:line="560" w:lineRule="exact"/>
        <w:ind w:firstLine="640" w:firstLineChars="200"/>
        <w:rPr>
          <w:rFonts w:ascii="仿宋_GB2312" w:eastAsia="仿宋_GB2312" w:cs="Times New Roman"/>
          <w:kern w:val="2"/>
          <w:sz w:val="32"/>
          <w:szCs w:val="32"/>
        </w:rPr>
      </w:pPr>
      <w:r>
        <w:rPr>
          <w:rFonts w:hint="eastAsia" w:ascii="仿宋_GB2312" w:eastAsia="仿宋_GB2312" w:cs="Times New Roman"/>
          <w:kern w:val="2"/>
          <w:sz w:val="32"/>
          <w:szCs w:val="32"/>
        </w:rPr>
        <w:t>3.</w:t>
      </w:r>
      <w:r>
        <w:rPr>
          <w:rFonts w:ascii="仿宋_GB2312" w:eastAsia="仿宋_GB2312" w:cs="Times New Roman"/>
          <w:kern w:val="2"/>
          <w:sz w:val="32"/>
          <w:szCs w:val="32"/>
        </w:rPr>
        <w:t>社会保障和就业支出（类）行政事业单位</w:t>
      </w:r>
      <w:r>
        <w:rPr>
          <w:rFonts w:hint="eastAsia" w:ascii="仿宋_GB2312" w:eastAsia="仿宋_GB2312" w:cs="Times New Roman"/>
          <w:kern w:val="2"/>
          <w:sz w:val="32"/>
          <w:szCs w:val="32"/>
        </w:rPr>
        <w:t>养老支出</w:t>
      </w:r>
      <w:r>
        <w:rPr>
          <w:rFonts w:ascii="仿宋_GB2312" w:eastAsia="仿宋_GB2312" w:cs="Times New Roman"/>
          <w:kern w:val="2"/>
          <w:sz w:val="32"/>
          <w:szCs w:val="32"/>
        </w:rPr>
        <w:t>（款）</w:t>
      </w:r>
      <w:r>
        <w:rPr>
          <w:rFonts w:hint="eastAsia" w:ascii="仿宋_GB2312" w:eastAsia="仿宋_GB2312" w:cs="Times New Roman"/>
          <w:kern w:val="2"/>
          <w:sz w:val="32"/>
          <w:szCs w:val="32"/>
        </w:rPr>
        <w:t>事业单位离退休</w:t>
      </w:r>
      <w:r>
        <w:rPr>
          <w:rFonts w:ascii="仿宋_GB2312" w:eastAsia="仿宋_GB2312" w:cs="Times New Roman"/>
          <w:kern w:val="2"/>
          <w:sz w:val="32"/>
          <w:szCs w:val="32"/>
        </w:rPr>
        <w:t>（项）：</w:t>
      </w:r>
      <w:r>
        <w:rPr>
          <w:rFonts w:hint="eastAsia" w:ascii="仿宋_GB2312" w:eastAsia="仿宋_GB2312" w:cs="Times New Roman"/>
          <w:kern w:val="2"/>
          <w:sz w:val="32"/>
          <w:szCs w:val="32"/>
        </w:rPr>
        <w:t>指事业单位开支的离退休经费。</w:t>
      </w:r>
    </w:p>
    <w:p w14:paraId="65F9D833">
      <w:pPr>
        <w:pStyle w:val="27"/>
        <w:spacing w:line="560" w:lineRule="exact"/>
        <w:ind w:firstLine="640" w:firstLineChars="200"/>
        <w:rPr>
          <w:rFonts w:ascii="仿宋_GB2312" w:eastAsia="仿宋_GB2312" w:cs="Times New Roman"/>
          <w:kern w:val="2"/>
          <w:sz w:val="32"/>
          <w:szCs w:val="32"/>
        </w:rPr>
      </w:pPr>
      <w:r>
        <w:rPr>
          <w:rFonts w:hint="eastAsia" w:ascii="仿宋_GB2312" w:eastAsia="仿宋_GB2312" w:cs="Times New Roman"/>
          <w:kern w:val="2"/>
          <w:sz w:val="32"/>
          <w:szCs w:val="32"/>
        </w:rPr>
        <w:t>4.</w:t>
      </w:r>
      <w:r>
        <w:rPr>
          <w:rFonts w:ascii="仿宋_GB2312" w:eastAsia="仿宋_GB2312" w:cs="Times New Roman"/>
          <w:kern w:val="2"/>
          <w:sz w:val="32"/>
          <w:szCs w:val="32"/>
        </w:rPr>
        <w:t>社会保障和就业支出（类）</w:t>
      </w:r>
      <w:r>
        <w:rPr>
          <w:rFonts w:hint="eastAsia" w:ascii="仿宋_GB2312" w:eastAsia="仿宋_GB2312" w:cs="Times New Roman"/>
          <w:kern w:val="2"/>
          <w:sz w:val="32"/>
          <w:szCs w:val="32"/>
        </w:rPr>
        <w:t>人力资源和社会保障管理事务</w:t>
      </w:r>
      <w:r>
        <w:rPr>
          <w:rFonts w:ascii="仿宋_GB2312" w:eastAsia="仿宋_GB2312" w:cs="Times New Roman"/>
          <w:kern w:val="2"/>
          <w:sz w:val="32"/>
          <w:szCs w:val="32"/>
        </w:rPr>
        <w:t>（款）</w:t>
      </w:r>
      <w:r>
        <w:rPr>
          <w:rFonts w:hint="eastAsia" w:ascii="仿宋_GB2312" w:eastAsia="仿宋_GB2312" w:cs="Times New Roman"/>
          <w:kern w:val="2"/>
          <w:sz w:val="32"/>
          <w:szCs w:val="32"/>
        </w:rPr>
        <w:t>其他人力资源和社会保障管理事务支出</w:t>
      </w:r>
      <w:r>
        <w:rPr>
          <w:rFonts w:ascii="仿宋_GB2312" w:eastAsia="仿宋_GB2312" w:cs="Times New Roman"/>
          <w:kern w:val="2"/>
          <w:sz w:val="32"/>
          <w:szCs w:val="32"/>
        </w:rPr>
        <w:t>（项）：</w:t>
      </w:r>
      <w:r>
        <w:rPr>
          <w:rFonts w:hint="eastAsia" w:ascii="仿宋_GB2312" w:eastAsia="仿宋_GB2312" w:cs="Times New Roman"/>
          <w:kern w:val="2"/>
          <w:sz w:val="32"/>
          <w:szCs w:val="32"/>
        </w:rPr>
        <w:t>指除上述项目以外其他用于人力资源和社会保障管理事务方面的支出。</w:t>
      </w:r>
    </w:p>
    <w:p w14:paraId="45A4ECE6">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5.</w:t>
      </w:r>
      <w:r>
        <w:rPr>
          <w:rFonts w:ascii="仿宋_GB2312" w:eastAsia="仿宋_GB2312"/>
          <w:color w:val="000000"/>
          <w:sz w:val="32"/>
          <w:szCs w:val="32"/>
        </w:rPr>
        <w:t>自然资源海洋气象等支出（类）自然资源事务（款）事业运行（项）：</w:t>
      </w:r>
      <w:r>
        <w:rPr>
          <w:rFonts w:hint="eastAsia" w:ascii="仿宋_GB2312" w:eastAsia="仿宋_GB2312"/>
          <w:color w:val="000000"/>
          <w:sz w:val="32"/>
          <w:szCs w:val="32"/>
        </w:rPr>
        <w:t>指事业单位的基本支出，不包括行政单位（包括实施公务员管理的事业单位）后勤服务中心，医务室等附属事业单位</w:t>
      </w:r>
      <w:r>
        <w:rPr>
          <w:rFonts w:ascii="仿宋_GB2312" w:eastAsia="仿宋_GB2312"/>
          <w:color w:val="000000"/>
          <w:sz w:val="32"/>
          <w:szCs w:val="32"/>
        </w:rPr>
        <w:t>。</w:t>
      </w:r>
    </w:p>
    <w:p w14:paraId="10722ACB">
      <w:pPr>
        <w:pStyle w:val="27"/>
        <w:spacing w:line="560" w:lineRule="exact"/>
        <w:ind w:firstLine="640" w:firstLineChars="200"/>
        <w:rPr>
          <w:rFonts w:ascii="仿宋_GB2312" w:eastAsia="仿宋_GB2312" w:cs="Times New Roman"/>
          <w:kern w:val="2"/>
          <w:sz w:val="32"/>
          <w:szCs w:val="32"/>
        </w:rPr>
      </w:pPr>
      <w:r>
        <w:rPr>
          <w:rFonts w:hint="eastAsia" w:ascii="仿宋_GB2312" w:eastAsia="仿宋_GB2312"/>
          <w:kern w:val="2"/>
          <w:sz w:val="32"/>
          <w:szCs w:val="32"/>
        </w:rPr>
        <w:t>6.自然资源海洋</w:t>
      </w:r>
      <w:r>
        <w:rPr>
          <w:rFonts w:hint="eastAsia" w:ascii="仿宋_GB2312" w:eastAsia="仿宋_GB2312" w:cs="Times New Roman"/>
          <w:kern w:val="2"/>
          <w:sz w:val="32"/>
          <w:szCs w:val="32"/>
        </w:rPr>
        <w:t>气象等支出（类）自然资源事务（款）其他自然资源事务（项）：指除上述项目以外其他用于自然资源事务方面的支出。</w:t>
      </w:r>
    </w:p>
    <w:p w14:paraId="7B4A84EB">
      <w:pPr>
        <w:spacing w:line="600" w:lineRule="exact"/>
        <w:ind w:firstLine="640" w:firstLineChars="200"/>
        <w:rPr>
          <w:rFonts w:ascii="仿宋_GB2312" w:eastAsia="仿宋_GB2312" w:cs="仿宋"/>
          <w:color w:val="000000"/>
        </w:rPr>
      </w:pPr>
      <w:r>
        <w:rPr>
          <w:rFonts w:hint="eastAsia" w:ascii="仿宋_GB2312" w:eastAsia="仿宋_GB2312"/>
          <w:sz w:val="32"/>
          <w:szCs w:val="32"/>
        </w:rPr>
        <w:t>7.</w:t>
      </w:r>
      <w:r>
        <w:rPr>
          <w:rFonts w:hint="eastAsia" w:ascii="仿宋_GB2312" w:eastAsia="仿宋_GB2312" w:cs="仿宋"/>
          <w:color w:val="000000"/>
          <w:sz w:val="32"/>
          <w:szCs w:val="32"/>
        </w:rPr>
        <w:t>卫生健康支出（类）行政事业单位医疗（款）事业单位医疗（项</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指财政部门安排的事业单位基本医疗保险缴费经费，未参加医疗保险的事业单位的公费医疗经费，按国家规定享受离休人员待遇的医疗经费。</w:t>
      </w:r>
    </w:p>
    <w:p w14:paraId="2F7D5E63">
      <w:pPr>
        <w:spacing w:line="600" w:lineRule="exact"/>
        <w:ind w:firstLine="640" w:firstLineChars="200"/>
        <w:rPr>
          <w:rFonts w:ascii="仿宋_GB2312" w:eastAsia="仿宋_GB2312" w:cs="仿宋"/>
          <w:color w:val="000000"/>
          <w:sz w:val="32"/>
          <w:szCs w:val="32"/>
        </w:rPr>
      </w:pPr>
      <w:r>
        <w:rPr>
          <w:rFonts w:hint="eastAsia" w:ascii="仿宋_GB2312" w:eastAsia="仿宋_GB2312" w:cs="仿宋"/>
          <w:color w:val="000000"/>
          <w:sz w:val="32"/>
          <w:szCs w:val="32"/>
        </w:rPr>
        <w:t>8</w:t>
      </w:r>
      <w:r>
        <w:rPr>
          <w:rFonts w:ascii="仿宋_GB2312" w:eastAsia="仿宋_GB2312" w:cs="仿宋"/>
          <w:color w:val="000000"/>
          <w:sz w:val="32"/>
          <w:szCs w:val="32"/>
        </w:rPr>
        <w:t>.</w:t>
      </w:r>
      <w:r>
        <w:rPr>
          <w:rFonts w:hint="eastAsia" w:ascii="仿宋_GB2312" w:eastAsia="仿宋_GB2312" w:cs="仿宋"/>
          <w:color w:val="000000"/>
          <w:sz w:val="32"/>
          <w:szCs w:val="32"/>
        </w:rPr>
        <w:t>卫生健康支出（类）行政事业单位医疗（款）公务员医疗补助（项）</w:t>
      </w:r>
      <w:r>
        <w:rPr>
          <w:rFonts w:ascii="仿宋_GB2312" w:eastAsia="仿宋_GB2312" w:cs="仿宋"/>
          <w:color w:val="000000"/>
          <w:sz w:val="32"/>
          <w:szCs w:val="32"/>
        </w:rPr>
        <w:t>:</w:t>
      </w:r>
      <w:r>
        <w:rPr>
          <w:rFonts w:hint="eastAsia" w:ascii="仿宋_GB2312" w:eastAsia="仿宋_GB2312" w:cs="仿宋"/>
          <w:color w:val="000000"/>
          <w:sz w:val="32"/>
          <w:szCs w:val="32"/>
        </w:rPr>
        <w:t>指财政部门安排的公务员医疗补助经费。</w:t>
      </w:r>
    </w:p>
    <w:p w14:paraId="5F318B92">
      <w:pPr>
        <w:spacing w:line="600" w:lineRule="exact"/>
        <w:ind w:firstLine="640" w:firstLineChars="200"/>
        <w:rPr>
          <w:rFonts w:ascii="仿宋_GB2312" w:eastAsia="仿宋_GB2312" w:cs="仿宋"/>
          <w:color w:val="000000"/>
          <w:sz w:val="32"/>
          <w:szCs w:val="32"/>
        </w:rPr>
      </w:pPr>
      <w:r>
        <w:rPr>
          <w:rFonts w:hint="eastAsia" w:ascii="仿宋_GB2312" w:eastAsia="仿宋_GB2312" w:cs="仿宋"/>
          <w:color w:val="000000"/>
          <w:sz w:val="32"/>
          <w:szCs w:val="32"/>
        </w:rPr>
        <w:t>9</w:t>
      </w:r>
      <w:r>
        <w:rPr>
          <w:rFonts w:ascii="仿宋_GB2312" w:eastAsia="仿宋_GB2312" w:cs="仿宋"/>
          <w:color w:val="000000"/>
          <w:sz w:val="32"/>
          <w:szCs w:val="32"/>
        </w:rPr>
        <w:t>.</w:t>
      </w:r>
      <w:r>
        <w:rPr>
          <w:rFonts w:hint="eastAsia" w:ascii="仿宋_GB2312" w:eastAsia="仿宋_GB2312" w:cs="仿宋"/>
          <w:color w:val="000000"/>
          <w:sz w:val="32"/>
          <w:szCs w:val="32"/>
        </w:rPr>
        <w:t>卫生健康支出（类）行政事业单位医疗（款）其他行政事业单位医疗支出（项）</w:t>
      </w:r>
      <w:r>
        <w:rPr>
          <w:rFonts w:ascii="仿宋_GB2312" w:eastAsia="仿宋_GB2312" w:cs="仿宋"/>
          <w:color w:val="000000"/>
          <w:sz w:val="32"/>
          <w:szCs w:val="32"/>
        </w:rPr>
        <w:t>:</w:t>
      </w:r>
      <w:r>
        <w:rPr>
          <w:rFonts w:hint="eastAsia" w:ascii="仿宋_GB2312" w:eastAsia="仿宋_GB2312" w:cs="仿宋"/>
          <w:color w:val="000000"/>
          <w:sz w:val="32"/>
          <w:szCs w:val="32"/>
        </w:rPr>
        <w:t>指除上述项目以外的其他用于行政事业单位医疗方面的支出。</w:t>
      </w:r>
    </w:p>
    <w:p w14:paraId="3FEEB622">
      <w:pPr>
        <w:pStyle w:val="27"/>
        <w:spacing w:line="560" w:lineRule="exact"/>
        <w:ind w:firstLine="640" w:firstLineChars="200"/>
        <w:rPr>
          <w:rFonts w:ascii="仿宋_GB2312" w:eastAsia="仿宋_GB2312" w:cs="Times New Roman"/>
          <w:kern w:val="2"/>
          <w:sz w:val="32"/>
          <w:szCs w:val="32"/>
        </w:rPr>
      </w:pPr>
      <w:r>
        <w:rPr>
          <w:rFonts w:hint="eastAsia" w:ascii="仿宋_GB2312" w:eastAsia="仿宋_GB2312" w:cs="Times New Roman"/>
          <w:kern w:val="2"/>
          <w:sz w:val="32"/>
          <w:szCs w:val="32"/>
        </w:rPr>
        <w:t>10.</w:t>
      </w:r>
      <w:r>
        <w:rPr>
          <w:rFonts w:ascii="仿宋_GB2312" w:eastAsia="仿宋_GB2312" w:cs="Times New Roman"/>
          <w:kern w:val="2"/>
          <w:sz w:val="32"/>
          <w:szCs w:val="32"/>
        </w:rPr>
        <w:t>住房保障支出（类）住房改革支出（款）住房公积金（项）:</w:t>
      </w:r>
      <w:r>
        <w:rPr>
          <w:rFonts w:hint="eastAsia" w:ascii="仿宋_GB2312" w:eastAsia="仿宋_GB2312" w:cs="Times New Roman"/>
          <w:kern w:val="2"/>
          <w:sz w:val="32"/>
          <w:szCs w:val="32"/>
        </w:rPr>
        <w:t>指行政事业单位按人力资源和社会保障部，财政部规定的基本工资和津贴补贴以及规定比例为职工缴纳的住房公积金</w:t>
      </w:r>
      <w:r>
        <w:rPr>
          <w:rFonts w:ascii="仿宋_GB2312" w:eastAsia="仿宋_GB2312" w:cs="Times New Roman"/>
          <w:kern w:val="2"/>
          <w:sz w:val="32"/>
          <w:szCs w:val="32"/>
        </w:rPr>
        <w:t>。</w:t>
      </w:r>
    </w:p>
    <w:p w14:paraId="54BE74B1">
      <w:pPr>
        <w:pStyle w:val="27"/>
        <w:spacing w:line="560" w:lineRule="exact"/>
        <w:ind w:firstLine="640" w:firstLineChars="200"/>
        <w:rPr>
          <w:rFonts w:ascii="仿宋_GB2312" w:eastAsia="仿宋_GB2312"/>
          <w:color w:val="auto"/>
          <w:sz w:val="32"/>
          <w:szCs w:val="32"/>
        </w:rPr>
      </w:pPr>
      <w:r>
        <w:rPr>
          <w:rFonts w:hint="eastAsia" w:ascii="仿宋_GB2312" w:eastAsia="仿宋_GB2312" w:cs="Times New Roman"/>
          <w:kern w:val="2"/>
          <w:sz w:val="32"/>
          <w:szCs w:val="32"/>
        </w:rPr>
        <w:t>11.</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0594BB4E">
      <w:pPr>
        <w:ind w:firstLine="640" w:firstLineChars="200"/>
        <w:rPr>
          <w:rFonts w:ascii="仿宋_GB2312" w:eastAsia="仿宋_GB2312"/>
          <w:sz w:val="32"/>
          <w:szCs w:val="32"/>
        </w:rPr>
      </w:pPr>
      <w:r>
        <w:rPr>
          <w:rFonts w:hint="eastAsia" w:ascii="仿宋_GB2312" w:eastAsia="仿宋_GB2312"/>
          <w:sz w:val="32"/>
          <w:szCs w:val="32"/>
        </w:rPr>
        <w:t>12</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7213F6B4">
      <w:pPr>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028C244D">
      <w:pPr>
        <w:pStyle w:val="27"/>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14</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98C71B2">
      <w:pPr>
        <w:spacing w:line="600" w:lineRule="exact"/>
        <w:jc w:val="center"/>
        <w:outlineLvl w:val="0"/>
        <w:rPr>
          <w:rFonts w:eastAsia="黑体"/>
          <w:sz w:val="44"/>
          <w:szCs w:val="44"/>
        </w:rPr>
      </w:pPr>
    </w:p>
    <w:p w14:paraId="32942A51">
      <w:pPr>
        <w:spacing w:line="600" w:lineRule="exact"/>
        <w:jc w:val="center"/>
        <w:outlineLvl w:val="0"/>
        <w:rPr>
          <w:rFonts w:hint="eastAsia" w:eastAsia="黑体"/>
          <w:bCs/>
          <w:sz w:val="44"/>
          <w:szCs w:val="44"/>
          <w:highlight w:val="none"/>
          <w:lang w:eastAsia="zh-CN"/>
        </w:rPr>
      </w:pPr>
      <w:bookmarkStart w:id="100" w:name="_Toc19018785"/>
      <w:r>
        <w:rPr>
          <w:rFonts w:hint="eastAsia" w:eastAsia="黑体"/>
          <w:sz w:val="44"/>
          <w:szCs w:val="44"/>
        </w:rPr>
        <w:t>第四部分</w:t>
      </w:r>
      <w:r>
        <w:rPr>
          <w:rFonts w:hint="eastAsia" w:eastAsia="黑体"/>
          <w:sz w:val="44"/>
          <w:szCs w:val="44"/>
          <w:lang w:val="en-US" w:eastAsia="zh-CN"/>
        </w:rPr>
        <w:t xml:space="preserve"> </w:t>
      </w:r>
      <w:r>
        <w:rPr>
          <w:rFonts w:hint="eastAsia" w:eastAsia="黑体"/>
          <w:sz w:val="44"/>
          <w:szCs w:val="44"/>
        </w:rPr>
        <w:t xml:space="preserve"> 附件</w:t>
      </w:r>
      <w:bookmarkEnd w:id="98"/>
      <w:bookmarkEnd w:id="100"/>
    </w:p>
    <w:p w14:paraId="20FE956B">
      <w:pPr>
        <w:spacing w:line="600" w:lineRule="exact"/>
        <w:jc w:val="center"/>
        <w:outlineLvl w:val="0"/>
        <w:rPr>
          <w:rFonts w:ascii="宋体" w:cs="宋体"/>
          <w:kern w:val="0"/>
          <w:sz w:val="32"/>
          <w:szCs w:val="32"/>
        </w:rPr>
      </w:pPr>
      <w:bookmarkStart w:id="101" w:name="_Toc15396618"/>
      <w:r>
        <w:rPr>
          <w:rFonts w:hint="eastAsia" w:ascii="宋体" w:cs="宋体"/>
          <w:kern w:val="0"/>
          <w:sz w:val="32"/>
          <w:szCs w:val="32"/>
        </w:rPr>
        <w:t xml:space="preserve">    </w:t>
      </w:r>
      <w:bookmarkStart w:id="102" w:name="_Toc176509493"/>
    </w:p>
    <w:p w14:paraId="38E8CE2B">
      <w:pPr>
        <w:spacing w:line="600" w:lineRule="exact"/>
        <w:jc w:val="center"/>
        <w:outlineLvl w:val="0"/>
        <w:rPr>
          <w:rFonts w:hint="eastAsia" w:ascii="仿宋_GB2312" w:eastAsia="仿宋_GB2312"/>
          <w:color w:val="000000"/>
          <w:sz w:val="32"/>
          <w:szCs w:val="32"/>
        </w:rPr>
      </w:pPr>
      <w:bookmarkStart w:id="103" w:name="_Toc19018786"/>
      <w:bookmarkStart w:id="104" w:name="_Toc10426276"/>
      <w:bookmarkStart w:id="105" w:name="_Toc10426315"/>
      <w:r>
        <w:rPr>
          <w:rFonts w:hint="eastAsia" w:ascii="仿宋_GB2312" w:eastAsia="仿宋_GB2312"/>
          <w:color w:val="000000"/>
          <w:sz w:val="32"/>
          <w:szCs w:val="32"/>
        </w:rPr>
        <w:t>攀枝花市地理信息中心2025年度单位预算项目支出绩效自评表见附件</w:t>
      </w:r>
      <w:bookmarkEnd w:id="102"/>
      <w:bookmarkEnd w:id="103"/>
      <w:bookmarkEnd w:id="104"/>
      <w:bookmarkEnd w:id="105"/>
    </w:p>
    <w:p w14:paraId="4BFB288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73C1B983">
      <w:pPr>
        <w:spacing w:line="600" w:lineRule="exact"/>
        <w:jc w:val="center"/>
        <w:outlineLvl w:val="0"/>
        <w:rPr>
          <w:rFonts w:hint="eastAsia" w:hAnsi="Times New Roman" w:eastAsia="黑体"/>
          <w:sz w:val="44"/>
          <w:szCs w:val="44"/>
          <w:highlight w:val="none"/>
        </w:rPr>
      </w:pPr>
      <w:bookmarkStart w:id="106" w:name="_Toc19018787"/>
      <w:r>
        <w:rPr>
          <w:rFonts w:hint="eastAsia" w:hAnsi="Times New Roman" w:eastAsia="黑体"/>
          <w:sz w:val="44"/>
          <w:szCs w:val="44"/>
        </w:rPr>
        <w:t>第</w:t>
      </w:r>
      <w:r>
        <w:rPr>
          <w:rFonts w:hint="eastAsia" w:hAnsi="Times New Roman" w:eastAsia="黑体"/>
          <w:bCs/>
          <w:sz w:val="44"/>
          <w:szCs w:val="44"/>
          <w:highlight w:val="none"/>
        </w:rPr>
        <w:t>五部分 附表</w:t>
      </w:r>
      <w:bookmarkEnd w:id="99"/>
      <w:bookmarkEnd w:id="101"/>
      <w:bookmarkEnd w:id="106"/>
      <w:bookmarkStart w:id="107" w:name="_Toc15396619"/>
    </w:p>
    <w:p w14:paraId="5E26A88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6D4FF238">
      <w:pPr>
        <w:spacing w:line="600" w:lineRule="exact"/>
        <w:ind w:left="630"/>
        <w:outlineLvl w:val="1"/>
        <w:rPr>
          <w:rStyle w:val="21"/>
          <w:rFonts w:hint="eastAsia" w:ascii="方正仿宋_GBK" w:hAnsi="方正仿宋_GBK" w:eastAsia="方正仿宋_GBK" w:cs="方正仿宋_GBK"/>
          <w:b w:val="0"/>
          <w:highlight w:val="none"/>
        </w:rPr>
      </w:pPr>
      <w:bookmarkStart w:id="108" w:name="_Toc19018788"/>
      <w:r>
        <w:rPr>
          <w:rStyle w:val="21"/>
          <w:rFonts w:hint="eastAsia" w:ascii="方正仿宋_GBK" w:hAnsi="方正仿宋_GBK" w:eastAsia="方正仿宋_GBK" w:cs="方正仿宋_GBK"/>
          <w:b w:val="0"/>
        </w:rPr>
        <w:t>一、收入支出决算总表</w:t>
      </w:r>
      <w:bookmarkEnd w:id="107"/>
      <w:bookmarkEnd w:id="108"/>
    </w:p>
    <w:p w14:paraId="7CA095B2">
      <w:pPr>
        <w:spacing w:line="600" w:lineRule="exact"/>
        <w:ind w:left="630"/>
        <w:outlineLvl w:val="1"/>
        <w:rPr>
          <w:rStyle w:val="21"/>
          <w:rFonts w:hint="eastAsia" w:ascii="方正仿宋_GBK" w:hAnsi="方正仿宋_GBK" w:eastAsia="方正仿宋_GBK" w:cs="方正仿宋_GBK"/>
          <w:b w:val="0"/>
          <w:highlight w:val="none"/>
        </w:rPr>
      </w:pPr>
      <w:bookmarkStart w:id="109" w:name="_Toc19018789"/>
      <w:bookmarkStart w:id="110" w:name="_Toc15396620"/>
      <w:r>
        <w:rPr>
          <w:rStyle w:val="21"/>
          <w:rFonts w:hint="eastAsia" w:ascii="方正仿宋_GBK" w:hAnsi="方正仿宋_GBK" w:eastAsia="方正仿宋_GBK" w:cs="方正仿宋_GBK"/>
          <w:b w:val="0"/>
        </w:rPr>
        <w:t>二、收入决算表</w:t>
      </w:r>
      <w:bookmarkEnd w:id="109"/>
      <w:bookmarkEnd w:id="110"/>
    </w:p>
    <w:p w14:paraId="7F94B0D6">
      <w:pPr>
        <w:spacing w:line="600" w:lineRule="exact"/>
        <w:ind w:left="630"/>
        <w:outlineLvl w:val="1"/>
        <w:rPr>
          <w:rStyle w:val="21"/>
          <w:rFonts w:hint="eastAsia" w:ascii="方正仿宋_GBK" w:hAnsi="方正仿宋_GBK" w:eastAsia="方正仿宋_GBK" w:cs="方正仿宋_GBK"/>
          <w:b w:val="0"/>
          <w:highlight w:val="none"/>
        </w:rPr>
      </w:pPr>
      <w:bookmarkStart w:id="111" w:name="_Toc15396621"/>
      <w:bookmarkStart w:id="112" w:name="_Toc19018790"/>
      <w:r>
        <w:rPr>
          <w:rStyle w:val="21"/>
          <w:rFonts w:hint="eastAsia" w:ascii="方正仿宋_GBK" w:hAnsi="方正仿宋_GBK" w:eastAsia="方正仿宋_GBK" w:cs="方正仿宋_GBK"/>
          <w:b w:val="0"/>
        </w:rPr>
        <w:t>三、支出决算表</w:t>
      </w:r>
      <w:bookmarkEnd w:id="111"/>
      <w:bookmarkEnd w:id="112"/>
    </w:p>
    <w:p w14:paraId="76FE89A4">
      <w:pPr>
        <w:spacing w:line="600" w:lineRule="exact"/>
        <w:ind w:left="630"/>
        <w:outlineLvl w:val="1"/>
        <w:rPr>
          <w:rStyle w:val="21"/>
          <w:rFonts w:hint="eastAsia" w:ascii="方正仿宋_GBK" w:hAnsi="方正仿宋_GBK" w:eastAsia="方正仿宋_GBK" w:cs="方正仿宋_GBK"/>
          <w:b w:val="0"/>
          <w:highlight w:val="none"/>
        </w:rPr>
      </w:pPr>
      <w:bookmarkStart w:id="113" w:name="_Toc15396622"/>
      <w:bookmarkStart w:id="114" w:name="_Toc19018791"/>
      <w:r>
        <w:rPr>
          <w:rStyle w:val="21"/>
          <w:rFonts w:hint="eastAsia" w:ascii="方正仿宋_GBK" w:hAnsi="方正仿宋_GBK" w:eastAsia="方正仿宋_GBK" w:cs="方正仿宋_GBK"/>
          <w:b w:val="0"/>
        </w:rPr>
        <w:t>四、财政拨款收入支出决算总表</w:t>
      </w:r>
      <w:bookmarkEnd w:id="113"/>
      <w:bookmarkEnd w:id="114"/>
    </w:p>
    <w:p w14:paraId="0B418BE8">
      <w:pPr>
        <w:spacing w:line="600" w:lineRule="exact"/>
        <w:ind w:left="630"/>
        <w:outlineLvl w:val="1"/>
        <w:rPr>
          <w:rStyle w:val="21"/>
          <w:rFonts w:hint="eastAsia" w:ascii="方正仿宋_GBK" w:hAnsi="方正仿宋_GBK" w:eastAsia="方正仿宋_GBK" w:cs="方正仿宋_GBK"/>
          <w:b w:val="0"/>
          <w:highlight w:val="none"/>
        </w:rPr>
      </w:pPr>
      <w:bookmarkStart w:id="115" w:name="_Toc15396623"/>
      <w:bookmarkStart w:id="116" w:name="_Toc19018792"/>
      <w:r>
        <w:rPr>
          <w:rStyle w:val="21"/>
          <w:rFonts w:hint="eastAsia" w:ascii="方正仿宋_GBK" w:hAnsi="方正仿宋_GBK" w:eastAsia="方正仿宋_GBK" w:cs="方正仿宋_GBK"/>
          <w:b w:val="0"/>
        </w:rPr>
        <w:t>五、财政拨款支出决算明细表</w:t>
      </w:r>
      <w:bookmarkEnd w:id="115"/>
      <w:bookmarkEnd w:id="116"/>
      <w:bookmarkStart w:id="117" w:name="_Toc15396624"/>
    </w:p>
    <w:p w14:paraId="36FCF1F4">
      <w:pPr>
        <w:spacing w:line="600" w:lineRule="exact"/>
        <w:ind w:left="630"/>
        <w:outlineLvl w:val="1"/>
        <w:rPr>
          <w:rStyle w:val="21"/>
          <w:rFonts w:hint="eastAsia" w:ascii="方正仿宋_GBK" w:hAnsi="方正仿宋_GBK" w:eastAsia="方正仿宋_GBK" w:cs="方正仿宋_GBK"/>
          <w:b w:val="0"/>
          <w:highlight w:val="none"/>
        </w:rPr>
      </w:pPr>
      <w:bookmarkStart w:id="118" w:name="_Toc19018793"/>
      <w:r>
        <w:rPr>
          <w:rStyle w:val="21"/>
          <w:rFonts w:hint="eastAsia" w:ascii="方正仿宋_GBK" w:hAnsi="方正仿宋_GBK" w:eastAsia="方正仿宋_GBK" w:cs="方正仿宋_GBK"/>
          <w:b w:val="0"/>
        </w:rPr>
        <w:t>六、一般公共预算财政拨款支出决算表</w:t>
      </w:r>
      <w:bookmarkEnd w:id="117"/>
      <w:bookmarkEnd w:id="118"/>
    </w:p>
    <w:p w14:paraId="23D087DD">
      <w:pPr>
        <w:spacing w:line="600" w:lineRule="exact"/>
        <w:ind w:left="630"/>
        <w:outlineLvl w:val="1"/>
        <w:rPr>
          <w:rStyle w:val="21"/>
          <w:rFonts w:hint="eastAsia" w:ascii="方正仿宋_GBK" w:hAnsi="方正仿宋_GBK" w:eastAsia="方正仿宋_GBK" w:cs="方正仿宋_GBK"/>
          <w:b w:val="0"/>
          <w:highlight w:val="none"/>
        </w:rPr>
      </w:pPr>
      <w:bookmarkStart w:id="119" w:name="_Toc15396625"/>
      <w:bookmarkStart w:id="120" w:name="_Toc19018794"/>
      <w:r>
        <w:rPr>
          <w:rStyle w:val="21"/>
          <w:rFonts w:hint="eastAsia" w:ascii="方正仿宋_GBK" w:hAnsi="方正仿宋_GBK" w:eastAsia="方正仿宋_GBK" w:cs="方正仿宋_GBK"/>
          <w:b w:val="0"/>
        </w:rPr>
        <w:t>七、一般公共预算财政拨款支出决算明细表</w:t>
      </w:r>
      <w:bookmarkEnd w:id="119"/>
      <w:bookmarkEnd w:id="120"/>
    </w:p>
    <w:p w14:paraId="49065D66">
      <w:pPr>
        <w:spacing w:line="600" w:lineRule="exact"/>
        <w:ind w:left="630"/>
        <w:outlineLvl w:val="1"/>
        <w:rPr>
          <w:rStyle w:val="21"/>
          <w:rFonts w:hint="eastAsia" w:ascii="方正仿宋_GBK" w:hAnsi="方正仿宋_GBK" w:eastAsia="方正仿宋_GBK" w:cs="方正仿宋_GBK"/>
          <w:b w:val="0"/>
          <w:highlight w:val="none"/>
        </w:rPr>
      </w:pPr>
      <w:bookmarkStart w:id="121" w:name="_Toc15396626"/>
      <w:bookmarkStart w:id="122" w:name="_Toc19018795"/>
      <w:r>
        <w:rPr>
          <w:rStyle w:val="21"/>
          <w:rFonts w:hint="eastAsia" w:ascii="方正仿宋_GBK" w:hAnsi="方正仿宋_GBK" w:eastAsia="方正仿宋_GBK" w:cs="方正仿宋_GBK"/>
          <w:b w:val="0"/>
        </w:rPr>
        <w:t>八、一般公共预算财政拨款基本支出决算表</w:t>
      </w:r>
      <w:bookmarkEnd w:id="121"/>
      <w:bookmarkEnd w:id="122"/>
    </w:p>
    <w:p w14:paraId="0148EB9C">
      <w:pPr>
        <w:spacing w:line="600" w:lineRule="exact"/>
        <w:ind w:left="630"/>
        <w:outlineLvl w:val="1"/>
        <w:rPr>
          <w:rStyle w:val="21"/>
          <w:rFonts w:hint="eastAsia" w:ascii="方正仿宋_GBK" w:hAnsi="方正仿宋_GBK" w:eastAsia="方正仿宋_GBK" w:cs="方正仿宋_GBK"/>
          <w:b w:val="0"/>
          <w:highlight w:val="none"/>
        </w:rPr>
      </w:pPr>
      <w:bookmarkStart w:id="123" w:name="_Toc19018796"/>
      <w:bookmarkStart w:id="124" w:name="_Toc15396627"/>
      <w:r>
        <w:rPr>
          <w:rStyle w:val="21"/>
          <w:rFonts w:hint="eastAsia" w:ascii="方正仿宋_GBK" w:hAnsi="方正仿宋_GBK" w:eastAsia="方正仿宋_GBK" w:cs="方正仿宋_GBK"/>
          <w:b w:val="0"/>
        </w:rPr>
        <w:t>九、一般公共预算财政拨款项目支出决算表</w:t>
      </w:r>
      <w:bookmarkEnd w:id="123"/>
      <w:bookmarkEnd w:id="124"/>
    </w:p>
    <w:p w14:paraId="1A988CDD">
      <w:pPr>
        <w:spacing w:line="600" w:lineRule="exact"/>
        <w:ind w:left="630"/>
        <w:outlineLvl w:val="1"/>
        <w:rPr>
          <w:rStyle w:val="21"/>
          <w:rFonts w:hint="eastAsia" w:ascii="方正仿宋_GBK" w:hAnsi="方正仿宋_GBK" w:eastAsia="方正仿宋_GBK" w:cs="方正仿宋_GBK"/>
          <w:b w:val="0"/>
          <w:highlight w:val="none"/>
        </w:rPr>
      </w:pPr>
      <w:bookmarkStart w:id="125" w:name="_Toc15396628"/>
      <w:bookmarkStart w:id="126" w:name="_Toc19018797"/>
      <w:r>
        <w:rPr>
          <w:rStyle w:val="21"/>
          <w:rFonts w:hint="eastAsia" w:ascii="方正仿宋_GBK" w:hAnsi="方正仿宋_GBK" w:eastAsia="方正仿宋_GBK" w:cs="方正仿宋_GBK"/>
          <w:b w:val="0"/>
        </w:rPr>
        <w:t>十、</w:t>
      </w:r>
      <w:bookmarkEnd w:id="125"/>
      <w:r>
        <w:rPr>
          <w:rStyle w:val="21"/>
          <w:rFonts w:hint="eastAsia" w:ascii="方正仿宋_GBK" w:hAnsi="方正仿宋_GBK" w:eastAsia="方正仿宋_GBK" w:cs="方正仿宋_GBK"/>
          <w:b w:val="0"/>
        </w:rPr>
        <w:t>政府性基金预算财政拨款收入支出决算表</w:t>
      </w:r>
      <w:bookmarkEnd w:id="126"/>
    </w:p>
    <w:p w14:paraId="1BE6A18F">
      <w:pPr>
        <w:spacing w:line="600" w:lineRule="exact"/>
        <w:ind w:left="630"/>
        <w:outlineLvl w:val="1"/>
        <w:rPr>
          <w:rStyle w:val="21"/>
          <w:rFonts w:hint="eastAsia" w:ascii="方正仿宋_GBK" w:hAnsi="方正仿宋_GBK" w:eastAsia="方正仿宋_GBK" w:cs="方正仿宋_GBK"/>
          <w:b w:val="0"/>
          <w:highlight w:val="none"/>
        </w:rPr>
      </w:pPr>
      <w:bookmarkStart w:id="127" w:name="_Toc15396629"/>
      <w:bookmarkStart w:id="128" w:name="_Toc19018798"/>
      <w:r>
        <w:rPr>
          <w:rStyle w:val="21"/>
          <w:rFonts w:hint="eastAsia" w:ascii="方正仿宋_GBK" w:hAnsi="方正仿宋_GBK" w:eastAsia="方正仿宋_GBK" w:cs="方正仿宋_GBK"/>
          <w:b w:val="0"/>
        </w:rPr>
        <w:t>十一、</w:t>
      </w:r>
      <w:bookmarkEnd w:id="127"/>
      <w:r>
        <w:rPr>
          <w:rStyle w:val="21"/>
          <w:rFonts w:hint="eastAsia" w:ascii="方正仿宋_GBK" w:hAnsi="方正仿宋_GBK" w:eastAsia="方正仿宋_GBK" w:cs="方正仿宋_GBK"/>
          <w:b w:val="0"/>
        </w:rPr>
        <w:t>国有资本经营预算财政拨款收入支出决算表</w:t>
      </w:r>
      <w:bookmarkEnd w:id="128"/>
    </w:p>
    <w:p w14:paraId="458D5FBF">
      <w:pPr>
        <w:spacing w:line="600" w:lineRule="exact"/>
        <w:ind w:left="630"/>
        <w:outlineLvl w:val="1"/>
        <w:rPr>
          <w:rStyle w:val="21"/>
          <w:rFonts w:hint="eastAsia" w:ascii="方正仿宋_GBK" w:hAnsi="方正仿宋_GBK" w:eastAsia="方正仿宋_GBK" w:cs="方正仿宋_GBK"/>
          <w:b w:val="0"/>
          <w:highlight w:val="none"/>
        </w:rPr>
      </w:pPr>
      <w:bookmarkStart w:id="129" w:name="_Toc15396630"/>
      <w:bookmarkStart w:id="130" w:name="_Toc19018799"/>
      <w:r>
        <w:rPr>
          <w:rStyle w:val="21"/>
          <w:rFonts w:hint="eastAsia" w:ascii="方正仿宋_GBK" w:hAnsi="方正仿宋_GBK" w:eastAsia="方正仿宋_GBK" w:cs="方正仿宋_GBK"/>
          <w:b w:val="0"/>
        </w:rPr>
        <w:t>十二、</w:t>
      </w:r>
      <w:bookmarkEnd w:id="129"/>
      <w:r>
        <w:rPr>
          <w:rStyle w:val="21"/>
          <w:rFonts w:hint="eastAsia" w:ascii="方正仿宋_GBK" w:hAnsi="方正仿宋_GBK" w:eastAsia="方正仿宋_GBK" w:cs="方正仿宋_GBK"/>
          <w:b w:val="0"/>
        </w:rPr>
        <w:t>国有资本经营预算财政拨款支出决算表</w:t>
      </w:r>
      <w:bookmarkEnd w:id="130"/>
    </w:p>
    <w:p w14:paraId="7C840585">
      <w:pPr>
        <w:spacing w:line="600" w:lineRule="exact"/>
        <w:ind w:left="630"/>
        <w:outlineLvl w:val="1"/>
        <w:rPr>
          <w:rStyle w:val="21"/>
          <w:rFonts w:hint="eastAsia" w:ascii="方正仿宋_GBK" w:hAnsi="方正仿宋_GBK" w:eastAsia="方正仿宋_GBK" w:cs="方正仿宋_GBK"/>
          <w:b w:val="0"/>
          <w:highlight w:val="none"/>
        </w:rPr>
      </w:pPr>
      <w:bookmarkStart w:id="131" w:name="_Toc15396631"/>
      <w:bookmarkStart w:id="132" w:name="_Toc19018800"/>
      <w:r>
        <w:rPr>
          <w:rStyle w:val="21"/>
          <w:rFonts w:hint="eastAsia" w:ascii="方正仿宋_GBK" w:hAnsi="方正仿宋_GBK" w:eastAsia="方正仿宋_GBK" w:cs="方正仿宋_GBK"/>
          <w:b w:val="0"/>
        </w:rPr>
        <w:t>十三、</w:t>
      </w:r>
      <w:bookmarkEnd w:id="131"/>
      <w:r>
        <w:rPr>
          <w:rStyle w:val="21"/>
          <w:rFonts w:hint="eastAsia" w:ascii="方正仿宋_GBK" w:hAnsi="方正仿宋_GBK" w:eastAsia="方正仿宋_GBK" w:cs="方正仿宋_GBK"/>
          <w:b w:val="0"/>
        </w:rPr>
        <w:t>财政拨款“三公”经费支出决算表</w:t>
      </w:r>
      <w:bookmarkEnd w:id="132"/>
    </w:p>
    <w:p w14:paraId="37F8BBB2">
      <w:pPr>
        <w:rPr>
          <w:rFonts w:hint="eastAsia" w:ascii="Times New Roman" w:hAnsi="Times New Roman"/>
          <w:lang w:eastAsia="zh-CN"/>
        </w:rPr>
      </w:pPr>
    </w:p>
    <w:sectPr>
      <w:footerReference r:id="rId8" w:type="first"/>
      <w:footerReference r:id="rId7"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2C41E86-2C0A-45E3-93BF-14332730AFDC}"/>
  </w:font>
  <w:font w:name="黑体">
    <w:panose1 w:val="02010609060101010101"/>
    <w:charset w:val="86"/>
    <w:family w:val="auto"/>
    <w:pitch w:val="default"/>
    <w:sig w:usb0="800002BF" w:usb1="38CF7CFA" w:usb2="00000016" w:usb3="00000000" w:csb0="00040001" w:csb1="00000000"/>
    <w:embedRegular r:id="rId2" w:fontKey="{75F1BDCE-9222-4F31-80AC-43EE5F029B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embedRegular r:id="rId3" w:fontKey="{00F67612-F84C-4D8D-B710-0D63DA9C1D29}"/>
  </w:font>
  <w:font w:name="Lucida Sans Unicode">
    <w:panose1 w:val="020B0602030504020204"/>
    <w:charset w:val="00"/>
    <w:family w:val="auto"/>
    <w:pitch w:val="default"/>
    <w:sig w:usb0="80001AFF" w:usb1="0000396B" w:usb2="00000000" w:usb3="00000000" w:csb0="200000BF" w:csb1="D7F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4" w:fontKey="{8B80C51F-A6CC-46FD-B6C5-90D67ACCB9C7}"/>
  </w:font>
  <w:font w:name="仿宋">
    <w:panose1 w:val="02010609060101010101"/>
    <w:charset w:val="86"/>
    <w:family w:val="modern"/>
    <w:pitch w:val="default"/>
    <w:sig w:usb0="800002BF" w:usb1="38CF7CFA" w:usb2="00000016" w:usb3="00000000" w:csb0="00040001" w:csb1="00000000"/>
    <w:embedRegular r:id="rId5" w:fontKey="{F1B94C7D-9760-43AB-AC93-DA6C7A105763}"/>
  </w:font>
  <w:font w:name="??">
    <w:altName w:val="FFont-Family"/>
    <w:panose1 w:val="00000000000000000000"/>
    <w:charset w:val="00"/>
    <w:family w:val="roman"/>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方正小标宋简体">
    <w:panose1 w:val="02000000000000000000"/>
    <w:charset w:val="86"/>
    <w:family w:val="script"/>
    <w:pitch w:val="default"/>
    <w:sig w:usb0="00000001" w:usb1="08000000" w:usb2="00000000" w:usb3="00000000" w:csb0="00040000" w:csb1="00000000"/>
    <w:embedRegular r:id="rId6" w:fontKey="{DC14071E-158C-44E4-8C60-FEC758CB465F}"/>
  </w:font>
  <w:font w:name="方正黑体_GBK">
    <w:panose1 w:val="03000509000000000000"/>
    <w:charset w:val="86"/>
    <w:family w:val="script"/>
    <w:pitch w:val="default"/>
    <w:sig w:usb0="00000001" w:usb1="080E0000" w:usb2="00000000" w:usb3="00000000" w:csb0="00040000" w:csb1="00000000"/>
    <w:embedRegular r:id="rId7" w:fontKey="{AC72583A-2996-4C7C-88CD-3059D59F6432}"/>
  </w:font>
  <w:font w:name="方正仿宋_GBK">
    <w:panose1 w:val="02000000000000000000"/>
    <w:charset w:val="86"/>
    <w:family w:val="script"/>
    <w:pitch w:val="default"/>
    <w:sig w:usb0="00000001" w:usb1="080E0000" w:usb2="00000000" w:usb3="00000000" w:csb0="00040000" w:csb1="00000000"/>
    <w:embedRegular r:id="rId8" w:fontKey="{9B391B4E-8693-4A9F-B2B9-8DFC829E26B8}"/>
  </w:font>
  <w:font w:name="永中宋体">
    <w:altName w:val="宋体"/>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embedRegular r:id="rId9" w:fontKey="{AC28BAAC-99C1-4330-8FC4-6EB309633FE5}"/>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34DDB">
    <w:pPr>
      <w:pStyle w:val="11"/>
      <w:jc w:val="center"/>
    </w:pPr>
  </w:p>
  <w:p w14:paraId="5BF3B22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64470">
    <w:pPr>
      <w:pStyle w:val="11"/>
      <w:jc w:val="center"/>
    </w:pPr>
  </w:p>
  <w:p w14:paraId="1F023E34">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8ED8B">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54E7F">
    <w:pPr>
      <w:pStyle w:val="11"/>
      <w:jc w:val="center"/>
    </w:pPr>
  </w:p>
  <w:p w14:paraId="3B9B8819">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71CCA">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noFill/>
                      <a:ln w="6350" cap="flat" cmpd="sng">
                        <a:noFill/>
                        <a:prstDash val="solid"/>
                        <a:round/>
                      </a:ln>
                    </wps:spPr>
                    <wps:txbx>
                      <w:txbxContent>
                        <w:p w14:paraId="76994847">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Jy3/S1AAAAAUBAAAPAAAAAAAAAAEAIAAAACIAAABkcnMvZG93bnJldi54&#10;bWxQSwECFAAUAAAACACHTuJA1SxqVv4BAAD2AwAADgAAAAAAAAABACAAAAAjAQAAZHJzL2Uyb0Rv&#10;Yy54bWxQSwUGAAAAAAYABgBZAQAAkwUAAAAA&#10;">
              <v:fill on="f" focussize="0,0"/>
              <v:stroke on="f" weight="0.5pt" joinstyle="round"/>
              <v:imagedata o:title=""/>
              <o:lock v:ext="edit" aspectratio="f"/>
              <v:textbox inset="0mm,0mm,0mm,0mm" style="mso-fit-shape-to-text:t;">
                <w:txbxContent>
                  <w:p w14:paraId="76994847">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4CF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8C70F3"/>
    <w:multiLevelType w:val="multilevel"/>
    <w:tmpl w:val="088C70F3"/>
    <w:lvl w:ilvl="0" w:tentative="0">
      <w:start w:val="1"/>
      <w:numFmt w:val="chineseCountingThousand"/>
      <w:suff w:val="nothing"/>
      <w:lvlText w:val="%1、"/>
      <w:lvlJc w:val="left"/>
      <w:pPr>
        <w:ind w:left="0" w:firstLine="0"/>
      </w:pPr>
      <w:rPr>
        <w:rFonts w:hint="default" w:ascii="Times New Roman" w:hAnsi="Times New Roman"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433B0D78"/>
    <w:rsid w:val="7D482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21"/>
    <w:qFormat/>
    <w:uiPriority w:val="0"/>
    <w:pPr>
      <w:keepNext/>
      <w:keepLines/>
      <w:spacing w:before="260" w:after="260" w:line="415" w:lineRule="auto"/>
      <w:outlineLvl w:val="1"/>
    </w:pPr>
    <w:rPr>
      <w:rFonts w:ascii="Cambria" w:hAnsi="Cambria" w:eastAsia="宋体" w:cs="Times New Roman"/>
      <w:b/>
      <w:bCs/>
      <w:sz w:val="32"/>
      <w:szCs w:val="32"/>
    </w:rPr>
  </w:style>
  <w:style w:type="paragraph" w:styleId="7">
    <w:name w:val="heading 3"/>
    <w:basedOn w:val="1"/>
    <w:next w:val="1"/>
    <w:link w:val="22"/>
    <w:qFormat/>
    <w:uiPriority w:val="0"/>
    <w:pPr>
      <w:keepNext/>
      <w:keepLines/>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next w:val="1"/>
    <w:qFormat/>
    <w:uiPriority w:val="0"/>
    <w:pPr>
      <w:ind w:firstLine="200" w:firstLineChars="200"/>
    </w:pPr>
  </w:style>
  <w:style w:type="paragraph" w:styleId="4">
    <w:name w:val="Body Text Indent"/>
    <w:basedOn w:val="1"/>
    <w:next w:val="3"/>
    <w:qFormat/>
    <w:uiPriority w:val="0"/>
    <w:pPr>
      <w:spacing w:after="120"/>
      <w:ind w:left="200" w:leftChars="200"/>
    </w:pPr>
    <w:rPr>
      <w:rFonts w:ascii="仿宋_GB2312" w:hAnsi="仿宋_GB2312"/>
      <w:szCs w:val="32"/>
    </w:r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hAnsi="仿宋" w:eastAsia="仿宋"/>
      <w:sz w:val="28"/>
      <w:szCs w:val="28"/>
    </w:rPr>
  </w:style>
  <w:style w:type="paragraph" w:styleId="14">
    <w:name w:val="toc 2"/>
    <w:basedOn w:val="1"/>
    <w:next w:val="1"/>
    <w:qFormat/>
    <w:uiPriority w:val="0"/>
    <w:pPr>
      <w:tabs>
        <w:tab w:val="right" w:leader="dot" w:pos="8296"/>
      </w:tabs>
      <w:ind w:left="200" w:leftChars="200"/>
    </w:pPr>
  </w:style>
  <w:style w:type="character" w:styleId="17">
    <w:name w:val="Strong"/>
    <w:basedOn w:val="16"/>
    <w:qFormat/>
    <w:uiPriority w:val="0"/>
    <w:rPr>
      <w:b/>
    </w:rPr>
  </w:style>
  <w:style w:type="character" w:styleId="18">
    <w:name w:val="page number"/>
    <w:basedOn w:val="16"/>
    <w:qFormat/>
    <w:uiPriority w:val="0"/>
  </w:style>
  <w:style w:type="character" w:styleId="19">
    <w:name w:val="Hyperlink"/>
    <w:basedOn w:val="16"/>
    <w:qFormat/>
    <w:uiPriority w:val="0"/>
    <w:rPr>
      <w:color w:val="0000FF"/>
      <w:u w:val="single"/>
    </w:rPr>
  </w:style>
  <w:style w:type="character" w:customStyle="1" w:styleId="20">
    <w:name w:val="heading 1 Char"/>
    <w:basedOn w:val="16"/>
    <w:link w:val="5"/>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6"/>
    <w:link w:val="6"/>
    <w:uiPriority w:val="0"/>
    <w:rPr>
      <w:rFonts w:ascii="Cambria" w:hAnsi="Cambria" w:eastAsia="宋体" w:cs="Times New Roman"/>
      <w:b/>
      <w:bCs/>
      <w:kern w:val="2"/>
      <w:sz w:val="32"/>
      <w:szCs w:val="32"/>
      <w:lang w:val="en-US" w:eastAsia="zh-CN" w:bidi="ar-SA"/>
    </w:rPr>
  </w:style>
  <w:style w:type="character" w:customStyle="1" w:styleId="22">
    <w:name w:val="heading 3 Char"/>
    <w:basedOn w:val="16"/>
    <w:link w:val="7"/>
    <w:qFormat/>
    <w:uiPriority w:val="0"/>
    <w:rPr>
      <w:rFonts w:ascii="Times New Roman" w:hAnsi="Times New Roman" w:eastAsia="宋体" w:cs="Times New Roman"/>
      <w:b/>
      <w:bCs/>
      <w:kern w:val="2"/>
      <w:sz w:val="32"/>
      <w:szCs w:val="32"/>
      <w:lang w:val="en-US" w:eastAsia="zh-CN" w:bidi="ar-SA"/>
    </w:rPr>
  </w:style>
  <w:style w:type="paragraph" w:customStyle="1" w:styleId="23">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4">
    <w:name w:val="Header Char"/>
    <w:basedOn w:val="16"/>
    <w:qFormat/>
    <w:uiPriority w:val="0"/>
    <w:rPr>
      <w:rFonts w:ascii="Times New Roman" w:hAnsi="Times New Roman"/>
      <w:sz w:val="18"/>
      <w:szCs w:val="18"/>
    </w:rPr>
  </w:style>
  <w:style w:type="character" w:customStyle="1" w:styleId="25">
    <w:name w:val="Footer Char"/>
    <w:basedOn w:val="16"/>
    <w:qFormat/>
    <w:uiPriority w:val="0"/>
    <w:rPr>
      <w:rFonts w:ascii="Times New Roman" w:hAnsi="Times New Roman"/>
      <w:sz w:val="18"/>
      <w:szCs w:val="18"/>
    </w:rPr>
  </w:style>
  <w:style w:type="character" w:customStyle="1" w:styleId="26">
    <w:name w:val="Body Text Char"/>
    <w:basedOn w:val="16"/>
    <w:qFormat/>
    <w:uiPriority w:val="0"/>
    <w:rPr>
      <w:rFonts w:ascii="Times New Roman" w:hAnsi="Times New Roman"/>
      <w:szCs w:val="24"/>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8">
    <w:name w:val="List Paragraph"/>
    <w:basedOn w:val="1"/>
    <w:qFormat/>
    <w:uiPriority w:val="0"/>
    <w:pPr>
      <w:ind w:firstLine="200" w:firstLineChars="200"/>
    </w:pPr>
  </w:style>
  <w:style w:type="paragraph" w:customStyle="1" w:styleId="29">
    <w:name w:val="TOC 标题1"/>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TOC Heading"/>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1">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257122"/>
          <c:y val="0.025191"/>
          <c:w val="0.79535085"/>
          <c:h val="0.8475696"/>
        </c:manualLayout>
      </c:layout>
      <c:barChart>
        <c:barDir val="col"/>
        <c:grouping val="clustered"/>
        <c:varyColors val="0"/>
        <c:ser>
          <c:idx val="0"/>
          <c:order val="0"/>
          <c:tx>
            <c:strRef>
              <c:f>'Sheet1'!$B$1</c:f>
              <c:strCache>
                <c:ptCount val="1"/>
                <c:pt idx="0">
                  <c:v>收入</c:v>
                </c:pt>
              </c:strCache>
            </c:strRef>
          </c:tx>
          <c:spPr>
            <a:solidFill>
              <a:srgbClr val="4F81BD"/>
            </a:solidFill>
            <a:ln>
              <a:noFill/>
            </a:ln>
          </c:spPr>
          <c:invertIfNegative val="0"/>
          <c:dLbls>
            <c:dLbl>
              <c:idx val="0"/>
              <c:layout>
                <c:manualLayout>
                  <c:x val="-0.009041592"/>
                  <c:y val="0"/>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a:t>265.33万元</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sz="1000" b="0" i="0" u="none" strike="noStrike" baseline="0">
                        <a:solidFill>
                          <a:srgbClr val="000000"/>
                        </a:solidFill>
                        <a:latin typeface="永中宋体"/>
                        <a:ea typeface="永中宋体"/>
                        <a:cs typeface="Lucida Sans"/>
                      </a:rPr>
                      <a:t>406.87万元</a:t>
                    </a:r>
                    <a:endParaRPr lang="zh-CN" sz="1000" b="0" i="0" u="none" strike="noStrike" baseline="0">
                      <a:solidFill>
                        <a:srgbClr val="000000"/>
                      </a:solidFill>
                      <a:latin typeface="永中宋体"/>
                      <a:ea typeface="永中宋体"/>
                      <a:cs typeface="Lucida Sans"/>
                    </a:endParaRPr>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2025年</c:v>
                </c:pt>
                <c:pt idx="1">
                  <c:v>2024年</c:v>
                </c:pt>
              </c:strCache>
            </c:strRef>
          </c:cat>
          <c:val>
            <c:numRef>
              <c:f>'Sheet1'!$B$2:$B$4</c:f>
              <c:numCache>
                <c:formatCode>General</c:formatCode>
                <c:ptCount val="3"/>
                <c:pt idx="0">
                  <c:v>265.33</c:v>
                </c:pt>
                <c:pt idx="1">
                  <c:v>406.87</c:v>
                </c:pt>
              </c:numCache>
            </c:numRef>
          </c:val>
        </c:ser>
        <c:ser>
          <c:idx val="1"/>
          <c:order val="1"/>
          <c:tx>
            <c:strRef>
              <c:f>'Sheet1'!$C$1</c:f>
              <c:strCache>
                <c:ptCount val="1"/>
                <c:pt idx="0">
                  <c:v>支出</c:v>
                </c:pt>
              </c:strCache>
            </c:strRef>
          </c:tx>
          <c:spPr>
            <a:solidFill>
              <a:srgbClr val="C0504D"/>
            </a:solidFill>
            <a:ln>
              <a:noFill/>
            </a:ln>
          </c:spPr>
          <c:invertIfNegative val="0"/>
          <c:dLbls>
            <c:dLbl>
              <c:idx val="0"/>
              <c:layout>
                <c:manualLayout>
                  <c:x val="0.0072254334"/>
                  <c:y val="0.14026402"/>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a:t>265.33万元</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33912"/>
                  <c:y val="0.16089109"/>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sz="1000" b="0" i="0" u="none" strike="noStrike" baseline="0">
                        <a:solidFill>
                          <a:srgbClr val="000000"/>
                        </a:solidFill>
                        <a:latin typeface="永中宋体"/>
                        <a:ea typeface="永中宋体"/>
                        <a:cs typeface="Lucida Sans"/>
                      </a:rPr>
                      <a:t>406.87万元</a:t>
                    </a:r>
                    <a:endParaRPr lang="zh-CN" sz="1000" b="0" i="0" u="none" strike="noStrike" baseline="0">
                      <a:solidFill>
                        <a:srgbClr val="000000"/>
                      </a:solidFill>
                      <a:latin typeface="永中宋体"/>
                      <a:ea typeface="永中宋体"/>
                      <a:cs typeface="Lucida Sans"/>
                    </a:endParaRPr>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2025年</c:v>
                </c:pt>
                <c:pt idx="1">
                  <c:v>2024年</c:v>
                </c:pt>
              </c:strCache>
            </c:strRef>
          </c:cat>
          <c:val>
            <c:numRef>
              <c:f>'Sheet1'!$C$2:$C$4</c:f>
              <c:numCache>
                <c:formatCode>General</c:formatCode>
                <c:ptCount val="3"/>
                <c:pt idx="0">
                  <c:v>265.33</c:v>
                </c:pt>
                <c:pt idx="1">
                  <c:v>406.87</c:v>
                </c:pt>
              </c:numCache>
            </c:numRef>
          </c:val>
        </c:ser>
        <c:dLbls>
          <c:showLegendKey val="0"/>
          <c:showVal val="1"/>
          <c:showCatName val="0"/>
          <c:showSerName val="0"/>
          <c:showPercent val="0"/>
          <c:showBubbleSize val="0"/>
        </c:dLbls>
        <c:gapWidth val="100"/>
        <c:overlap val="-56"/>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永中宋体"/>
                <a:ea typeface="永中宋体"/>
                <a:cs typeface="Lucida Sans"/>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永中宋体"/>
                <a:ea typeface="永中宋体"/>
                <a:cs typeface="Lucida Sans"/>
              </a:defRPr>
            </a:pPr>
          </a:p>
        </c:txPr>
        <c:crossAx val="0"/>
        <c:crossesAt val="1"/>
        <c:crossBetween val="between"/>
      </c:valAx>
      <c:spPr>
        <a:solidFill>
          <a:srgbClr val="FFFFFF"/>
        </a:solid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永中宋体"/>
              <a:ea typeface="永中宋体"/>
              <a:cs typeface="Lucida Sans"/>
            </a:defRPr>
          </a:pPr>
        </a:p>
      </c:txPr>
    </c:legend>
    <c:plotVisOnly val="1"/>
    <c:dispBlanksAs val="gap"/>
    <c:showDLblsOverMax val="0"/>
    <c:extLst>
      <c:ext uri="{0b15fc19-7d7d-44ad-8c2d-2c3a37ce22c3}">
        <chartProps xmlns="https://web.wps.cn/et/2018/main" chartId="{81ee8675-549a-4e8a-a6f0-ff365b7968f8}"/>
      </c:ext>
    </c:extLst>
  </c:chart>
  <c:txPr>
    <a:bodyPr/>
    <a:lstStyle/>
    <a:p>
      <a:pPr>
        <a:defRPr lang="zh-CN" sz="1000" b="0" i="0" u="none" strike="noStrike" baseline="0">
          <a:solidFill>
            <a:srgbClr val="000000"/>
          </a:solidFill>
          <a:latin typeface="永中宋体"/>
          <a:ea typeface="永中宋体"/>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800" b="1" i="0" u="none" strike="noStrike" kern="1200" baseline="0">
                <a:solidFill>
                  <a:srgbClr val="000000"/>
                </a:solidFill>
                <a:latin typeface="永中宋体"/>
                <a:ea typeface="永中宋体"/>
                <a:cs typeface="Lucida Sans"/>
              </a:defRPr>
            </a:pPr>
            <a:r>
              <a:rPr lang="zh-CN"/>
              <a:t>收入决算情况</a:t>
            </a:r>
            <a:endParaRPr lang="zh-CN"/>
          </a:p>
        </c:rich>
      </c:tx>
      <c:layout/>
      <c:overlay val="0"/>
      <c:spPr>
        <a:ln>
          <a:noFill/>
        </a:ln>
      </c:spPr>
    </c:title>
    <c:autoTitleDeleted val="0"/>
    <c:plotArea>
      <c:layout/>
      <c:pieChart>
        <c:varyColors val="1"/>
        <c:ser>
          <c:idx val="0"/>
          <c:order val="0"/>
          <c:tx>
            <c:strRef>
              <c:f>'Sheet1 (2)'!$B$1</c:f>
              <c:strCache>
                <c:ptCount val="1"/>
                <c:pt idx="0">
                  <c:v>列1</c:v>
                </c:pt>
              </c:strCache>
            </c:strRef>
          </c:tx>
          <c:spPr>
            <a:solidFill>
              <a:srgbClr val="4F81BD"/>
            </a:solidFill>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Pt>
            <c:idx val="5"/>
            <c:bubble3D val="0"/>
            <c:spPr>
              <a:solidFill>
                <a:srgbClr val="F79646"/>
              </a:solidFill>
              <a:ln>
                <a:noFill/>
              </a:ln>
            </c:spPr>
          </c:dPt>
          <c:dPt>
            <c:idx val="6"/>
            <c:bubble3D val="0"/>
            <c:spPr>
              <a:solidFill>
                <a:srgbClr val="99B6D9"/>
              </a:solidFill>
              <a:ln>
                <a:noFill/>
              </a:ln>
            </c:spPr>
          </c:dPt>
          <c:dPt>
            <c:idx val="7"/>
            <c:bubble3D val="0"/>
            <c:spPr>
              <a:solidFill>
                <a:srgbClr val="DB9A98"/>
              </a:solidFill>
              <a:ln>
                <a:noFill/>
              </a:ln>
            </c:spPr>
          </c:dPt>
          <c:dLbls>
            <c:dLbl>
              <c:idx val="0"/>
              <c:layout>
                <c:manualLayout>
                  <c:x val="-0.016274864"/>
                  <c:y val="-0.06798867"/>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a:t>265.33万元</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dLbl>
              <c:idx val="7"/>
              <c:layout>
                <c:manualLayout>
                  <c:x val="-0.004537615"/>
                  <c:y val="0.28640768"/>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sz="1000" b="0" i="0" u="none" strike="noStrike" baseline="0">
                        <a:solidFill>
                          <a:srgbClr val="000000"/>
                        </a:solidFill>
                        <a:latin typeface="永中宋体"/>
                        <a:ea typeface="永中宋体"/>
                        <a:cs typeface="Lucida Sans"/>
                      </a:rPr>
                      <a:t>100%</a:t>
                    </a:r>
                    <a:endParaRPr lang="zh-CN" sz="1000" b="0" i="0" u="none" strike="noStrike" baseline="0">
                      <a:solidFill>
                        <a:srgbClr val="000000"/>
                      </a:solidFill>
                      <a:latin typeface="永中宋体"/>
                      <a:ea typeface="永中宋体"/>
                      <a:cs typeface="Lucida Sans"/>
                    </a:endParaRPr>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 (2)'!$B$2:$B$9</c:f>
              <c:numCache>
                <c:formatCode>General</c:formatCode>
                <c:ptCount val="8"/>
                <c:pt idx="0">
                  <c:v>265.33</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永中宋体"/>
              <a:ea typeface="永中宋体"/>
              <a:cs typeface="Lucida Sans"/>
            </a:defRPr>
          </a:pPr>
        </a:p>
      </c:txPr>
    </c:legend>
    <c:plotVisOnly val="1"/>
    <c:dispBlanksAs val="gap"/>
    <c:showDLblsOverMax val="0"/>
    <c:extLst>
      <c:ext uri="{0b15fc19-7d7d-44ad-8c2d-2c3a37ce22c3}">
        <chartProps xmlns="https://web.wps.cn/et/2018/main" chartId="{132554f1-23e3-43f1-8b20-5d22d92b9f7b}"/>
      </c:ext>
    </c:extLst>
  </c:chart>
  <c:txPr>
    <a:bodyPr/>
    <a:lstStyle/>
    <a:p>
      <a:pPr>
        <a:defRPr lang="zh-CN" sz="1000" b="0" i="0" u="none" strike="noStrike" baseline="0">
          <a:solidFill>
            <a:srgbClr val="000000"/>
          </a:solidFill>
          <a:latin typeface="永中宋体"/>
          <a:ea typeface="永中宋体"/>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800" b="1" i="0" u="none" strike="noStrike" kern="1200" baseline="0">
                <a:solidFill>
                  <a:srgbClr val="000000"/>
                </a:solidFill>
                <a:latin typeface="永中宋体"/>
                <a:ea typeface="永中宋体"/>
                <a:cs typeface="Lucida Sans"/>
              </a:defRPr>
            </a:pPr>
            <a:r>
              <a:rPr lang="zh-CN"/>
              <a:t>支出决算情况</a:t>
            </a:r>
            <a:endParaRPr lang="zh-CN"/>
          </a:p>
        </c:rich>
      </c:tx>
      <c:layout/>
      <c:overlay val="0"/>
      <c:spPr>
        <a:ln>
          <a:noFill/>
        </a:ln>
      </c:spPr>
    </c:title>
    <c:autoTitleDeleted val="0"/>
    <c:view3D>
      <c:rotX val="75"/>
      <c:rotY val="0"/>
      <c:depthPercent val="100"/>
      <c:rAngAx val="0"/>
      <c:hPercent val="100"/>
      <c:perspective val="0"/>
    </c:view3D>
    <c:floor>
      <c:thickness val="0"/>
      <c:spPr>
        <a:ln w="12700">
          <a:solidFill>
            <a:srgbClr val="898989"/>
          </a:solidFill>
          <a:prstDash val="solid"/>
        </a:ln>
      </c:spPr>
    </c:floor>
    <c:sideWall>
      <c:thickness val="0"/>
      <c:spPr>
        <a:ln>
          <a:noFill/>
        </a:ln>
      </c:spPr>
    </c:sideWall>
    <c:backWall>
      <c:thickness val="0"/>
      <c:spPr>
        <a:noFill/>
        <a:ln>
          <a:noFill/>
        </a:ln>
      </c:spPr>
    </c:backWall>
    <c:plotArea>
      <c:layout/>
      <c:pie3DChart>
        <c:varyColors val="1"/>
        <c:ser>
          <c:idx val="0"/>
          <c:order val="0"/>
          <c:tx>
            <c:strRef>
              <c:f>'Sheet1 (3)'!$B$1</c:f>
              <c:strCache>
                <c:ptCount val="1"/>
                <c:pt idx="0">
                  <c:v>支出决算情况</c:v>
                </c:pt>
              </c:strCache>
            </c:strRef>
          </c:tx>
          <c:spPr>
            <a:solidFill>
              <a:srgbClr val="4F81B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a:t>基本支出
81.3%</a:t>
                    </a:r>
                    <a:endParaRPr lang="zh-CN"/>
                  </a:p>
                </c:rich>
              </c:tx>
              <c:numFmt formatCode="0%" sourceLinked="0"/>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a:t>项目支出
18.7%</a:t>
                    </a:r>
                    <a:endParaRPr lang="zh-CN"/>
                  </a:p>
                </c:rich>
              </c:tx>
              <c:numFmt formatCode="0%" sourceLinked="0"/>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bestFit"/>
              <c:showLegendKey val="0"/>
              <c:showVal val="0"/>
              <c:showCatName val="1"/>
              <c:showSerName val="0"/>
              <c:showPercent val="1"/>
              <c:showBubbleSize val="0"/>
              <c:separator>
</c:separator>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(3)'!$A$2:$A$5</c:f>
              <c:strCache>
                <c:ptCount val="4"/>
                <c:pt idx="0">
                  <c:v>基本支出</c:v>
                </c:pt>
                <c:pt idx="1">
                  <c:v>项目支出</c:v>
                </c:pt>
              </c:strCache>
            </c:strRef>
          </c:cat>
          <c:val>
            <c:numRef>
              <c:f>'Sheet1 (3)'!$B$2:$B$5</c:f>
              <c:numCache>
                <c:formatCode>General</c:formatCode>
                <c:ptCount val="4"/>
                <c:pt idx="0">
                  <c:v>215.6</c:v>
                </c:pt>
                <c:pt idx="1">
                  <c:v>49.73</c:v>
                </c:pt>
              </c:numCache>
            </c:numRef>
          </c:val>
        </c:ser>
        <c:dLbls>
          <c:showLegendKey val="0"/>
          <c:showVal val="0"/>
          <c:showCatName val="1"/>
          <c:showSerName val="0"/>
          <c:showPercent val="1"/>
          <c:showBubbleSize val="0"/>
        </c:dLbls>
      </c:pie3DChart>
      <c:spPr>
        <a:noFill/>
        <a:ln>
          <a:noFill/>
        </a:ln>
      </c:spPr>
    </c:plotArea>
    <c:plotVisOnly val="1"/>
    <c:dispBlanksAs val="gap"/>
    <c:showDLblsOverMax val="0"/>
    <c:extLst>
      <c:ext uri="{0b15fc19-7d7d-44ad-8c2d-2c3a37ce22c3}">
        <chartProps xmlns="https://web.wps.cn/et/2018/main" chartId="{9fa5af52-cbfe-4c7d-a045-d7ae064d6e35}"/>
      </c:ext>
    </c:extLst>
  </c:chart>
  <c:txPr>
    <a:bodyPr/>
    <a:lstStyle/>
    <a:p>
      <a:pPr>
        <a:defRPr lang="zh-CN" sz="1000" b="0" i="0" u="none" strike="noStrike" baseline="0">
          <a:solidFill>
            <a:srgbClr val="000000"/>
          </a:solidFill>
          <a:latin typeface="永中宋体"/>
          <a:ea typeface="永中宋体"/>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461071"/>
          <c:y val="0.041702867"/>
          <c:w val="0.69901174"/>
          <c:h val="0.8475696"/>
        </c:manualLayout>
      </c:layout>
      <c:barChart>
        <c:barDir val="col"/>
        <c:grouping val="clustered"/>
        <c:varyColors val="0"/>
        <c:ser>
          <c:idx val="0"/>
          <c:order val="0"/>
          <c:tx>
            <c:strRef>
              <c:f>'Sheet1 (4)'!$B$1</c:f>
              <c:strCache>
                <c:ptCount val="1"/>
                <c:pt idx="0">
                  <c:v>财政拨款收入</c:v>
                </c:pt>
              </c:strCache>
            </c:strRef>
          </c:tx>
          <c:spPr>
            <a:solidFill>
              <a:srgbClr val="4F81BD"/>
            </a:solidFill>
            <a:ln>
              <a:noFill/>
            </a:ln>
          </c:spPr>
          <c:invertIfNegative val="0"/>
          <c:dLbls>
            <c:dLbl>
              <c:idx val="0"/>
              <c:layout>
                <c:manualLayout>
                  <c:x val="0.014450867"/>
                  <c:y val="-0.0041254126"/>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a:t>265.33万元</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sz="1000" b="0" i="0" u="none" strike="noStrike" baseline="0">
                        <a:solidFill>
                          <a:srgbClr val="000000"/>
                        </a:solidFill>
                        <a:latin typeface="永中宋体"/>
                        <a:ea typeface="永中宋体"/>
                        <a:cs typeface="Lucida Sans"/>
                      </a:rPr>
                      <a:t>406.87万元</a:t>
                    </a:r>
                    <a:endParaRPr lang="zh-CN" sz="1000" b="0" i="0" u="none" strike="noStrike" baseline="0">
                      <a:solidFill>
                        <a:srgbClr val="000000"/>
                      </a:solidFill>
                      <a:latin typeface="永中宋体"/>
                      <a:ea typeface="永中宋体"/>
                      <a:cs typeface="Lucida Sans"/>
                    </a:endParaRPr>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0018083183"/>
                  <c:y val="0.0062111802"/>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a:t>141.54万元</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(4)'!$A$2:$A$7</c:f>
              <c:strCache>
                <c:ptCount val="6"/>
                <c:pt idx="0">
                  <c:v>2025年</c:v>
                </c:pt>
                <c:pt idx="1">
                  <c:v>2024年</c:v>
                </c:pt>
                <c:pt idx="2">
                  <c:v>减少额</c:v>
                </c:pt>
              </c:strCache>
            </c:strRef>
          </c:cat>
          <c:val>
            <c:numRef>
              <c:f>'Sheet1 (4)'!$B$2:$B$7</c:f>
              <c:numCache>
                <c:formatCode>General</c:formatCode>
                <c:ptCount val="6"/>
                <c:pt idx="0">
                  <c:v>265.33</c:v>
                </c:pt>
                <c:pt idx="1">
                  <c:v>406.87</c:v>
                </c:pt>
                <c:pt idx="2">
                  <c:v>141.54</c:v>
                </c:pt>
              </c:numCache>
            </c:numRef>
          </c:val>
        </c:ser>
        <c:ser>
          <c:idx val="1"/>
          <c:order val="1"/>
          <c:tx>
            <c:strRef>
              <c:f>'Sheet1 (4)'!$C$1</c:f>
              <c:strCache>
                <c:ptCount val="1"/>
                <c:pt idx="0">
                  <c:v>财政拨款支出</c:v>
                </c:pt>
              </c:strCache>
            </c:strRef>
          </c:tx>
          <c:spPr>
            <a:solidFill>
              <a:srgbClr val="C0504D"/>
            </a:solidFill>
            <a:ln>
              <a:noFill/>
            </a:ln>
          </c:spPr>
          <c:invertIfNegative val="0"/>
          <c:dLbls>
            <c:dLbl>
              <c:idx val="0"/>
              <c:layout>
                <c:manualLayout>
                  <c:x val="0.048824593"/>
                  <c:y val="0.09006211"/>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a:t>265.33万元</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8901733"/>
                  <c:y val="0.111386135"/>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sz="1000" b="0" i="0" u="none" strike="noStrike" baseline="0">
                        <a:solidFill>
                          <a:srgbClr val="000000"/>
                        </a:solidFill>
                        <a:latin typeface="永中宋体"/>
                        <a:ea typeface="永中宋体"/>
                        <a:cs typeface="Lucida Sans"/>
                      </a:rPr>
                      <a:t>406.87万元</a:t>
                    </a:r>
                    <a:endParaRPr lang="zh-CN" sz="1000" b="0" i="0" u="none" strike="noStrike" baseline="0">
                      <a:solidFill>
                        <a:srgbClr val="000000"/>
                      </a:solidFill>
                      <a:latin typeface="永中宋体"/>
                      <a:ea typeface="永中宋体"/>
                      <a:cs typeface="Lucida Sans"/>
                    </a:endParaRPr>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28901733"/>
                  <c:y val="0.10313531"/>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a:t>114.54万元</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(4)'!$A$2:$A$7</c:f>
              <c:strCache>
                <c:ptCount val="6"/>
                <c:pt idx="0">
                  <c:v>2025年</c:v>
                </c:pt>
                <c:pt idx="1">
                  <c:v>2024年</c:v>
                </c:pt>
                <c:pt idx="2">
                  <c:v>减少额</c:v>
                </c:pt>
              </c:strCache>
            </c:strRef>
          </c:cat>
          <c:val>
            <c:numRef>
              <c:f>'Sheet1 (4)'!$C$2:$C$7</c:f>
              <c:numCache>
                <c:formatCode>General</c:formatCode>
                <c:ptCount val="6"/>
                <c:pt idx="0">
                  <c:v>265.33</c:v>
                </c:pt>
                <c:pt idx="1">
                  <c:v>406.87</c:v>
                </c:pt>
                <c:pt idx="2">
                  <c:v>141.54</c:v>
                </c:pt>
              </c:numCache>
            </c:numRef>
          </c:val>
        </c:ser>
        <c:dLbls>
          <c:showLegendKey val="0"/>
          <c:showVal val="1"/>
          <c:showCatName val="0"/>
          <c:showSerName val="0"/>
          <c:showPercent val="0"/>
          <c:showBubbleSize val="0"/>
        </c:dLbls>
        <c:gapWidth val="150"/>
        <c:overlap val="-5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永中宋体"/>
                <a:ea typeface="永中宋体"/>
                <a:cs typeface="Lucida Sans"/>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永中宋体"/>
                <a:ea typeface="永中宋体"/>
                <a:cs typeface="Lucida Sans"/>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永中宋体"/>
              <a:ea typeface="永中宋体"/>
              <a:cs typeface="Lucida Sans"/>
            </a:defRPr>
          </a:pPr>
        </a:p>
      </c:txPr>
    </c:legend>
    <c:plotVisOnly val="1"/>
    <c:dispBlanksAs val="gap"/>
    <c:showDLblsOverMax val="0"/>
    <c:extLst>
      <c:ext uri="{0b15fc19-7d7d-44ad-8c2d-2c3a37ce22c3}">
        <chartProps xmlns="https://web.wps.cn/et/2018/main" chartId="{5e8cf9de-1cfe-45cd-aa49-67e5fc58de3d}"/>
      </c:ext>
    </c:extLst>
  </c:chart>
  <c:txPr>
    <a:bodyPr/>
    <a:lstStyle/>
    <a:p>
      <a:pPr>
        <a:defRPr lang="zh-CN" sz="1000" b="0" i="0" u="none" strike="noStrike" baseline="0">
          <a:solidFill>
            <a:srgbClr val="000000"/>
          </a:solidFill>
          <a:latin typeface="永中宋体"/>
          <a:ea typeface="永中宋体"/>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978775"/>
          <c:y val="0.041744146"/>
          <c:w val="0.7534305"/>
          <c:h val="0.7938116"/>
        </c:manualLayout>
      </c:layout>
      <c:barChart>
        <c:barDir val="col"/>
        <c:grouping val="clustered"/>
        <c:varyColors val="0"/>
        <c:ser>
          <c:idx val="0"/>
          <c:order val="0"/>
          <c:tx>
            <c:strRef>
              <c:f>'Sheet1 (5)'!$B$1</c:f>
              <c:strCache>
                <c:ptCount val="1"/>
                <c:pt idx="0">
                  <c:v>2025年</c:v>
                </c:pt>
              </c:strCache>
            </c:strRef>
          </c:tx>
          <c:spPr>
            <a:solidFill>
              <a:srgbClr val="4F81BD"/>
            </a:solidFill>
            <a:ln>
              <a:noFill/>
            </a:ln>
          </c:spPr>
          <c:invertIfNegative val="0"/>
          <c:dLbls>
            <c:dLbl>
              <c:idx val="0"/>
              <c:layout>
                <c:manualLayout>
                  <c:x val="0.0216763"/>
                  <c:y val="0.0660066"/>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a:t>265.33万元</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(5)'!$A$2:$A$5</c:f>
              <c:strCache>
                <c:ptCount val="4"/>
                <c:pt idx="0">
                  <c:v>一般公共预算财政拨款支出</c:v>
                </c:pt>
              </c:strCache>
            </c:strRef>
          </c:cat>
          <c:val>
            <c:numRef>
              <c:f>'Sheet1 (5)'!$B$2:$B$5</c:f>
              <c:numCache>
                <c:formatCode>General</c:formatCode>
                <c:ptCount val="4"/>
                <c:pt idx="0">
                  <c:v>265.33</c:v>
                </c:pt>
              </c:numCache>
            </c:numRef>
          </c:val>
        </c:ser>
        <c:ser>
          <c:idx val="1"/>
          <c:order val="1"/>
          <c:tx>
            <c:strRef>
              <c:f>'Sheet1 (5)'!$C$1</c:f>
              <c:strCache>
                <c:ptCount val="1"/>
                <c:pt idx="0">
                  <c:v>2024年</c:v>
                </c:pt>
              </c:strCache>
            </c:strRef>
          </c:tx>
          <c:spPr>
            <a:solidFill>
              <a:srgbClr val="C0504D"/>
            </a:solidFill>
            <a:ln>
              <a:noFill/>
            </a:ln>
          </c:spPr>
          <c:invertIfNegative val="0"/>
          <c:dLbls>
            <c:dLbl>
              <c:idx val="0"/>
              <c:layout>
                <c:manualLayout>
                  <c:x val="0.028901733"/>
                  <c:y val="0.078382835"/>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sz="1000" b="0" i="0" u="none" strike="noStrike" baseline="0">
                        <a:solidFill>
                          <a:srgbClr val="000000"/>
                        </a:solidFill>
                        <a:latin typeface="永中宋体"/>
                        <a:ea typeface="永中宋体"/>
                        <a:cs typeface="Lucida Sans"/>
                      </a:rPr>
                      <a:t>406.87万元</a:t>
                    </a:r>
                    <a:endParaRPr lang="zh-CN" sz="1000" b="0" i="0" u="none" strike="noStrike" baseline="0">
                      <a:solidFill>
                        <a:srgbClr val="000000"/>
                      </a:solidFill>
                      <a:latin typeface="永中宋体"/>
                      <a:ea typeface="永中宋体"/>
                      <a:cs typeface="Lucida Sans"/>
                    </a:endParaRPr>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(5)'!$A$2:$A$5</c:f>
              <c:strCache>
                <c:ptCount val="4"/>
                <c:pt idx="0">
                  <c:v>一般公共预算财政拨款支出</c:v>
                </c:pt>
              </c:strCache>
            </c:strRef>
          </c:cat>
          <c:val>
            <c:numRef>
              <c:f>'Sheet1 (5)'!$C$2:$C$5</c:f>
              <c:numCache>
                <c:formatCode>General</c:formatCode>
                <c:ptCount val="4"/>
                <c:pt idx="0">
                  <c:v>406.87</c:v>
                </c:pt>
              </c:numCache>
            </c:numRef>
          </c:val>
        </c:ser>
        <c:dLbls>
          <c:showLegendKey val="0"/>
          <c:showVal val="1"/>
          <c:showCatName val="0"/>
          <c:showSerName val="0"/>
          <c:showPercent val="0"/>
          <c:showBubbleSize val="0"/>
        </c:dLbls>
        <c:gapWidth val="110"/>
        <c:overlap val="-5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永中宋体"/>
                <a:ea typeface="永中宋体"/>
                <a:cs typeface="Lucida Sans"/>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永中宋体"/>
                <a:ea typeface="永中宋体"/>
                <a:cs typeface="Lucida Sans"/>
              </a:defRPr>
            </a:pPr>
          </a:p>
        </c:txPr>
        <c:crossAx val="0"/>
        <c:crossesAt val="1"/>
        <c:crossBetween val="between"/>
      </c:valAx>
      <c:spPr>
        <a:solidFill>
          <a:srgbClr val="FFFFFF"/>
        </a:solid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永中宋体"/>
              <a:ea typeface="永中宋体"/>
              <a:cs typeface="Lucida Sans"/>
            </a:defRPr>
          </a:pPr>
        </a:p>
      </c:txPr>
    </c:legend>
    <c:plotVisOnly val="1"/>
    <c:dispBlanksAs val="gap"/>
    <c:showDLblsOverMax val="0"/>
    <c:extLst>
      <c:ext uri="{0b15fc19-7d7d-44ad-8c2d-2c3a37ce22c3}">
        <chartProps xmlns="https://web.wps.cn/et/2018/main" chartId="{eb1434e5-895a-4485-b007-cf8577dc8a6e}"/>
      </c:ext>
    </c:extLst>
  </c:chart>
  <c:txPr>
    <a:bodyPr/>
    <a:lstStyle/>
    <a:p>
      <a:pPr>
        <a:defRPr lang="zh-CN" sz="1000" b="0" i="0" u="none" strike="noStrike" baseline="0">
          <a:solidFill>
            <a:srgbClr val="000000"/>
          </a:solidFill>
          <a:latin typeface="永中宋体"/>
          <a:ea typeface="永中宋体"/>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depthPercent val="100"/>
      <c:rAngAx val="0"/>
      <c:hPercent val="100"/>
      <c:perspective val="0"/>
    </c:view3D>
    <c:floor>
      <c:thickness val="0"/>
      <c:spPr>
        <a:ln w="12700">
          <a:solidFill>
            <a:srgbClr val="898989"/>
          </a:solidFill>
          <a:prstDash val="solid"/>
        </a:ln>
      </c:spPr>
    </c:floor>
    <c:sideWall>
      <c:thickness val="0"/>
      <c:spPr>
        <a:ln>
          <a:noFill/>
        </a:ln>
      </c:spPr>
    </c:sideWall>
    <c:backWall>
      <c:thickness val="0"/>
      <c:spPr>
        <a:noFill/>
        <a:ln>
          <a:noFill/>
        </a:ln>
      </c:spPr>
    </c:backWall>
    <c:plotArea>
      <c:layout>
        <c:manualLayout>
          <c:layoutTarget val="inner"/>
          <c:xMode val="edge"/>
          <c:yMode val="edge"/>
          <c:x val="0.093832746"/>
          <c:y val="0.107842974"/>
          <c:w val="0.82205176"/>
          <c:h val="0.78409123"/>
        </c:manualLayout>
      </c:layout>
      <c:pie3DChart>
        <c:varyColors val="1"/>
        <c:ser>
          <c:idx val="0"/>
          <c:order val="0"/>
          <c:tx>
            <c:strRef>
              <c:f>'Sheet1 (6)'!$B$1</c:f>
              <c:strCache>
                <c:ptCount val="1"/>
                <c:pt idx="0">
                  <c:v>一般公共预算财政拨款支出结构</c:v>
                </c:pt>
              </c:strCache>
            </c:strRef>
          </c:tx>
          <c:spPr>
            <a:solidFill>
              <a:srgbClr val="4F81B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layout>
                <c:manualLayout>
                  <c:x val="0.037491117"/>
                  <c:y val="0.10708694"/>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sz="1000" b="0" i="0" u="none" strike="noStrike" baseline="0">
                        <a:solidFill>
                          <a:srgbClr val="000000"/>
                        </a:solidFill>
                        <a:latin typeface="永中宋体"/>
                        <a:ea typeface="永中宋体"/>
                        <a:cs typeface="Lucida Sans"/>
                      </a:rPr>
                      <a:t>社会保障和就业支出, 33.03万元</a:t>
                    </a:r>
                    <a:endParaRPr lang="zh-CN" sz="1000" b="0" i="0" u="none" strike="noStrike" baseline="0">
                      <a:solidFill>
                        <a:srgbClr val="000000"/>
                      </a:solidFill>
                      <a:latin typeface="永中宋体"/>
                      <a:ea typeface="永中宋体"/>
                      <a:cs typeface="Lucida Sans"/>
                    </a:endParaRPr>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a:t>自然资源海洋气象等支出204万元</a:t>
                    </a:r>
                    <a:endParaRPr lang="zh-CN"/>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bestFit"/>
              <c:showLegendKey val="0"/>
              <c:showVal val="1"/>
              <c:showCatName val="1"/>
              <c:showSerName val="0"/>
              <c:showPercent val="0"/>
              <c:showBubbleSize val="0"/>
              <c:extLst>
                <c:ext xmlns:c15="http://schemas.microsoft.com/office/drawing/2012/chart" uri="{CE6537A1-D6FC-4f65-9D91-7224C49458BB}"/>
              </c:extLst>
            </c:dLbl>
            <c:dLbl>
              <c:idx val="2"/>
              <c:layout>
                <c:manualLayout>
                  <c:x val="0.011711627"/>
                  <c:y val="0.18258996"/>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sz="1000" b="0" i="0" u="none" strike="noStrike" baseline="0">
                        <a:solidFill>
                          <a:srgbClr val="000000"/>
                        </a:solidFill>
                        <a:latin typeface="永中宋体"/>
                        <a:ea typeface="永中宋体"/>
                        <a:cs typeface="Lucida Sans"/>
                      </a:rPr>
                      <a:t>住房保障支出, 15.52万元</a:t>
                    </a:r>
                    <a:endParaRPr lang="zh-CN" sz="1000" b="0" i="0" u="none" strike="noStrike" baseline="0">
                      <a:solidFill>
                        <a:srgbClr val="000000"/>
                      </a:solidFill>
                      <a:latin typeface="永中宋体"/>
                      <a:ea typeface="永中宋体"/>
                      <a:cs typeface="Lucida Sans"/>
                    </a:endParaRPr>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永中宋体"/>
                        <a:ea typeface="永中宋体"/>
                        <a:cs typeface="Lucida Sans"/>
                      </a:defRPr>
                    </a:pPr>
                    <a:r>
                      <a:rPr lang="zh-CN" sz="1000" b="0" i="0" u="none" strike="noStrike" baseline="0">
                        <a:solidFill>
                          <a:srgbClr val="000000"/>
                        </a:solidFill>
                        <a:latin typeface="永中宋体"/>
                        <a:ea typeface="永中宋体"/>
                        <a:cs typeface="Lucida Sans"/>
                      </a:rPr>
                      <a:t>卫生健康支出, 12.76万元</a:t>
                    </a:r>
                    <a:endParaRPr lang="zh-CN" sz="1000" b="0" i="0" u="none" strike="noStrike" baseline="0">
                      <a:solidFill>
                        <a:srgbClr val="000000"/>
                      </a:solidFill>
                      <a:latin typeface="永中宋体"/>
                      <a:ea typeface="永中宋体"/>
                      <a:cs typeface="Lucida Sans"/>
                    </a:endParaRPr>
                  </a:p>
                </c:rich>
              </c:tx>
              <c:numFmt formatCode="General" sourceLinked="1"/>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lgn="ctr">
                  <a:defRPr lang="zh-CN" sz="1000" b="0" i="0" u="none" strike="noStrike" kern="1200" baseline="0">
                    <a:solidFill>
                      <a:srgbClr val="000000"/>
                    </a:solidFill>
                    <a:latin typeface="永中宋体"/>
                    <a:ea typeface="永中宋体"/>
                    <a:cs typeface="Lucida Sans"/>
                  </a:defRPr>
                </a:pPr>
              </a:p>
            </c:txPr>
            <c:dLblPos val="bestFit"/>
            <c:showLegendKey val="0"/>
            <c:showVal val="1"/>
            <c:showCatName val="1"/>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社会保障和就业支出</c:v>
                </c:pt>
                <c:pt idx="1">
                  <c:v>自然资源海洋气象等支出</c:v>
                </c:pt>
                <c:pt idx="2">
                  <c:v>住房保障支出</c:v>
                </c:pt>
                <c:pt idx="3">
                  <c:v>卫生健康支出</c:v>
                </c:pt>
              </c:strCache>
            </c:strRef>
          </c:cat>
          <c:val>
            <c:numRef>
              <c:f>'Sheet1 (6)'!$B$2:$B$5</c:f>
              <c:numCache>
                <c:formatCode>General</c:formatCode>
                <c:ptCount val="4"/>
                <c:pt idx="0">
                  <c:v>33.03</c:v>
                </c:pt>
                <c:pt idx="1">
                  <c:v>204</c:v>
                </c:pt>
                <c:pt idx="2">
                  <c:v>15.52</c:v>
                </c:pt>
                <c:pt idx="3">
                  <c:v>12.76</c:v>
                </c:pt>
              </c:numCache>
            </c:numRef>
          </c:val>
        </c:ser>
        <c:dLbls>
          <c:showLegendKey val="0"/>
          <c:showVal val="1"/>
          <c:showCatName val="1"/>
          <c:showSerName val="0"/>
          <c:showPercent val="0"/>
          <c:showBubbleSize val="0"/>
        </c:dLbls>
      </c:pie3DChart>
      <c:spPr>
        <a:noFill/>
        <a:ln>
          <a:noFill/>
        </a:ln>
      </c:spPr>
    </c:plotArea>
    <c:plotVisOnly val="1"/>
    <c:dispBlanksAs val="gap"/>
    <c:showDLblsOverMax val="0"/>
    <c:extLst>
      <c:ext uri="{0b15fc19-7d7d-44ad-8c2d-2c3a37ce22c3}">
        <chartProps xmlns="https://web.wps.cn/et/2018/main" chartId="{f522b322-ae7f-4d9e-ab0b-85a99f690d97}"/>
      </c:ext>
    </c:extLst>
  </c:chart>
  <c:txPr>
    <a:bodyPr/>
    <a:lstStyle/>
    <a:p>
      <a:pPr>
        <a:defRPr lang="zh-CN" sz="1000" b="0" i="0" u="none" strike="noStrike" baseline="0">
          <a:solidFill>
            <a:srgbClr val="000000"/>
          </a:solidFill>
          <a:latin typeface="永中宋体"/>
          <a:ea typeface="永中宋体"/>
          <a:cs typeface="Lucida Sans"/>
        </a:defRPr>
      </a:pPr>
    </a:p>
  </c:txPr>
  <c:externalData r:id="rId1">
    <c:autoUpdate val="0"/>
  </c:externalData>
</c:chartSpace>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26650 1 1 1 1 1"/>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93614A-E7E8-4C98-BA05-1A3BAF0113A0}">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19</Pages>
  <Words>510</Words>
  <Characters>544</Characters>
  <Lines>0</Lines>
  <Paragraphs>317</Paragraphs>
  <TotalTime>158</TotalTime>
  <ScaleCrop>false</ScaleCrop>
  <LinksUpToDate>false</LinksUpToDate>
  <CharactersWithSpaces>586</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ying ying Z </cp:lastModifiedBy>
  <cp:lastPrinted>2026-08-03T09:27:00Z</cp:lastPrinted>
  <dcterms:modified xsi:type="dcterms:W3CDTF">2026-09-10T07:06:12Z</dcterms:modified>
  <dc:title>四川省***</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400D301575C74348A5277D00A7902E06</vt:lpwstr>
  </property>
  <property fmtid="{D5CDD505-2E9C-101B-9397-08002B2CF9AE}" pid="4" name="KSOTemplateDocerSaveRecord">
    <vt:lpwstr>eyJoZGlkIjoiNTg3YjI3Zjc2MzNiOTAzMWQ3ZTE0ODk2ZjQ0ZjFkZmMiLCJ1c2VySWQiOiIzMzE4NzY0OTMifQ==</vt:lpwstr>
  </property>
</Properties>
</file>