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AAC" w:rsidRDefault="00916AAC">
      <w:pPr>
        <w:pStyle w:val="a3"/>
        <w:spacing w:before="93"/>
        <w:rPr>
          <w:rFonts w:ascii="Times New Roman" w:eastAsia="方正小标宋简体"/>
          <w:kern w:val="2"/>
          <w:sz w:val="72"/>
          <w:szCs w:val="72"/>
        </w:rPr>
      </w:pPr>
      <w:bookmarkStart w:id="0" w:name="_Toc15396597"/>
      <w:bookmarkStart w:id="1" w:name="_Toc15377193"/>
      <w:bookmarkStart w:id="2" w:name="_Toc15396475"/>
      <w:bookmarkStart w:id="3" w:name="_Toc15378441"/>
      <w:bookmarkStart w:id="4" w:name="_Toc15377425"/>
      <w:bookmarkStart w:id="5" w:name="_Toc15306267"/>
    </w:p>
    <w:p w:rsidR="00916AAC" w:rsidRDefault="00916AAC">
      <w:pPr>
        <w:pStyle w:val="a3"/>
        <w:spacing w:before="93"/>
        <w:rPr>
          <w:rFonts w:ascii="Times New Roman" w:eastAsia="方正小标宋简体"/>
          <w:kern w:val="2"/>
          <w:sz w:val="72"/>
          <w:szCs w:val="72"/>
        </w:rPr>
      </w:pPr>
    </w:p>
    <w:p w:rsidR="00916AAC" w:rsidRDefault="00916AAC">
      <w:pPr>
        <w:pStyle w:val="a3"/>
        <w:spacing w:before="93"/>
        <w:rPr>
          <w:rFonts w:ascii="Times New Roman" w:eastAsia="方正小标宋简体"/>
          <w:kern w:val="2"/>
          <w:sz w:val="72"/>
          <w:szCs w:val="72"/>
        </w:rPr>
      </w:pPr>
    </w:p>
    <w:p w:rsidR="00916AAC" w:rsidRDefault="00916AAC">
      <w:pPr>
        <w:pStyle w:val="a3"/>
        <w:spacing w:before="93"/>
        <w:rPr>
          <w:rFonts w:ascii="Times New Roman" w:eastAsia="方正小标宋简体"/>
          <w:kern w:val="2"/>
          <w:sz w:val="72"/>
          <w:szCs w:val="72"/>
        </w:rPr>
      </w:pPr>
    </w:p>
    <w:p w:rsidR="00916AAC" w:rsidRDefault="000303A4">
      <w:pPr>
        <w:pStyle w:val="a3"/>
        <w:spacing w:before="93"/>
        <w:jc w:val="center"/>
        <w:rPr>
          <w:rFonts w:ascii="Times New Roman" w:eastAsia="方正小标宋简体"/>
          <w:kern w:val="2"/>
          <w:sz w:val="44"/>
          <w:szCs w:val="44"/>
        </w:rPr>
      </w:pPr>
      <w:r>
        <w:rPr>
          <w:rFonts w:ascii="Times New Roman" w:eastAsia="方正小标宋简体" w:hint="eastAsia"/>
          <w:kern w:val="2"/>
          <w:sz w:val="44"/>
          <w:szCs w:val="44"/>
        </w:rPr>
        <w:t>2025</w:t>
      </w:r>
      <w:r>
        <w:rPr>
          <w:rFonts w:ascii="Times New Roman" w:eastAsia="方正小标宋简体" w:hint="eastAsia"/>
          <w:kern w:val="2"/>
          <w:sz w:val="44"/>
          <w:szCs w:val="44"/>
        </w:rPr>
        <w:t>年度四川省攀枝花市国土整治中心</w:t>
      </w:r>
    </w:p>
    <w:p w:rsidR="00916AAC" w:rsidRDefault="000303A4">
      <w:pPr>
        <w:pStyle w:val="a3"/>
        <w:spacing w:before="93"/>
        <w:jc w:val="center"/>
        <w:rPr>
          <w:rFonts w:ascii="Times New Roman" w:eastAsia="方正小标宋简体"/>
          <w:kern w:val="2"/>
          <w:sz w:val="44"/>
          <w:szCs w:val="44"/>
        </w:rPr>
      </w:pPr>
      <w:r>
        <w:rPr>
          <w:rFonts w:ascii="Times New Roman" w:eastAsia="方正小标宋简体" w:hint="eastAsia"/>
          <w:kern w:val="2"/>
          <w:sz w:val="44"/>
          <w:szCs w:val="44"/>
        </w:rPr>
        <w:t>市级</w:t>
      </w:r>
      <w:r>
        <w:rPr>
          <w:rFonts w:ascii="Times New Roman" w:eastAsia="方正小标宋简体" w:hint="eastAsia"/>
          <w:kern w:val="2"/>
          <w:sz w:val="44"/>
          <w:szCs w:val="44"/>
        </w:rPr>
        <w:t>单位决算公开文字说明</w:t>
      </w:r>
    </w:p>
    <w:p w:rsidR="00916AAC" w:rsidRDefault="00916AAC">
      <w:pPr>
        <w:spacing w:line="600" w:lineRule="exact"/>
        <w:jc w:val="center"/>
        <w:outlineLvl w:val="0"/>
        <w:rPr>
          <w:rFonts w:eastAsia="方正小标宋简体"/>
          <w:sz w:val="72"/>
          <w:szCs w:val="72"/>
        </w:rPr>
      </w:pPr>
    </w:p>
    <w:p w:rsidR="00916AAC" w:rsidRDefault="00916AAC">
      <w:pPr>
        <w:pStyle w:val="5"/>
        <w:rPr>
          <w:rFonts w:ascii="Times New Roman" w:hAnsi="Times New Roman"/>
        </w:rPr>
        <w:sectPr w:rsidR="00916AA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1"/>
          <w:cols w:space="425"/>
          <w:titlePg/>
          <w:docGrid w:type="lines" w:linePitch="312"/>
        </w:sectPr>
      </w:pPr>
    </w:p>
    <w:p w:rsidR="00916AAC" w:rsidRDefault="00916AAC"/>
    <w:p w:rsidR="00916AAC" w:rsidRDefault="00916AAC">
      <w:pPr>
        <w:pStyle w:val="a3"/>
        <w:spacing w:before="93"/>
        <w:jc w:val="center"/>
        <w:rPr>
          <w:rFonts w:ascii="Times New Roman" w:eastAsia="方正小标宋简体"/>
          <w:kern w:val="2"/>
          <w:sz w:val="44"/>
          <w:szCs w:val="44"/>
        </w:rPr>
      </w:pPr>
    </w:p>
    <w:p w:rsidR="00916AAC" w:rsidRDefault="00916AAC">
      <w:pPr>
        <w:pStyle w:val="a3"/>
        <w:spacing w:before="93"/>
        <w:jc w:val="center"/>
        <w:rPr>
          <w:rFonts w:ascii="Times New Roman" w:eastAsia="方正小标宋简体"/>
          <w:kern w:val="2"/>
          <w:sz w:val="44"/>
          <w:szCs w:val="44"/>
        </w:rPr>
      </w:pPr>
    </w:p>
    <w:p w:rsidR="00916AAC" w:rsidRDefault="00916AAC">
      <w:pPr>
        <w:pStyle w:val="a3"/>
        <w:spacing w:before="93"/>
        <w:jc w:val="center"/>
        <w:rPr>
          <w:rFonts w:ascii="Times New Roman" w:eastAsia="方正小标宋简体"/>
          <w:kern w:val="2"/>
          <w:sz w:val="44"/>
          <w:szCs w:val="44"/>
        </w:rPr>
      </w:pPr>
    </w:p>
    <w:p w:rsidR="00916AAC" w:rsidRDefault="00916AAC">
      <w:pPr>
        <w:pStyle w:val="a3"/>
        <w:spacing w:before="93"/>
        <w:jc w:val="center"/>
        <w:rPr>
          <w:rFonts w:ascii="Times New Roman" w:eastAsia="方正小标宋简体"/>
          <w:kern w:val="2"/>
          <w:sz w:val="44"/>
          <w:szCs w:val="44"/>
        </w:rPr>
      </w:pPr>
    </w:p>
    <w:p w:rsidR="00916AAC" w:rsidRDefault="000303A4">
      <w:pPr>
        <w:pStyle w:val="a3"/>
        <w:spacing w:before="93"/>
        <w:jc w:val="center"/>
        <w:rPr>
          <w:rFonts w:ascii="Times New Roman" w:eastAsia="方正小标宋简体"/>
          <w:kern w:val="2"/>
          <w:sz w:val="44"/>
          <w:szCs w:val="44"/>
        </w:rPr>
      </w:pPr>
      <w:bookmarkStart w:id="6" w:name="_Toc15378442"/>
      <w:bookmarkStart w:id="7" w:name="_Toc15396598"/>
      <w:bookmarkStart w:id="8" w:name="_Toc15396476"/>
      <w:bookmarkStart w:id="9" w:name="_Toc15377426"/>
      <w:bookmarkStart w:id="10" w:name="_Toc15377194"/>
      <w:bookmarkEnd w:id="0"/>
      <w:bookmarkEnd w:id="1"/>
      <w:bookmarkEnd w:id="2"/>
      <w:bookmarkEnd w:id="3"/>
      <w:bookmarkEnd w:id="4"/>
      <w:r>
        <w:rPr>
          <w:rFonts w:ascii="Times New Roman" w:eastAsia="方正小标宋简体" w:hint="eastAsia"/>
          <w:kern w:val="2"/>
          <w:sz w:val="44"/>
          <w:szCs w:val="44"/>
        </w:rPr>
        <w:t>2025</w:t>
      </w:r>
      <w:r>
        <w:rPr>
          <w:rFonts w:ascii="Times New Roman" w:eastAsia="方正小标宋简体" w:hint="eastAsia"/>
          <w:kern w:val="2"/>
          <w:sz w:val="44"/>
          <w:szCs w:val="44"/>
        </w:rPr>
        <w:t>年度</w:t>
      </w:r>
      <w:bookmarkEnd w:id="5"/>
      <w:bookmarkEnd w:id="6"/>
      <w:bookmarkEnd w:id="7"/>
      <w:bookmarkEnd w:id="8"/>
      <w:bookmarkEnd w:id="9"/>
      <w:bookmarkEnd w:id="10"/>
      <w:r>
        <w:rPr>
          <w:rFonts w:ascii="Times New Roman" w:eastAsia="方正小标宋简体" w:hint="eastAsia"/>
          <w:kern w:val="2"/>
          <w:sz w:val="44"/>
          <w:szCs w:val="44"/>
        </w:rPr>
        <w:t>四川省</w:t>
      </w:r>
      <w:r>
        <w:rPr>
          <w:rFonts w:ascii="Times New Roman" w:eastAsia="方正小标宋简体" w:hint="eastAsia"/>
          <w:kern w:val="2"/>
          <w:sz w:val="44"/>
          <w:szCs w:val="44"/>
        </w:rPr>
        <w:t>攀枝花市国土整治中心</w:t>
      </w:r>
    </w:p>
    <w:p w:rsidR="00916AAC" w:rsidRDefault="000303A4">
      <w:pPr>
        <w:pStyle w:val="a3"/>
        <w:spacing w:before="93"/>
        <w:jc w:val="center"/>
        <w:rPr>
          <w:rFonts w:ascii="Times New Roman" w:eastAsia="方正小标宋简体"/>
          <w:kern w:val="2"/>
          <w:sz w:val="44"/>
          <w:szCs w:val="44"/>
        </w:rPr>
      </w:pPr>
      <w:r>
        <w:rPr>
          <w:rFonts w:ascii="Times New Roman" w:eastAsia="方正小标宋简体" w:hint="eastAsia"/>
          <w:kern w:val="2"/>
          <w:sz w:val="44"/>
          <w:szCs w:val="44"/>
        </w:rPr>
        <w:t>单位决算</w:t>
      </w: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pStyle w:val="5"/>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916AAC">
      <w:pPr>
        <w:widowControl/>
        <w:jc w:val="center"/>
        <w:rPr>
          <w:rFonts w:eastAsia="黑体"/>
          <w:sz w:val="48"/>
          <w:szCs w:val="48"/>
        </w:rPr>
      </w:pPr>
    </w:p>
    <w:p w:rsidR="00916AAC" w:rsidRDefault="000303A4">
      <w:pPr>
        <w:widowControl/>
        <w:jc w:val="center"/>
        <w:rPr>
          <w:rFonts w:eastAsia="黑体"/>
          <w:sz w:val="48"/>
          <w:szCs w:val="48"/>
        </w:rPr>
      </w:pPr>
      <w:r>
        <w:rPr>
          <w:rFonts w:eastAsia="黑体" w:hint="eastAsia"/>
          <w:sz w:val="48"/>
          <w:szCs w:val="48"/>
        </w:rPr>
        <w:lastRenderedPageBreak/>
        <w:t>目录</w:t>
      </w:r>
    </w:p>
    <w:p w:rsidR="00916AAC" w:rsidRDefault="00916AAC">
      <w:pPr>
        <w:widowControl/>
        <w:jc w:val="center"/>
        <w:rPr>
          <w:rFonts w:eastAsia="黑体" w:cstheme="minorBidi"/>
          <w:sz w:val="28"/>
          <w:szCs w:val="28"/>
        </w:rPr>
      </w:pPr>
    </w:p>
    <w:p w:rsidR="00916AAC" w:rsidRDefault="000303A4">
      <w:pPr>
        <w:pStyle w:val="1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公开时间：</w:t>
      </w:r>
      <w:r>
        <w:rPr>
          <w:rFonts w:ascii="Times New Roman" w:eastAsia="仿宋_GB2312" w:hAnsi="Times New Roman" w:cs="仿宋_GB2312" w:hint="eastAsia"/>
          <w:sz w:val="32"/>
          <w:szCs w:val="32"/>
        </w:rPr>
        <w:t>2026</w:t>
      </w:r>
      <w:r>
        <w:rPr>
          <w:rFonts w:ascii="Times New Roman" w:eastAsia="仿宋_GB2312" w:hAnsi="Times New Roman" w:cs="仿宋_GB2312" w:hint="eastAsia"/>
          <w:sz w:val="32"/>
          <w:szCs w:val="32"/>
        </w:rPr>
        <w:t>年</w:t>
      </w:r>
      <w:r>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 xml:space="preserve"> </w:t>
      </w:r>
      <w:r>
        <w:rPr>
          <w:rFonts w:ascii="Times New Roman" w:eastAsia="仿宋_GB2312" w:hAnsi="Times New Roman" w:cs="仿宋_GB2312" w:hint="eastAsia"/>
          <w:sz w:val="32"/>
          <w:szCs w:val="32"/>
        </w:rPr>
        <w:t>日</w:t>
      </w:r>
    </w:p>
    <w:p w:rsidR="00916AAC" w:rsidRDefault="00916AAC"/>
    <w:p w:rsidR="00916AAC" w:rsidRDefault="000303A4">
      <w:pPr>
        <w:pStyle w:val="10"/>
        <w:adjustRightInd w:val="0"/>
        <w:snapToGrid w:val="0"/>
        <w:spacing w:before="0" w:line="560" w:lineRule="exact"/>
        <w:jc w:val="left"/>
        <w:rPr>
          <w:rFonts w:ascii="Times New Roman" w:hAnsi="Times New Roman" w:cs="黑体"/>
          <w:sz w:val="32"/>
          <w:szCs w:val="32"/>
        </w:rPr>
      </w:pPr>
      <w:r>
        <w:rPr>
          <w:rFonts w:ascii="Times New Roman" w:eastAsia="黑体" w:hAnsi="Times New Roman" w:cs="黑体" w:hint="eastAsia"/>
          <w:sz w:val="32"/>
          <w:szCs w:val="32"/>
        </w:rPr>
        <w:t>第一部分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部门概况</w:t>
      </w:r>
      <w:r>
        <w:rPr>
          <w:rFonts w:ascii="Times New Roman" w:hAnsi="Times New Roman"/>
          <w:sz w:val="24"/>
          <w:szCs w:val="24"/>
        </w:rPr>
        <w:tab/>
      </w:r>
      <w:r>
        <w:rPr>
          <w:rFonts w:ascii="Times New Roman" w:hAnsi="Times New Roman" w:hint="eastAsia"/>
          <w:sz w:val="24"/>
          <w:szCs w:val="24"/>
        </w:rPr>
        <w:t>1</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一、部门职责</w:t>
      </w:r>
      <w:r>
        <w:rPr>
          <w:rFonts w:ascii="Times New Roman" w:hAnsi="Times New Roman"/>
          <w:sz w:val="24"/>
          <w:szCs w:val="24"/>
        </w:rPr>
        <w:tab/>
      </w:r>
      <w:r>
        <w:rPr>
          <w:rFonts w:ascii="Times New Roman" w:hAnsi="Times New Roman" w:hint="eastAsia"/>
          <w:sz w:val="24"/>
          <w:szCs w:val="24"/>
        </w:rPr>
        <w:t>1</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二、机构设置</w:t>
      </w:r>
      <w:r>
        <w:rPr>
          <w:rFonts w:ascii="Times New Roman" w:hAnsi="Times New Roman"/>
          <w:sz w:val="24"/>
          <w:szCs w:val="24"/>
        </w:rPr>
        <w:tab/>
      </w:r>
      <w:r>
        <w:rPr>
          <w:rFonts w:ascii="Times New Roman" w:hAnsi="Times New Roman" w:hint="eastAsia"/>
          <w:sz w:val="24"/>
          <w:szCs w:val="24"/>
        </w:rPr>
        <w:t>1</w:t>
      </w:r>
    </w:p>
    <w:p w:rsidR="00916AAC" w:rsidRDefault="000303A4">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第二部分</w:t>
      </w:r>
      <w:r>
        <w:rPr>
          <w:rFonts w:ascii="Times New Roman" w:eastAsia="黑体" w:hAnsi="Times New Roman" w:cs="黑体" w:hint="eastAsia"/>
          <w:sz w:val="32"/>
          <w:szCs w:val="32"/>
        </w:rPr>
        <w:t xml:space="preserve"> 2025</w:t>
      </w:r>
      <w:r>
        <w:rPr>
          <w:rFonts w:ascii="Times New Roman" w:eastAsia="黑体" w:hAnsi="Times New Roman" w:cs="黑体" w:hint="eastAsia"/>
          <w:sz w:val="32"/>
          <w:szCs w:val="32"/>
        </w:rPr>
        <w:t>年度部门决算情况说明</w:t>
      </w:r>
      <w:r>
        <w:rPr>
          <w:rFonts w:ascii="Times New Roman" w:hAnsi="Times New Roman"/>
          <w:sz w:val="24"/>
          <w:szCs w:val="24"/>
        </w:rPr>
        <w:tab/>
      </w:r>
      <w:r>
        <w:rPr>
          <w:rFonts w:ascii="Times New Roman" w:hAnsi="Times New Roman" w:hint="eastAsia"/>
          <w:sz w:val="24"/>
          <w:szCs w:val="24"/>
        </w:rPr>
        <w:t>2</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一、收入支出决算总体情况说明</w:t>
      </w:r>
      <w:r>
        <w:rPr>
          <w:rFonts w:ascii="Times New Roman" w:hAnsi="Times New Roman"/>
          <w:sz w:val="24"/>
          <w:szCs w:val="24"/>
        </w:rPr>
        <w:tab/>
      </w:r>
      <w:r>
        <w:rPr>
          <w:rFonts w:ascii="Times New Roman" w:hAnsi="Times New Roman" w:hint="eastAsia"/>
          <w:sz w:val="24"/>
          <w:szCs w:val="24"/>
        </w:rPr>
        <w:t>2</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二、收入决算情况说明</w:t>
      </w:r>
      <w:r>
        <w:rPr>
          <w:rFonts w:ascii="Times New Roman" w:hAnsi="Times New Roman"/>
          <w:sz w:val="24"/>
          <w:szCs w:val="24"/>
        </w:rPr>
        <w:tab/>
      </w:r>
      <w:r>
        <w:rPr>
          <w:rFonts w:ascii="Times New Roman" w:hAnsi="Times New Roman" w:hint="eastAsia"/>
          <w:sz w:val="24"/>
          <w:szCs w:val="24"/>
        </w:rPr>
        <w:t>2</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三、支出决算情况说明</w:t>
      </w:r>
      <w:r>
        <w:rPr>
          <w:rFonts w:ascii="Times New Roman" w:hAnsi="Times New Roman"/>
          <w:sz w:val="24"/>
          <w:szCs w:val="24"/>
        </w:rPr>
        <w:tab/>
      </w:r>
      <w:r>
        <w:rPr>
          <w:rFonts w:ascii="Times New Roman" w:hAnsi="Times New Roman" w:hint="eastAsia"/>
          <w:sz w:val="24"/>
          <w:szCs w:val="24"/>
        </w:rPr>
        <w:t>3</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四、财政拨款收入支出决算总体情况说明</w:t>
      </w:r>
      <w:r>
        <w:rPr>
          <w:rFonts w:ascii="Times New Roman" w:hAnsi="Times New Roman"/>
          <w:sz w:val="24"/>
          <w:szCs w:val="24"/>
        </w:rPr>
        <w:tab/>
      </w:r>
      <w:r>
        <w:rPr>
          <w:rFonts w:ascii="Times New Roman" w:hAnsi="Times New Roman" w:hint="eastAsia"/>
          <w:sz w:val="24"/>
          <w:szCs w:val="24"/>
        </w:rPr>
        <w:t>4</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五、一般公共预算财政拨款支出决算情况说明</w:t>
      </w:r>
      <w:r>
        <w:rPr>
          <w:rFonts w:ascii="Times New Roman" w:hAnsi="Times New Roman"/>
          <w:sz w:val="24"/>
          <w:szCs w:val="24"/>
        </w:rPr>
        <w:tab/>
      </w:r>
      <w:r>
        <w:rPr>
          <w:rFonts w:ascii="Times New Roman" w:hAnsi="Times New Roman" w:hint="eastAsia"/>
          <w:sz w:val="24"/>
          <w:szCs w:val="24"/>
        </w:rPr>
        <w:t>4</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六、一般公共预算财政拨款基本支出决算情况说明</w:t>
      </w:r>
      <w:r>
        <w:rPr>
          <w:rFonts w:ascii="Times New Roman" w:hAnsi="Times New Roman"/>
          <w:sz w:val="24"/>
          <w:szCs w:val="24"/>
        </w:rPr>
        <w:tab/>
      </w:r>
      <w:r>
        <w:rPr>
          <w:rFonts w:ascii="Times New Roman" w:hAnsi="Times New Roman" w:hint="eastAsia"/>
          <w:sz w:val="24"/>
          <w:szCs w:val="24"/>
        </w:rPr>
        <w:t>7</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七、财政拨款“三公”经费支出决算情况说明</w:t>
      </w:r>
      <w:r>
        <w:rPr>
          <w:rFonts w:ascii="Times New Roman" w:hAnsi="Times New Roman"/>
          <w:sz w:val="24"/>
          <w:szCs w:val="24"/>
        </w:rPr>
        <w:tab/>
      </w:r>
      <w:r>
        <w:rPr>
          <w:rFonts w:ascii="Times New Roman" w:hAnsi="Times New Roman" w:hint="eastAsia"/>
          <w:sz w:val="24"/>
          <w:szCs w:val="24"/>
        </w:rPr>
        <w:t>7</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八、政府性基金预算支出决算情况说明</w:t>
      </w:r>
      <w:r>
        <w:rPr>
          <w:rFonts w:ascii="Times New Roman" w:hAnsi="Times New Roman"/>
          <w:sz w:val="24"/>
          <w:szCs w:val="24"/>
        </w:rPr>
        <w:tab/>
      </w:r>
      <w:r>
        <w:rPr>
          <w:rFonts w:ascii="Times New Roman" w:hAnsi="Times New Roman" w:hint="eastAsia"/>
          <w:sz w:val="24"/>
          <w:szCs w:val="24"/>
        </w:rPr>
        <w:t>9</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九、国有资本经营预算支出决算情况说明</w:t>
      </w:r>
      <w:r>
        <w:rPr>
          <w:rFonts w:ascii="Times New Roman" w:hAnsi="Times New Roman"/>
          <w:sz w:val="24"/>
          <w:szCs w:val="24"/>
        </w:rPr>
        <w:tab/>
      </w:r>
      <w:r>
        <w:rPr>
          <w:rFonts w:ascii="Times New Roman" w:hAnsi="Times New Roman" w:hint="eastAsia"/>
          <w:sz w:val="24"/>
          <w:szCs w:val="24"/>
        </w:rPr>
        <w:t>9</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十、其他重要事项的情况说明</w:t>
      </w:r>
      <w:r>
        <w:rPr>
          <w:rFonts w:ascii="Times New Roman" w:hAnsi="Times New Roman"/>
          <w:sz w:val="24"/>
          <w:szCs w:val="24"/>
        </w:rPr>
        <w:tab/>
      </w:r>
      <w:r>
        <w:rPr>
          <w:rFonts w:ascii="Times New Roman" w:hAnsi="Times New Roman" w:hint="eastAsia"/>
          <w:sz w:val="24"/>
          <w:szCs w:val="24"/>
        </w:rPr>
        <w:t>10</w:t>
      </w:r>
    </w:p>
    <w:p w:rsidR="00916AAC" w:rsidRDefault="000303A4">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第三部分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名词解释</w:t>
      </w:r>
      <w:r>
        <w:rPr>
          <w:rFonts w:ascii="Times New Roman" w:hAnsi="Times New Roman"/>
          <w:sz w:val="24"/>
          <w:szCs w:val="24"/>
        </w:rPr>
        <w:tab/>
      </w:r>
      <w:r>
        <w:rPr>
          <w:rFonts w:ascii="Times New Roman" w:hAnsi="Times New Roman" w:hint="eastAsia"/>
          <w:sz w:val="24"/>
          <w:szCs w:val="24"/>
        </w:rPr>
        <w:t>11</w:t>
      </w:r>
    </w:p>
    <w:p w:rsidR="00916AAC" w:rsidRDefault="000303A4">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第四部分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附件</w:t>
      </w:r>
      <w:r>
        <w:rPr>
          <w:rFonts w:ascii="Times New Roman" w:hAnsi="Times New Roman"/>
          <w:sz w:val="24"/>
          <w:szCs w:val="24"/>
        </w:rPr>
        <w:tab/>
      </w:r>
      <w:r>
        <w:rPr>
          <w:rFonts w:ascii="Times New Roman" w:hAnsi="Times New Roman" w:hint="eastAsia"/>
          <w:sz w:val="24"/>
          <w:szCs w:val="24"/>
        </w:rPr>
        <w:t>14</w:t>
      </w:r>
    </w:p>
    <w:p w:rsidR="00916AAC" w:rsidRDefault="000303A4">
      <w:pPr>
        <w:pStyle w:val="10"/>
        <w:adjustRightInd w:val="0"/>
        <w:snapToGrid w:val="0"/>
        <w:spacing w:before="0" w:line="560" w:lineRule="exact"/>
        <w:jc w:val="left"/>
        <w:rPr>
          <w:rFonts w:ascii="Times New Roman" w:eastAsia="黑体" w:hAnsi="Times New Roman" w:cs="黑体"/>
          <w:sz w:val="32"/>
          <w:szCs w:val="32"/>
        </w:rPr>
      </w:pPr>
      <w:r>
        <w:rPr>
          <w:rFonts w:ascii="Times New Roman" w:eastAsia="黑体" w:hAnsi="Times New Roman" w:cs="黑体" w:hint="eastAsia"/>
          <w:sz w:val="32"/>
          <w:szCs w:val="32"/>
        </w:rPr>
        <w:t>第五部分</w:t>
      </w:r>
      <w:r>
        <w:rPr>
          <w:rFonts w:ascii="Times New Roman" w:eastAsia="黑体" w:hAnsi="Times New Roman" w:cs="黑体" w:hint="eastAsia"/>
          <w:sz w:val="32"/>
          <w:szCs w:val="32"/>
        </w:rPr>
        <w:t xml:space="preserve"> </w:t>
      </w:r>
      <w:r>
        <w:rPr>
          <w:rFonts w:ascii="Times New Roman" w:eastAsia="黑体" w:hAnsi="Times New Roman" w:cs="黑体" w:hint="eastAsia"/>
          <w:sz w:val="32"/>
          <w:szCs w:val="32"/>
        </w:rPr>
        <w:t>附表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一、收入支出决算总表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二、收入决算表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三、支出决算表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四、财政拨款收入支出决算总表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五、财政拨款支出决算明细表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六、一般公共预算财政拨款支出决算表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七、一般公共预算财政拨款支出决算明细表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八、一般公共预算财政拨款基本支出决算明细表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九、一般公共预算财政拨款项目支出决算表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十、政府性基金预算财政拨款收入支出决算表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hAnsi="Times New Roman" w:cs="黑体"/>
          <w:sz w:val="32"/>
          <w:szCs w:val="32"/>
        </w:rPr>
      </w:pPr>
      <w:r>
        <w:rPr>
          <w:rFonts w:ascii="Times New Roman" w:eastAsia="仿宋_GB2312" w:hAnsi="Times New Roman" w:cs="仿宋_GB2312" w:hint="eastAsia"/>
          <w:sz w:val="32"/>
          <w:szCs w:val="32"/>
        </w:rPr>
        <w:t>十一、国有资本经营预算财政拨款收入支出决算表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十二、国有资本经营预算财政拨款支出决算表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0303A4">
      <w:pPr>
        <w:pStyle w:val="10"/>
        <w:adjustRightInd w:val="0"/>
        <w:snapToGrid w:val="0"/>
        <w:spacing w:before="0" w:line="560" w:lineRule="exact"/>
        <w:ind w:firstLineChars="200" w:firstLine="640"/>
        <w:jc w:val="left"/>
        <w:rPr>
          <w:rFonts w:ascii="Times New Roman" w:hAnsi="Times New Roman" w:cs="黑体"/>
          <w:sz w:val="32"/>
          <w:szCs w:val="32"/>
        </w:rPr>
      </w:pPr>
      <w:r>
        <w:rPr>
          <w:rFonts w:ascii="Times New Roman" w:eastAsia="仿宋_GB2312" w:hAnsi="Times New Roman" w:cs="仿宋_GB2312" w:hint="eastAsia"/>
          <w:sz w:val="32"/>
          <w:szCs w:val="32"/>
        </w:rPr>
        <w:t>十三、财政拨款“三公”经费支出决算表</w:t>
      </w:r>
      <w:r>
        <w:rPr>
          <w:rFonts w:ascii="Times New Roman" w:hAnsi="Times New Roman"/>
          <w:sz w:val="24"/>
          <w:szCs w:val="24"/>
        </w:rPr>
        <w:tab/>
      </w:r>
      <w:r>
        <w:rPr>
          <w:rFonts w:ascii="Times New Roman" w:hAnsi="Times New Roman" w:hint="eastAsia"/>
          <w:sz w:val="24"/>
          <w:szCs w:val="24"/>
        </w:rPr>
        <w:t>1</w:t>
      </w:r>
      <w:r w:rsidR="00B572ED">
        <w:rPr>
          <w:rFonts w:ascii="Times New Roman" w:hAnsi="Times New Roman" w:hint="eastAsia"/>
          <w:sz w:val="24"/>
          <w:szCs w:val="24"/>
        </w:rPr>
        <w:t>5</w:t>
      </w:r>
    </w:p>
    <w:p w:rsidR="00916AAC" w:rsidRDefault="00916AAC">
      <w:pPr>
        <w:pStyle w:val="21"/>
        <w:adjustRightInd w:val="0"/>
        <w:snapToGrid w:val="0"/>
        <w:spacing w:line="560" w:lineRule="exact"/>
        <w:ind w:leftChars="0" w:left="0" w:firstLineChars="200" w:firstLine="640"/>
        <w:jc w:val="left"/>
        <w:rPr>
          <w:rFonts w:eastAsia="仿宋_GB2312" w:cs="仿宋_GB2312"/>
          <w:sz w:val="32"/>
          <w:szCs w:val="32"/>
        </w:rPr>
      </w:pPr>
    </w:p>
    <w:p w:rsidR="00916AAC" w:rsidRDefault="00916AAC">
      <w:pPr>
        <w:pStyle w:val="1"/>
        <w:jc w:val="center"/>
        <w:rPr>
          <w:rFonts w:eastAsia="方正小标宋简体" w:cs="方正小标宋简体"/>
          <w:b w:val="0"/>
        </w:rPr>
        <w:sectPr w:rsidR="00916AAC">
          <w:footerReference w:type="default" r:id="rId14"/>
          <w:footerReference w:type="first" r:id="rId15"/>
          <w:pgSz w:w="11906" w:h="16838"/>
          <w:pgMar w:top="1440" w:right="1800" w:bottom="1440" w:left="1800" w:header="851" w:footer="992" w:gutter="0"/>
          <w:pgNumType w:start="1"/>
          <w:cols w:space="425"/>
          <w:docGrid w:type="lines" w:linePitch="312"/>
        </w:sectPr>
      </w:pPr>
      <w:bookmarkStart w:id="11" w:name="_Toc15377196"/>
      <w:bookmarkStart w:id="12" w:name="_Toc15396599"/>
    </w:p>
    <w:p w:rsidR="00916AAC" w:rsidRDefault="000303A4">
      <w:pPr>
        <w:pStyle w:val="1"/>
        <w:jc w:val="center"/>
        <w:rPr>
          <w:rStyle w:val="1Char"/>
          <w:rFonts w:eastAsia="方正小标宋简体" w:cs="方正小标宋简体"/>
          <w:b/>
        </w:rPr>
      </w:pPr>
      <w:r>
        <w:rPr>
          <w:rFonts w:eastAsia="方正小标宋简体" w:cs="方正小标宋简体" w:hint="eastAsia"/>
          <w:b w:val="0"/>
        </w:rPr>
        <w:lastRenderedPageBreak/>
        <w:t>第一部分</w:t>
      </w:r>
      <w:r>
        <w:rPr>
          <w:rFonts w:eastAsia="方正小标宋简体" w:cs="方正小标宋简体" w:hint="eastAsia"/>
          <w:b w:val="0"/>
        </w:rPr>
        <w:t xml:space="preserve">  </w:t>
      </w:r>
      <w:r>
        <w:rPr>
          <w:rStyle w:val="1Char"/>
          <w:rFonts w:eastAsia="方正小标宋简体" w:cs="方正小标宋简体" w:hint="eastAsia"/>
        </w:rPr>
        <w:t>部门概况</w:t>
      </w:r>
      <w:bookmarkEnd w:id="11"/>
      <w:bookmarkEnd w:id="12"/>
    </w:p>
    <w:p w:rsidR="00916AAC" w:rsidRDefault="00916AAC">
      <w:pPr>
        <w:widowControl/>
        <w:jc w:val="left"/>
        <w:rPr>
          <w:rFonts w:eastAsia="黑体"/>
          <w:sz w:val="32"/>
          <w:szCs w:val="32"/>
        </w:rPr>
      </w:pPr>
    </w:p>
    <w:p w:rsidR="00916AAC" w:rsidRDefault="000303A4">
      <w:pPr>
        <w:pStyle w:val="2"/>
        <w:rPr>
          <w:rFonts w:ascii="Times New Roman" w:eastAsia="黑体" w:hAnsi="Times New Roman"/>
          <w:b w:val="0"/>
        </w:rPr>
      </w:pPr>
      <w:bookmarkStart w:id="13" w:name="_Toc15377197"/>
      <w:bookmarkStart w:id="14" w:name="_Toc15396600"/>
      <w:r>
        <w:rPr>
          <w:rFonts w:ascii="Times New Roman" w:eastAsia="黑体" w:hAnsi="Times New Roman" w:hint="eastAsia"/>
          <w:b w:val="0"/>
        </w:rPr>
        <w:t>一、</w:t>
      </w:r>
      <w:bookmarkEnd w:id="13"/>
      <w:bookmarkEnd w:id="14"/>
      <w:r>
        <w:rPr>
          <w:rFonts w:ascii="Times New Roman" w:eastAsia="黑体" w:hAnsi="Times New Roman" w:hint="eastAsia"/>
          <w:b w:val="0"/>
        </w:rPr>
        <w:t>部门职责</w:t>
      </w:r>
    </w:p>
    <w:p w:rsidR="00916AAC" w:rsidRDefault="000303A4">
      <w:pPr>
        <w:ind w:firstLineChars="200" w:firstLine="640"/>
      </w:pPr>
      <w:r>
        <w:rPr>
          <w:rFonts w:eastAsia="仿宋_GB2312"/>
          <w:sz w:val="32"/>
          <w:szCs w:val="32"/>
        </w:rPr>
        <w:t>承担国土空间综合整治、土地整理复垦的事务性管理和技术支撑服务工作；承担职责范围内的山水林田湖草生态治理，永久基本农田划定、占用及补划，耕地占补平衡等相关技术支撑工作。</w:t>
      </w:r>
    </w:p>
    <w:p w:rsidR="00916AAC" w:rsidRDefault="000303A4">
      <w:pPr>
        <w:pStyle w:val="2"/>
        <w:rPr>
          <w:rStyle w:val="2Char"/>
          <w:rFonts w:ascii="Times New Roman" w:hAnsi="Times New Roman"/>
        </w:rPr>
      </w:pPr>
      <w:bookmarkStart w:id="15" w:name="_Toc15377200"/>
      <w:bookmarkStart w:id="16" w:name="_Toc15396601"/>
      <w:r>
        <w:rPr>
          <w:rFonts w:ascii="Times New Roman" w:eastAsia="黑体" w:hAnsi="Times New Roman" w:hint="eastAsia"/>
          <w:b w:val="0"/>
        </w:rPr>
        <w:t>二、机</w:t>
      </w:r>
      <w:r>
        <w:rPr>
          <w:rStyle w:val="2Char"/>
          <w:rFonts w:ascii="Times New Roman" w:eastAsia="黑体" w:hAnsi="Times New Roman" w:hint="eastAsia"/>
        </w:rPr>
        <w:t>构设置</w:t>
      </w:r>
      <w:bookmarkEnd w:id="15"/>
      <w:bookmarkEnd w:id="16"/>
    </w:p>
    <w:p w:rsidR="00916AAC" w:rsidRDefault="000303A4">
      <w:pPr>
        <w:ind w:firstLineChars="250" w:firstLine="800"/>
        <w:rPr>
          <w:rFonts w:eastAsia="仿宋_GB2312" w:cs="仿宋_GB2312"/>
          <w:sz w:val="32"/>
          <w:szCs w:val="32"/>
        </w:rPr>
      </w:pPr>
      <w:r>
        <w:rPr>
          <w:rFonts w:ascii="仿宋_GB2312" w:eastAsia="仿宋_GB2312" w:hAnsi="仿宋_GB2312" w:cs="仿宋_GB2312" w:hint="eastAsia"/>
          <w:sz w:val="32"/>
          <w:szCs w:val="32"/>
        </w:rPr>
        <w:t>攀枝花市国土整治中心</w:t>
      </w:r>
      <w:r>
        <w:rPr>
          <w:rFonts w:eastAsia="仿宋_GB2312"/>
          <w:sz w:val="32"/>
          <w:szCs w:val="32"/>
        </w:rPr>
        <w:t>是攀枝花市自然资源和规划局下属</w:t>
      </w:r>
      <w:r>
        <w:rPr>
          <w:rFonts w:eastAsia="仿宋_GB2312" w:hint="eastAsia"/>
          <w:sz w:val="32"/>
          <w:szCs w:val="32"/>
        </w:rPr>
        <w:t>直属事业</w:t>
      </w:r>
      <w:r>
        <w:rPr>
          <w:rFonts w:eastAsia="仿宋_GB2312"/>
          <w:sz w:val="32"/>
          <w:szCs w:val="32"/>
        </w:rPr>
        <w:t>单位</w:t>
      </w:r>
      <w:r>
        <w:rPr>
          <w:rFonts w:eastAsia="仿宋_GB2312" w:cs="仿宋_GB2312" w:hint="eastAsia"/>
          <w:sz w:val="32"/>
          <w:szCs w:val="32"/>
        </w:rPr>
        <w:t>，下属二级预算单位</w:t>
      </w:r>
      <w:r>
        <w:rPr>
          <w:rFonts w:eastAsia="仿宋_GB2312" w:cs="仿宋_GB2312" w:hint="eastAsia"/>
          <w:sz w:val="32"/>
          <w:szCs w:val="32"/>
        </w:rPr>
        <w:t>0</w:t>
      </w:r>
      <w:r>
        <w:rPr>
          <w:rFonts w:eastAsia="仿宋_GB2312" w:cs="仿宋_GB2312" w:hint="eastAsia"/>
          <w:sz w:val="32"/>
          <w:szCs w:val="32"/>
        </w:rPr>
        <w:t>个，其中行政单位</w:t>
      </w:r>
      <w:r>
        <w:rPr>
          <w:rFonts w:eastAsia="仿宋_GB2312" w:cs="仿宋_GB2312" w:hint="eastAsia"/>
          <w:sz w:val="32"/>
          <w:szCs w:val="32"/>
        </w:rPr>
        <w:t>0</w:t>
      </w:r>
      <w:r>
        <w:rPr>
          <w:rFonts w:eastAsia="仿宋_GB2312" w:cs="仿宋_GB2312" w:hint="eastAsia"/>
          <w:sz w:val="32"/>
          <w:szCs w:val="32"/>
        </w:rPr>
        <w:t>个，参照公务员法管理的事业单位</w:t>
      </w:r>
      <w:r>
        <w:rPr>
          <w:rFonts w:eastAsia="仿宋_GB2312" w:cs="仿宋_GB2312" w:hint="eastAsia"/>
          <w:bCs/>
          <w:sz w:val="32"/>
          <w:szCs w:val="32"/>
        </w:rPr>
        <w:t>0</w:t>
      </w:r>
      <w:r>
        <w:rPr>
          <w:rFonts w:eastAsia="仿宋_GB2312" w:cs="仿宋_GB2312" w:hint="eastAsia"/>
          <w:sz w:val="32"/>
          <w:szCs w:val="32"/>
        </w:rPr>
        <w:t>个，其他事业单位</w:t>
      </w:r>
      <w:r>
        <w:rPr>
          <w:rFonts w:eastAsia="仿宋_GB2312" w:cs="仿宋_GB2312" w:hint="eastAsia"/>
          <w:sz w:val="32"/>
          <w:szCs w:val="32"/>
        </w:rPr>
        <w:t>0</w:t>
      </w:r>
      <w:r>
        <w:rPr>
          <w:rFonts w:eastAsia="仿宋_GB2312" w:cs="仿宋_GB2312" w:hint="eastAsia"/>
          <w:sz w:val="32"/>
          <w:szCs w:val="32"/>
        </w:rPr>
        <w:t>个。</w:t>
      </w:r>
    </w:p>
    <w:p w:rsidR="00916AAC" w:rsidRDefault="000303A4">
      <w:pPr>
        <w:widowControl/>
        <w:jc w:val="left"/>
        <w:rPr>
          <w:rFonts w:eastAsia="仿宋"/>
          <w:kern w:val="0"/>
          <w:sz w:val="32"/>
          <w:szCs w:val="32"/>
        </w:rPr>
      </w:pPr>
      <w:r>
        <w:rPr>
          <w:rFonts w:eastAsia="仿宋"/>
          <w:sz w:val="32"/>
          <w:szCs w:val="32"/>
        </w:rPr>
        <w:br w:type="page"/>
      </w:r>
    </w:p>
    <w:p w:rsidR="00916AAC" w:rsidRDefault="000303A4">
      <w:pPr>
        <w:pStyle w:val="1"/>
        <w:jc w:val="center"/>
        <w:rPr>
          <w:rFonts w:eastAsia="方正小标宋简体" w:cs="方正小标宋简体"/>
          <w:b w:val="0"/>
        </w:rPr>
      </w:pPr>
      <w:bookmarkStart w:id="17" w:name="_Toc15377204"/>
      <w:bookmarkStart w:id="18" w:name="_Toc15396602"/>
      <w:r>
        <w:rPr>
          <w:rFonts w:eastAsia="方正小标宋简体" w:cs="方正小标宋简体" w:hint="eastAsia"/>
          <w:b w:val="0"/>
        </w:rPr>
        <w:lastRenderedPageBreak/>
        <w:t>第二部分</w:t>
      </w:r>
      <w:r>
        <w:rPr>
          <w:rFonts w:eastAsia="方正小标宋简体" w:cs="方正小标宋简体" w:hint="eastAsia"/>
          <w:b w:val="0"/>
        </w:rPr>
        <w:t xml:space="preserve">  </w:t>
      </w:r>
      <w:r>
        <w:rPr>
          <w:rFonts w:eastAsia="方正小标宋简体" w:cs="方正小标宋简体" w:hint="eastAsia"/>
          <w:b w:val="0"/>
        </w:rPr>
        <w:t>2025</w:t>
      </w:r>
      <w:r>
        <w:rPr>
          <w:rFonts w:eastAsia="方正小标宋简体" w:cs="方正小标宋简体" w:hint="eastAsia"/>
          <w:b w:val="0"/>
        </w:rPr>
        <w:t>年度部门决算情况说明</w:t>
      </w:r>
      <w:bookmarkEnd w:id="17"/>
      <w:bookmarkEnd w:id="18"/>
    </w:p>
    <w:p w:rsidR="00916AAC" w:rsidRDefault="00916AAC"/>
    <w:p w:rsidR="00916AAC" w:rsidRDefault="000303A4">
      <w:pPr>
        <w:pStyle w:val="ab"/>
        <w:spacing w:line="600" w:lineRule="exact"/>
        <w:ind w:firstLine="640"/>
        <w:outlineLvl w:val="1"/>
        <w:rPr>
          <w:rStyle w:val="2Char"/>
          <w:rFonts w:ascii="Times New Roman" w:eastAsia="黑体" w:hAnsi="Times New Roman"/>
          <w:b w:val="0"/>
        </w:rPr>
      </w:pPr>
      <w:bookmarkStart w:id="19" w:name="_Toc15377205"/>
      <w:bookmarkStart w:id="20" w:name="_Toc15396603"/>
      <w:r>
        <w:rPr>
          <w:rFonts w:eastAsia="黑体" w:hint="eastAsia"/>
          <w:sz w:val="32"/>
          <w:szCs w:val="32"/>
        </w:rPr>
        <w:t>一、收</w:t>
      </w:r>
      <w:r>
        <w:rPr>
          <w:rStyle w:val="2Char"/>
          <w:rFonts w:ascii="Times New Roman" w:eastAsia="黑体" w:hAnsi="Times New Roman" w:hint="eastAsia"/>
          <w:b w:val="0"/>
        </w:rPr>
        <w:t>入支出决算总体情况说明</w:t>
      </w:r>
      <w:bookmarkEnd w:id="19"/>
      <w:bookmarkEnd w:id="20"/>
    </w:p>
    <w:p w:rsidR="00916AAC" w:rsidRDefault="000303A4">
      <w:pPr>
        <w:pStyle w:val="ab"/>
        <w:spacing w:line="600" w:lineRule="exact"/>
        <w:ind w:firstLine="640"/>
        <w:outlineLvl w:val="1"/>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年度收入、支出总计均为</w:t>
      </w:r>
      <w:r>
        <w:rPr>
          <w:rFonts w:ascii="仿宋_GB2312" w:eastAsia="仿宋_GB2312" w:hAnsi="仿宋_GB2312" w:cs="仿宋_GB2312" w:hint="eastAsia"/>
          <w:sz w:val="32"/>
          <w:szCs w:val="32"/>
        </w:rPr>
        <w:t>184.38</w:t>
      </w:r>
      <w:r>
        <w:rPr>
          <w:rFonts w:eastAsia="仿宋_GB2312" w:cs="仿宋_GB2312" w:hint="eastAsia"/>
          <w:sz w:val="32"/>
          <w:szCs w:val="32"/>
        </w:rPr>
        <w:t>万元。与上年度相比，收入、支出总计各减少</w:t>
      </w:r>
      <w:r>
        <w:rPr>
          <w:rFonts w:eastAsia="仿宋_GB2312" w:cs="仿宋_GB2312" w:hint="eastAsia"/>
          <w:sz w:val="32"/>
          <w:szCs w:val="32"/>
        </w:rPr>
        <w:t>32.16</w:t>
      </w:r>
      <w:r>
        <w:rPr>
          <w:rFonts w:eastAsia="仿宋_GB2312" w:cs="仿宋_GB2312" w:hint="eastAsia"/>
          <w:sz w:val="32"/>
          <w:szCs w:val="32"/>
        </w:rPr>
        <w:t>万元，下降</w:t>
      </w:r>
      <w:r>
        <w:rPr>
          <w:rFonts w:eastAsia="仿宋_GB2312" w:cs="仿宋_GB2312" w:hint="eastAsia"/>
          <w:sz w:val="32"/>
          <w:szCs w:val="32"/>
        </w:rPr>
        <w:t>14.85%</w:t>
      </w:r>
      <w:r>
        <w:rPr>
          <w:rFonts w:eastAsia="仿宋_GB2312" w:cs="仿宋_GB2312" w:hint="eastAsia"/>
          <w:sz w:val="32"/>
          <w:szCs w:val="32"/>
        </w:rPr>
        <w:t>。主要变动原因是项目减少。</w:t>
      </w:r>
    </w:p>
    <w:p w:rsidR="00916AAC" w:rsidRDefault="00916AAC">
      <w:pPr>
        <w:pStyle w:val="ab"/>
        <w:spacing w:line="600" w:lineRule="exact"/>
        <w:outlineLvl w:val="1"/>
      </w:pPr>
    </w:p>
    <w:p w:rsidR="00916AAC" w:rsidRDefault="00916AAC">
      <w:pPr>
        <w:pStyle w:val="ab"/>
        <w:spacing w:line="600" w:lineRule="exact"/>
        <w:outlineLvl w:val="1"/>
      </w:pPr>
    </w:p>
    <w:p w:rsidR="00916AAC" w:rsidRDefault="00916AAC">
      <w:pPr>
        <w:pStyle w:val="ab"/>
        <w:spacing w:line="600" w:lineRule="exact"/>
        <w:outlineLvl w:val="1"/>
      </w:pPr>
    </w:p>
    <w:p w:rsidR="00916AAC" w:rsidRDefault="00916AAC">
      <w:pPr>
        <w:pStyle w:val="ab"/>
        <w:spacing w:line="600" w:lineRule="exact"/>
        <w:outlineLvl w:val="1"/>
      </w:pPr>
    </w:p>
    <w:p w:rsidR="00916AAC" w:rsidRDefault="00916AAC">
      <w:pPr>
        <w:pStyle w:val="ab"/>
        <w:spacing w:line="600" w:lineRule="exact"/>
        <w:outlineLvl w:val="1"/>
      </w:pPr>
    </w:p>
    <w:p w:rsidR="00916AAC" w:rsidRDefault="00916AAC">
      <w:pPr>
        <w:pStyle w:val="ab"/>
        <w:spacing w:line="600" w:lineRule="exact"/>
        <w:outlineLvl w:val="1"/>
      </w:pPr>
    </w:p>
    <w:p w:rsidR="00916AAC" w:rsidRDefault="00916AAC">
      <w:pPr>
        <w:pStyle w:val="ab"/>
        <w:spacing w:line="600" w:lineRule="exact"/>
        <w:outlineLvl w:val="1"/>
      </w:pPr>
    </w:p>
    <w:p w:rsidR="00916AAC" w:rsidRDefault="000303A4">
      <w:pPr>
        <w:pStyle w:val="ab"/>
        <w:spacing w:line="600" w:lineRule="exact"/>
        <w:outlineLvl w:val="1"/>
      </w:pPr>
      <w:r>
        <w:rPr>
          <w:noProof/>
        </w:rPr>
        <w:drawing>
          <wp:anchor distT="0" distB="0" distL="114300" distR="114300" simplePos="0" relativeHeight="251655680" behindDoc="1" locked="0" layoutInCell="1" allowOverlap="1">
            <wp:simplePos x="0" y="0"/>
            <wp:positionH relativeFrom="column">
              <wp:posOffset>271145</wp:posOffset>
            </wp:positionH>
            <wp:positionV relativeFrom="paragraph">
              <wp:posOffset>-2453005</wp:posOffset>
            </wp:positionV>
            <wp:extent cx="4572000" cy="2743200"/>
            <wp:effectExtent l="4445" t="4445" r="14605" b="14605"/>
            <wp:wrapNone/>
            <wp:docPr id="103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916AAC" w:rsidRDefault="000303A4">
      <w:pPr>
        <w:pStyle w:val="ab"/>
        <w:spacing w:line="600" w:lineRule="exact"/>
        <w:ind w:firstLine="640"/>
        <w:outlineLvl w:val="1"/>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1</w:t>
      </w:r>
      <w:r>
        <w:rPr>
          <w:rFonts w:eastAsia="仿宋_GB2312" w:cs="仿宋_GB2312" w:hint="eastAsia"/>
          <w:sz w:val="32"/>
          <w:szCs w:val="32"/>
        </w:rPr>
        <w:t>：收入、支出决算总计变动情况图）</w:t>
      </w:r>
    </w:p>
    <w:p w:rsidR="00916AAC" w:rsidRDefault="000303A4">
      <w:pPr>
        <w:pStyle w:val="ab"/>
        <w:spacing w:line="600" w:lineRule="exact"/>
        <w:ind w:firstLine="640"/>
        <w:outlineLvl w:val="1"/>
        <w:rPr>
          <w:rFonts w:eastAsia="黑体"/>
          <w:sz w:val="32"/>
          <w:szCs w:val="32"/>
        </w:rPr>
      </w:pPr>
      <w:bookmarkStart w:id="21" w:name="_Toc15396604"/>
      <w:bookmarkStart w:id="22" w:name="_Toc15377206"/>
      <w:r>
        <w:rPr>
          <w:rFonts w:eastAsia="黑体" w:hint="eastAsia"/>
          <w:sz w:val="32"/>
          <w:szCs w:val="32"/>
        </w:rPr>
        <w:t>二、收入决算情况说明</w:t>
      </w:r>
      <w:bookmarkEnd w:id="21"/>
      <w:bookmarkEnd w:id="22"/>
    </w:p>
    <w:p w:rsidR="00916AAC" w:rsidRDefault="000303A4">
      <w:pPr>
        <w:pStyle w:val="ab"/>
        <w:spacing w:line="600" w:lineRule="exact"/>
        <w:ind w:firstLine="640"/>
        <w:outlineLvl w:val="1"/>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年度本年收入合计</w:t>
      </w:r>
      <w:r>
        <w:rPr>
          <w:rFonts w:ascii="仿宋_GB2312" w:eastAsia="仿宋_GB2312" w:hAnsi="仿宋_GB2312" w:cs="仿宋_GB2312" w:hint="eastAsia"/>
          <w:sz w:val="32"/>
          <w:szCs w:val="32"/>
        </w:rPr>
        <w:t>184.38</w:t>
      </w:r>
      <w:r>
        <w:rPr>
          <w:rFonts w:eastAsia="仿宋_GB2312" w:cs="仿宋_GB2312" w:hint="eastAsia"/>
          <w:sz w:val="32"/>
          <w:szCs w:val="32"/>
        </w:rPr>
        <w:t>万元，其中：一般公共预算财政拨款收入</w:t>
      </w:r>
      <w:r>
        <w:rPr>
          <w:rFonts w:ascii="仿宋_GB2312" w:eastAsia="仿宋_GB2312" w:hAnsi="仿宋_GB2312" w:cs="仿宋_GB2312" w:hint="eastAsia"/>
          <w:sz w:val="32"/>
          <w:szCs w:val="32"/>
        </w:rPr>
        <w:t>184.38</w:t>
      </w:r>
      <w:r>
        <w:rPr>
          <w:rFonts w:eastAsia="仿宋_GB2312" w:cs="仿宋_GB2312" w:hint="eastAsia"/>
          <w:sz w:val="32"/>
          <w:szCs w:val="32"/>
        </w:rPr>
        <w:t>万元，占</w:t>
      </w:r>
      <w:r>
        <w:rPr>
          <w:rFonts w:ascii="仿宋_GB2312" w:eastAsia="仿宋_GB2312" w:hAnsi="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；政府性基金预算财政拨款收入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；国有资本经营预算财政拨款收入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；上级补助收入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；事业收入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；经营收入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；附属单位上缴收入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；其他收入</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w:t>
      </w: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0303A4">
      <w:pPr>
        <w:pStyle w:val="ab"/>
        <w:spacing w:line="600" w:lineRule="exact"/>
        <w:outlineLvl w:val="1"/>
        <w:rPr>
          <w:rFonts w:eastAsia="仿宋_GB2312" w:cs="仿宋_GB2312"/>
          <w:sz w:val="32"/>
          <w:szCs w:val="32"/>
        </w:rPr>
      </w:pPr>
      <w:r>
        <w:rPr>
          <w:noProof/>
        </w:rPr>
        <w:drawing>
          <wp:anchor distT="0" distB="0" distL="114300" distR="114300" simplePos="0" relativeHeight="251656704" behindDoc="0" locked="0" layoutInCell="1" allowOverlap="1">
            <wp:simplePos x="0" y="0"/>
            <wp:positionH relativeFrom="column">
              <wp:posOffset>271145</wp:posOffset>
            </wp:positionH>
            <wp:positionV relativeFrom="page">
              <wp:posOffset>747395</wp:posOffset>
            </wp:positionV>
            <wp:extent cx="3962400" cy="2743200"/>
            <wp:effectExtent l="4445" t="4445" r="14605" b="14605"/>
            <wp:wrapSquare wrapText="bothSides"/>
            <wp:docPr id="102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916AAC" w:rsidRDefault="000303A4">
      <w:pPr>
        <w:pStyle w:val="ab"/>
        <w:spacing w:line="600" w:lineRule="exact"/>
        <w:ind w:firstLine="640"/>
        <w:outlineLvl w:val="1"/>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2</w:t>
      </w:r>
      <w:r>
        <w:rPr>
          <w:rFonts w:eastAsia="仿宋_GB2312" w:cs="仿宋_GB2312" w:hint="eastAsia"/>
          <w:sz w:val="32"/>
          <w:szCs w:val="32"/>
        </w:rPr>
        <w:t>：收入决算结构图）</w:t>
      </w:r>
    </w:p>
    <w:p w:rsidR="00916AAC" w:rsidRDefault="000303A4">
      <w:pPr>
        <w:pStyle w:val="ab"/>
        <w:spacing w:line="600" w:lineRule="exact"/>
        <w:ind w:firstLine="640"/>
        <w:outlineLvl w:val="1"/>
        <w:rPr>
          <w:rStyle w:val="2Char"/>
          <w:rFonts w:ascii="Times New Roman" w:eastAsia="黑体" w:hAnsi="Times New Roman"/>
          <w:b w:val="0"/>
        </w:rPr>
      </w:pPr>
      <w:bookmarkStart w:id="23" w:name="_Toc15377207"/>
      <w:bookmarkStart w:id="24" w:name="_Toc15396605"/>
      <w:r>
        <w:rPr>
          <w:rFonts w:eastAsia="黑体" w:hint="eastAsia"/>
          <w:sz w:val="32"/>
          <w:szCs w:val="32"/>
        </w:rPr>
        <w:t>三、支</w:t>
      </w:r>
      <w:r>
        <w:rPr>
          <w:rStyle w:val="2Char"/>
          <w:rFonts w:ascii="Times New Roman" w:eastAsia="黑体" w:hAnsi="Times New Roman" w:hint="eastAsia"/>
          <w:b w:val="0"/>
        </w:rPr>
        <w:t>出决算情况说明</w:t>
      </w:r>
      <w:bookmarkEnd w:id="23"/>
      <w:bookmarkEnd w:id="24"/>
    </w:p>
    <w:p w:rsidR="00916AAC" w:rsidRDefault="000303A4">
      <w:pPr>
        <w:pStyle w:val="ab"/>
        <w:spacing w:line="600" w:lineRule="exact"/>
        <w:ind w:firstLine="640"/>
        <w:outlineLvl w:val="1"/>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年度本年支出合计</w:t>
      </w:r>
      <w:r>
        <w:rPr>
          <w:rFonts w:ascii="仿宋_GB2312" w:eastAsia="仿宋_GB2312" w:hAnsi="仿宋_GB2312" w:cs="仿宋_GB2312" w:hint="eastAsia"/>
          <w:sz w:val="32"/>
          <w:szCs w:val="32"/>
        </w:rPr>
        <w:t>184.38</w:t>
      </w:r>
      <w:r>
        <w:rPr>
          <w:rFonts w:eastAsia="仿宋_GB2312" w:cs="仿宋_GB2312" w:hint="eastAsia"/>
          <w:sz w:val="32"/>
          <w:szCs w:val="32"/>
        </w:rPr>
        <w:t>万元，其中：基本支出</w:t>
      </w:r>
      <w:r>
        <w:rPr>
          <w:rFonts w:ascii="仿宋_GB2312" w:eastAsia="仿宋_GB2312" w:hAnsi="仿宋_GB2312" w:cs="仿宋_GB2312" w:hint="eastAsia"/>
          <w:sz w:val="32"/>
          <w:szCs w:val="32"/>
        </w:rPr>
        <w:t>184.38</w:t>
      </w:r>
      <w:r>
        <w:rPr>
          <w:rFonts w:eastAsia="仿宋_GB2312" w:cs="仿宋_GB2312" w:hint="eastAsia"/>
          <w:sz w:val="32"/>
          <w:szCs w:val="32"/>
        </w:rPr>
        <w:t>万元，占</w:t>
      </w:r>
      <w:r>
        <w:rPr>
          <w:rFonts w:ascii="仿宋_GB2312" w:eastAsia="仿宋_GB2312" w:hAnsi="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；项目支出</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；上缴上级支出</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；经营支出</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；对附属单位补助支出</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w:t>
      </w: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916AAC">
      <w:pPr>
        <w:pStyle w:val="ab"/>
        <w:spacing w:line="600" w:lineRule="exact"/>
        <w:ind w:firstLine="640"/>
        <w:outlineLvl w:val="1"/>
        <w:rPr>
          <w:rFonts w:eastAsia="仿宋_GB2312" w:cs="仿宋_GB2312"/>
          <w:sz w:val="32"/>
          <w:szCs w:val="32"/>
        </w:rPr>
      </w:pPr>
    </w:p>
    <w:p w:rsidR="00916AAC" w:rsidRDefault="000303A4">
      <w:pPr>
        <w:pStyle w:val="ab"/>
        <w:spacing w:line="600" w:lineRule="exact"/>
        <w:outlineLvl w:val="1"/>
        <w:rPr>
          <w:rFonts w:eastAsia="仿宋_GB2312" w:cs="仿宋_GB2312"/>
          <w:sz w:val="32"/>
          <w:szCs w:val="32"/>
        </w:rPr>
      </w:pPr>
      <w:r>
        <w:rPr>
          <w:noProof/>
        </w:rPr>
        <w:drawing>
          <wp:anchor distT="0" distB="0" distL="114935" distR="114935" simplePos="0" relativeHeight="251657728"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916AAC" w:rsidRDefault="000303A4">
      <w:pPr>
        <w:pStyle w:val="ab"/>
        <w:spacing w:line="600" w:lineRule="exact"/>
        <w:ind w:firstLine="640"/>
        <w:outlineLvl w:val="1"/>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3</w:t>
      </w:r>
      <w:r>
        <w:rPr>
          <w:rFonts w:eastAsia="仿宋_GB2312" w:cs="仿宋_GB2312" w:hint="eastAsia"/>
          <w:sz w:val="32"/>
          <w:szCs w:val="32"/>
        </w:rPr>
        <w:t>：支出决算结构图）</w:t>
      </w:r>
    </w:p>
    <w:p w:rsidR="00916AAC" w:rsidRDefault="00916AAC">
      <w:pPr>
        <w:ind w:firstLineChars="250" w:firstLine="800"/>
        <w:rPr>
          <w:rFonts w:eastAsia="仿宋_GB2312" w:cs="仿宋_GB2312"/>
          <w:sz w:val="32"/>
          <w:szCs w:val="32"/>
        </w:rPr>
      </w:pPr>
    </w:p>
    <w:p w:rsidR="00916AAC" w:rsidRDefault="000303A4">
      <w:pPr>
        <w:spacing w:line="600" w:lineRule="exact"/>
        <w:ind w:firstLineChars="200" w:firstLine="640"/>
        <w:outlineLvl w:val="1"/>
        <w:rPr>
          <w:rStyle w:val="2Char"/>
          <w:rFonts w:ascii="Times New Roman" w:eastAsia="黑体" w:hAnsi="Times New Roman"/>
          <w:b w:val="0"/>
        </w:rPr>
      </w:pPr>
      <w:bookmarkStart w:id="25" w:name="_Toc15377208"/>
      <w:bookmarkStart w:id="26" w:name="_Toc15396606"/>
      <w:r>
        <w:rPr>
          <w:rFonts w:eastAsia="黑体" w:hint="eastAsia"/>
          <w:sz w:val="32"/>
          <w:szCs w:val="32"/>
        </w:rPr>
        <w:lastRenderedPageBreak/>
        <w:t>四、财</w:t>
      </w:r>
      <w:r>
        <w:rPr>
          <w:rStyle w:val="2Char"/>
          <w:rFonts w:ascii="Times New Roman" w:eastAsia="黑体" w:hAnsi="Times New Roman" w:hint="eastAsia"/>
          <w:b w:val="0"/>
        </w:rPr>
        <w:t>政拨款收入支出决算总体情况说明</w:t>
      </w:r>
      <w:bookmarkEnd w:id="25"/>
      <w:bookmarkEnd w:id="26"/>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年度财政拨款收入、支出总计均为</w:t>
      </w:r>
      <w:r>
        <w:rPr>
          <w:rFonts w:ascii="仿宋_GB2312" w:eastAsia="仿宋_GB2312" w:hAnsi="仿宋_GB2312" w:cs="仿宋_GB2312" w:hint="eastAsia"/>
          <w:sz w:val="32"/>
          <w:szCs w:val="32"/>
        </w:rPr>
        <w:t>184.38</w:t>
      </w:r>
      <w:r>
        <w:rPr>
          <w:rFonts w:eastAsia="仿宋_GB2312" w:cs="仿宋_GB2312" w:hint="eastAsia"/>
          <w:sz w:val="32"/>
          <w:szCs w:val="32"/>
        </w:rPr>
        <w:t>万元。与上年度相比，财政拨款收入、支出总计各减少</w:t>
      </w:r>
      <w:r>
        <w:rPr>
          <w:rFonts w:eastAsia="仿宋_GB2312" w:cs="仿宋_GB2312" w:hint="eastAsia"/>
          <w:sz w:val="32"/>
          <w:szCs w:val="32"/>
        </w:rPr>
        <w:t>32.16</w:t>
      </w:r>
      <w:r>
        <w:rPr>
          <w:rFonts w:eastAsia="仿宋_GB2312" w:cs="仿宋_GB2312" w:hint="eastAsia"/>
          <w:sz w:val="32"/>
          <w:szCs w:val="32"/>
        </w:rPr>
        <w:t>万元，下降</w:t>
      </w:r>
      <w:r>
        <w:rPr>
          <w:rFonts w:eastAsia="仿宋_GB2312" w:cs="仿宋_GB2312" w:hint="eastAsia"/>
          <w:sz w:val="32"/>
          <w:szCs w:val="32"/>
        </w:rPr>
        <w:t>14.85%</w:t>
      </w:r>
      <w:r>
        <w:rPr>
          <w:rFonts w:eastAsia="仿宋_GB2312" w:cs="仿宋_GB2312" w:hint="eastAsia"/>
          <w:sz w:val="32"/>
          <w:szCs w:val="32"/>
        </w:rPr>
        <w:t>。主要变动原因是项目减少。</w:t>
      </w:r>
    </w:p>
    <w:p w:rsidR="00916AAC" w:rsidRDefault="000303A4">
      <w:pPr>
        <w:pStyle w:val="5"/>
        <w:rPr>
          <w:rFonts w:eastAsia="仿宋_GB2312" w:cs="仿宋_GB2312"/>
          <w:sz w:val="32"/>
          <w:szCs w:val="32"/>
        </w:rPr>
      </w:pPr>
      <w:r>
        <w:rPr>
          <w:noProof/>
        </w:rPr>
        <w:drawing>
          <wp:anchor distT="0" distB="0" distL="114300" distR="114300" simplePos="0" relativeHeight="251658752" behindDoc="1" locked="0" layoutInCell="1" allowOverlap="1">
            <wp:simplePos x="0" y="0"/>
            <wp:positionH relativeFrom="column">
              <wp:posOffset>264795</wp:posOffset>
            </wp:positionH>
            <wp:positionV relativeFrom="paragraph">
              <wp:posOffset>249555</wp:posOffset>
            </wp:positionV>
            <wp:extent cx="4572000" cy="3145155"/>
            <wp:effectExtent l="4445" t="4445" r="14605" b="12700"/>
            <wp:wrapNone/>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rsidR="00916AAC" w:rsidRDefault="00916AAC">
      <w:pPr>
        <w:rPr>
          <w:rFonts w:eastAsia="仿宋_GB2312" w:cs="仿宋_GB2312"/>
          <w:sz w:val="32"/>
          <w:szCs w:val="32"/>
        </w:rPr>
      </w:pPr>
    </w:p>
    <w:p w:rsidR="00916AAC" w:rsidRDefault="00916AAC">
      <w:pPr>
        <w:pStyle w:val="5"/>
        <w:rPr>
          <w:rFonts w:eastAsia="仿宋_GB2312" w:cs="仿宋_GB2312"/>
          <w:sz w:val="32"/>
          <w:szCs w:val="32"/>
        </w:rPr>
      </w:pPr>
    </w:p>
    <w:p w:rsidR="00916AAC" w:rsidRDefault="00916AAC">
      <w:pPr>
        <w:rPr>
          <w:rFonts w:eastAsia="仿宋_GB2312" w:cs="仿宋_GB2312"/>
          <w:sz w:val="32"/>
          <w:szCs w:val="32"/>
        </w:rPr>
      </w:pPr>
    </w:p>
    <w:p w:rsidR="00916AAC" w:rsidRDefault="00916AAC">
      <w:pPr>
        <w:pStyle w:val="5"/>
        <w:rPr>
          <w:rFonts w:eastAsia="仿宋_GB2312" w:cs="仿宋_GB2312"/>
          <w:sz w:val="32"/>
          <w:szCs w:val="32"/>
        </w:rPr>
      </w:pPr>
    </w:p>
    <w:p w:rsidR="00916AAC" w:rsidRDefault="00916AAC">
      <w:pPr>
        <w:pStyle w:val="5"/>
      </w:pPr>
    </w:p>
    <w:p w:rsidR="00916AAC" w:rsidRDefault="00916AAC">
      <w:pPr>
        <w:spacing w:line="600" w:lineRule="exact"/>
        <w:rPr>
          <w:rFonts w:eastAsia="仿宋_GB2312" w:cs="仿宋_GB2312"/>
          <w:sz w:val="32"/>
          <w:szCs w:val="32"/>
        </w:rPr>
      </w:pPr>
    </w:p>
    <w:p w:rsidR="00916AAC" w:rsidRDefault="000303A4">
      <w:pPr>
        <w:spacing w:line="600" w:lineRule="exact"/>
        <w:ind w:firstLineChars="200"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4</w:t>
      </w:r>
      <w:r>
        <w:rPr>
          <w:rFonts w:eastAsia="仿宋_GB2312" w:cs="仿宋_GB2312" w:hint="eastAsia"/>
          <w:sz w:val="32"/>
          <w:szCs w:val="32"/>
        </w:rPr>
        <w:t>：财政拨款收、支决算总计变动情况）</w:t>
      </w:r>
    </w:p>
    <w:p w:rsidR="00916AAC" w:rsidRDefault="00916AAC">
      <w:pPr>
        <w:spacing w:line="600" w:lineRule="exact"/>
        <w:ind w:firstLineChars="200" w:firstLine="640"/>
        <w:outlineLvl w:val="1"/>
        <w:rPr>
          <w:rFonts w:eastAsia="黑体"/>
          <w:sz w:val="32"/>
          <w:szCs w:val="32"/>
        </w:rPr>
      </w:pPr>
      <w:bookmarkStart w:id="27" w:name="_Toc15377209"/>
      <w:bookmarkStart w:id="28" w:name="_Toc15396607"/>
    </w:p>
    <w:p w:rsidR="00916AAC" w:rsidRDefault="000303A4">
      <w:pPr>
        <w:spacing w:line="600" w:lineRule="exact"/>
        <w:ind w:firstLineChars="200" w:firstLine="640"/>
        <w:outlineLvl w:val="1"/>
        <w:rPr>
          <w:rStyle w:val="2Char"/>
          <w:rFonts w:ascii="Times New Roman" w:eastAsia="黑体" w:hAnsi="Times New Roman"/>
          <w:b w:val="0"/>
        </w:rPr>
      </w:pPr>
      <w:r>
        <w:rPr>
          <w:rFonts w:eastAsia="黑体" w:hint="eastAsia"/>
          <w:sz w:val="32"/>
          <w:szCs w:val="32"/>
        </w:rPr>
        <w:t>五、</w:t>
      </w:r>
      <w:r>
        <w:rPr>
          <w:rFonts w:eastAsia="黑体" w:hint="eastAsia"/>
          <w:b/>
          <w:sz w:val="32"/>
          <w:szCs w:val="32"/>
        </w:rPr>
        <w:t>一</w:t>
      </w:r>
      <w:r>
        <w:rPr>
          <w:rStyle w:val="2Char"/>
          <w:rFonts w:ascii="Times New Roman" w:eastAsia="黑体" w:hAnsi="Times New Roman" w:hint="eastAsia"/>
          <w:b w:val="0"/>
        </w:rPr>
        <w:t>般公共预算财政拨款支出决算情况说明</w:t>
      </w:r>
      <w:bookmarkEnd w:id="27"/>
      <w:bookmarkEnd w:id="28"/>
    </w:p>
    <w:p w:rsidR="00916AAC" w:rsidRDefault="000303A4" w:rsidP="00B572ED">
      <w:pPr>
        <w:spacing w:line="600" w:lineRule="exact"/>
        <w:ind w:firstLineChars="200" w:firstLine="641"/>
        <w:outlineLvl w:val="2"/>
        <w:rPr>
          <w:rFonts w:eastAsia="楷体_GB2312" w:cs="楷体_GB2312"/>
          <w:b/>
          <w:sz w:val="32"/>
          <w:szCs w:val="32"/>
        </w:rPr>
      </w:pPr>
      <w:bookmarkStart w:id="29" w:name="_Toc15377210"/>
      <w:r>
        <w:rPr>
          <w:rFonts w:eastAsia="楷体_GB2312" w:cs="楷体_GB2312" w:hint="eastAsia"/>
          <w:b/>
          <w:sz w:val="32"/>
          <w:szCs w:val="32"/>
        </w:rPr>
        <w:t>（一）一般公共预算财政拨款支出决算总体情况</w:t>
      </w:r>
      <w:bookmarkEnd w:id="29"/>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年度一般公共预算财政拨款支出</w:t>
      </w:r>
      <w:r>
        <w:rPr>
          <w:rFonts w:ascii="仿宋_GB2312" w:eastAsia="仿宋_GB2312" w:hAnsi="仿宋_GB2312" w:cs="仿宋_GB2312" w:hint="eastAsia"/>
          <w:sz w:val="32"/>
          <w:szCs w:val="32"/>
        </w:rPr>
        <w:t>184.38</w:t>
      </w:r>
      <w:r>
        <w:rPr>
          <w:rFonts w:eastAsia="仿宋_GB2312" w:cs="仿宋_GB2312" w:hint="eastAsia"/>
          <w:sz w:val="32"/>
          <w:szCs w:val="32"/>
        </w:rPr>
        <w:t>万元，占本年支出合计的</w:t>
      </w:r>
      <w:r>
        <w:rPr>
          <w:rFonts w:ascii="仿宋_GB2312" w:eastAsia="仿宋_GB2312" w:hAnsi="仿宋_GB2312" w:cs="仿宋_GB2312" w:hint="eastAsia"/>
          <w:sz w:val="32"/>
          <w:szCs w:val="32"/>
        </w:rPr>
        <w:t>100</w:t>
      </w:r>
      <w:r>
        <w:rPr>
          <w:rFonts w:eastAsia="仿宋_GB2312" w:cs="仿宋_GB2312" w:hint="eastAsia"/>
          <w:sz w:val="32"/>
          <w:szCs w:val="32"/>
        </w:rPr>
        <w:t>%</w:t>
      </w:r>
      <w:r>
        <w:rPr>
          <w:rFonts w:eastAsia="仿宋_GB2312" w:cs="仿宋_GB2312" w:hint="eastAsia"/>
          <w:sz w:val="32"/>
          <w:szCs w:val="32"/>
        </w:rPr>
        <w:t>。与上年度相比，一般公共预算财政拨款支出减少</w:t>
      </w:r>
      <w:r>
        <w:rPr>
          <w:rFonts w:eastAsia="仿宋_GB2312" w:cs="仿宋_GB2312" w:hint="eastAsia"/>
          <w:sz w:val="32"/>
          <w:szCs w:val="32"/>
        </w:rPr>
        <w:t>32.16</w:t>
      </w:r>
      <w:r>
        <w:rPr>
          <w:rFonts w:eastAsia="仿宋_GB2312" w:cs="仿宋_GB2312" w:hint="eastAsia"/>
          <w:sz w:val="32"/>
          <w:szCs w:val="32"/>
        </w:rPr>
        <w:t>万元，下降</w:t>
      </w:r>
      <w:r>
        <w:rPr>
          <w:rFonts w:eastAsia="仿宋_GB2312" w:cs="仿宋_GB2312" w:hint="eastAsia"/>
          <w:sz w:val="32"/>
          <w:szCs w:val="32"/>
        </w:rPr>
        <w:t>14.85%</w:t>
      </w:r>
      <w:r>
        <w:rPr>
          <w:rFonts w:eastAsia="仿宋_GB2312" w:cs="仿宋_GB2312" w:hint="eastAsia"/>
          <w:sz w:val="32"/>
          <w:szCs w:val="32"/>
        </w:rPr>
        <w:t>。主要变动原因是项目减少。</w:t>
      </w:r>
    </w:p>
    <w:p w:rsidR="00916AAC" w:rsidRDefault="000303A4">
      <w:pPr>
        <w:pStyle w:val="5"/>
        <w:rPr>
          <w:rFonts w:eastAsia="仿宋_GB2312" w:cs="仿宋_GB2312"/>
          <w:sz w:val="32"/>
          <w:szCs w:val="32"/>
        </w:rPr>
      </w:pPr>
      <w:r>
        <w:rPr>
          <w:noProof/>
        </w:rPr>
        <w:lastRenderedPageBreak/>
        <w:drawing>
          <wp:inline distT="0" distB="0" distL="114300" distR="114300">
            <wp:extent cx="4572000" cy="2743200"/>
            <wp:effectExtent l="4445" t="4445" r="14605" b="14605"/>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5</w:t>
      </w:r>
      <w:r>
        <w:rPr>
          <w:rFonts w:eastAsia="仿宋_GB2312" w:cs="仿宋_GB2312" w:hint="eastAsia"/>
          <w:sz w:val="32"/>
          <w:szCs w:val="32"/>
        </w:rPr>
        <w:t>：一般公共预算财政拨款支出决算变动情况）</w:t>
      </w:r>
    </w:p>
    <w:p w:rsidR="00916AAC" w:rsidRDefault="000303A4" w:rsidP="00B572ED">
      <w:pPr>
        <w:spacing w:line="600" w:lineRule="exact"/>
        <w:ind w:firstLineChars="200" w:firstLine="641"/>
        <w:outlineLvl w:val="2"/>
        <w:rPr>
          <w:rFonts w:eastAsia="楷体_GB2312" w:cs="楷体_GB2312"/>
          <w:b/>
          <w:sz w:val="32"/>
          <w:szCs w:val="32"/>
        </w:rPr>
      </w:pPr>
      <w:bookmarkStart w:id="30" w:name="_Toc15377211"/>
      <w:r>
        <w:rPr>
          <w:rFonts w:eastAsia="楷体_GB2312" w:cs="楷体_GB2312" w:hint="eastAsia"/>
          <w:b/>
          <w:sz w:val="32"/>
          <w:szCs w:val="32"/>
        </w:rPr>
        <w:t>（二）一般公共预算财政拨款支出决算结构情况</w:t>
      </w:r>
      <w:bookmarkEnd w:id="30"/>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年度一般公共预算财政拨款支出</w:t>
      </w:r>
      <w:r>
        <w:rPr>
          <w:rFonts w:ascii="仿宋_GB2312" w:eastAsia="仿宋_GB2312" w:hAnsi="仿宋_GB2312" w:cs="仿宋_GB2312" w:hint="eastAsia"/>
          <w:sz w:val="32"/>
          <w:szCs w:val="32"/>
        </w:rPr>
        <w:t>184.38</w:t>
      </w:r>
      <w:r>
        <w:rPr>
          <w:rFonts w:eastAsia="仿宋_GB2312" w:cs="仿宋_GB2312" w:hint="eastAsia"/>
          <w:sz w:val="32"/>
          <w:szCs w:val="32"/>
        </w:rPr>
        <w:t>万元，主要用于以下方面：社会保障和就业支出</w:t>
      </w:r>
      <w:r>
        <w:rPr>
          <w:rFonts w:eastAsia="仿宋_GB2312" w:cs="仿宋_GB2312" w:hint="eastAsia"/>
          <w:sz w:val="32"/>
          <w:szCs w:val="32"/>
        </w:rPr>
        <w:t>36.14</w:t>
      </w:r>
      <w:r>
        <w:rPr>
          <w:rFonts w:eastAsia="仿宋_GB2312" w:cs="仿宋_GB2312" w:hint="eastAsia"/>
          <w:sz w:val="32"/>
          <w:szCs w:val="32"/>
        </w:rPr>
        <w:t>万元，占</w:t>
      </w:r>
      <w:r>
        <w:rPr>
          <w:rFonts w:eastAsia="仿宋_GB2312" w:cs="仿宋_GB2312" w:hint="eastAsia"/>
          <w:sz w:val="32"/>
          <w:szCs w:val="32"/>
        </w:rPr>
        <w:t>19.60%</w:t>
      </w:r>
      <w:r>
        <w:rPr>
          <w:rFonts w:eastAsia="仿宋_GB2312" w:cs="仿宋_GB2312" w:hint="eastAsia"/>
          <w:sz w:val="32"/>
          <w:szCs w:val="32"/>
        </w:rPr>
        <w:t>；卫生健康支出</w:t>
      </w:r>
      <w:r>
        <w:rPr>
          <w:rFonts w:eastAsia="仿宋_GB2312" w:cs="仿宋_GB2312" w:hint="eastAsia"/>
          <w:sz w:val="32"/>
          <w:szCs w:val="32"/>
        </w:rPr>
        <w:t>10.27</w:t>
      </w:r>
      <w:r>
        <w:rPr>
          <w:rFonts w:eastAsia="仿宋_GB2312" w:cs="仿宋_GB2312" w:hint="eastAsia"/>
          <w:sz w:val="32"/>
          <w:szCs w:val="32"/>
        </w:rPr>
        <w:t>万元，占</w:t>
      </w:r>
      <w:r>
        <w:rPr>
          <w:rFonts w:eastAsia="仿宋_GB2312" w:cs="仿宋_GB2312" w:hint="eastAsia"/>
          <w:sz w:val="32"/>
          <w:szCs w:val="32"/>
        </w:rPr>
        <w:t>5.57%</w:t>
      </w:r>
      <w:r>
        <w:rPr>
          <w:rFonts w:eastAsia="仿宋_GB2312" w:cs="仿宋_GB2312" w:hint="eastAsia"/>
          <w:sz w:val="32"/>
          <w:szCs w:val="32"/>
        </w:rPr>
        <w:t>；住房保障支出</w:t>
      </w:r>
      <w:r>
        <w:rPr>
          <w:rFonts w:eastAsia="仿宋_GB2312" w:cs="仿宋_GB2312" w:hint="eastAsia"/>
          <w:sz w:val="32"/>
          <w:szCs w:val="32"/>
        </w:rPr>
        <w:t>12.13</w:t>
      </w:r>
      <w:r>
        <w:rPr>
          <w:rFonts w:eastAsia="仿宋_GB2312" w:cs="仿宋_GB2312" w:hint="eastAsia"/>
          <w:sz w:val="32"/>
          <w:szCs w:val="32"/>
        </w:rPr>
        <w:t>万元，占</w:t>
      </w:r>
      <w:r>
        <w:rPr>
          <w:rFonts w:eastAsia="仿宋_GB2312" w:cs="仿宋_GB2312" w:hint="eastAsia"/>
          <w:sz w:val="32"/>
          <w:szCs w:val="32"/>
        </w:rPr>
        <w:t>6.58%</w:t>
      </w:r>
      <w:r>
        <w:rPr>
          <w:rFonts w:eastAsia="仿宋_GB2312" w:cs="仿宋_GB2312" w:hint="eastAsia"/>
          <w:sz w:val="32"/>
          <w:szCs w:val="32"/>
        </w:rPr>
        <w:t>；自然资源海洋气象等支出</w:t>
      </w:r>
      <w:r>
        <w:rPr>
          <w:rFonts w:eastAsia="仿宋_GB2312" w:cs="仿宋_GB2312" w:hint="eastAsia"/>
          <w:sz w:val="32"/>
          <w:szCs w:val="32"/>
        </w:rPr>
        <w:t>125.83</w:t>
      </w:r>
      <w:r>
        <w:rPr>
          <w:rFonts w:eastAsia="仿宋_GB2312" w:cs="仿宋_GB2312" w:hint="eastAsia"/>
          <w:sz w:val="32"/>
          <w:szCs w:val="32"/>
        </w:rPr>
        <w:t>万元，占</w:t>
      </w:r>
      <w:r>
        <w:rPr>
          <w:rFonts w:eastAsia="仿宋_GB2312" w:cs="仿宋_GB2312" w:hint="eastAsia"/>
          <w:sz w:val="32"/>
          <w:szCs w:val="32"/>
        </w:rPr>
        <w:t>68.24%</w:t>
      </w:r>
      <w:r>
        <w:rPr>
          <w:rFonts w:eastAsia="仿宋_GB2312" w:cs="仿宋_GB2312" w:hint="eastAsia"/>
          <w:sz w:val="32"/>
          <w:szCs w:val="32"/>
        </w:rPr>
        <w:t>。</w:t>
      </w:r>
    </w:p>
    <w:p w:rsidR="00916AAC" w:rsidRDefault="000303A4">
      <w:pPr>
        <w:spacing w:line="600" w:lineRule="exact"/>
        <w:ind w:firstLine="640"/>
        <w:rPr>
          <w:rFonts w:eastAsia="仿宋_GB2312" w:cs="仿宋_GB2312"/>
          <w:sz w:val="32"/>
          <w:szCs w:val="32"/>
        </w:rPr>
      </w:pPr>
      <w:r>
        <w:rPr>
          <w:noProof/>
        </w:rPr>
        <w:drawing>
          <wp:anchor distT="0" distB="0" distL="114300" distR="114300" simplePos="0" relativeHeight="251659776" behindDoc="0" locked="0" layoutInCell="1" allowOverlap="1">
            <wp:simplePos x="0" y="0"/>
            <wp:positionH relativeFrom="column">
              <wp:posOffset>410845</wp:posOffset>
            </wp:positionH>
            <wp:positionV relativeFrom="paragraph">
              <wp:posOffset>193040</wp:posOffset>
            </wp:positionV>
            <wp:extent cx="4572000" cy="2404745"/>
            <wp:effectExtent l="4445" t="4445" r="14605" b="10160"/>
            <wp:wrapSquare wrapText="bothSides"/>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916AAC" w:rsidRDefault="00916AAC">
      <w:pPr>
        <w:spacing w:line="600" w:lineRule="exact"/>
        <w:ind w:firstLine="640"/>
        <w:rPr>
          <w:rFonts w:eastAsia="仿宋_GB2312" w:cs="仿宋_GB2312"/>
          <w:sz w:val="32"/>
          <w:szCs w:val="32"/>
        </w:rPr>
      </w:pPr>
    </w:p>
    <w:p w:rsidR="00916AAC" w:rsidRDefault="00916AAC">
      <w:pPr>
        <w:spacing w:line="600" w:lineRule="exact"/>
        <w:ind w:firstLine="640"/>
        <w:rPr>
          <w:rFonts w:eastAsia="仿宋_GB2312" w:cs="仿宋_GB2312"/>
          <w:sz w:val="32"/>
          <w:szCs w:val="32"/>
        </w:rPr>
      </w:pPr>
    </w:p>
    <w:p w:rsidR="00916AAC" w:rsidRDefault="00916AAC">
      <w:pPr>
        <w:spacing w:line="600" w:lineRule="exact"/>
        <w:ind w:firstLine="640"/>
        <w:rPr>
          <w:rFonts w:eastAsia="仿宋_GB2312" w:cs="仿宋_GB2312"/>
          <w:sz w:val="32"/>
          <w:szCs w:val="32"/>
        </w:rPr>
      </w:pPr>
    </w:p>
    <w:p w:rsidR="00916AAC" w:rsidRDefault="00916AAC">
      <w:pPr>
        <w:spacing w:line="600" w:lineRule="exact"/>
        <w:ind w:firstLine="640"/>
        <w:rPr>
          <w:rFonts w:eastAsia="仿宋_GB2312" w:cs="仿宋_GB2312"/>
          <w:sz w:val="32"/>
          <w:szCs w:val="32"/>
        </w:rPr>
      </w:pPr>
    </w:p>
    <w:p w:rsidR="00916AAC" w:rsidRDefault="00916AAC">
      <w:pPr>
        <w:spacing w:line="600" w:lineRule="exact"/>
        <w:ind w:firstLine="640"/>
        <w:rPr>
          <w:rFonts w:eastAsia="仿宋_GB2312" w:cs="仿宋_GB2312"/>
          <w:sz w:val="32"/>
          <w:szCs w:val="32"/>
        </w:rPr>
      </w:pPr>
    </w:p>
    <w:p w:rsidR="00916AAC" w:rsidRDefault="00916AAC">
      <w:pPr>
        <w:spacing w:line="600" w:lineRule="exact"/>
        <w:ind w:firstLine="640"/>
        <w:rPr>
          <w:rFonts w:eastAsia="仿宋_GB2312" w:cs="仿宋_GB2312"/>
          <w:sz w:val="32"/>
          <w:szCs w:val="32"/>
        </w:rPr>
      </w:pPr>
    </w:p>
    <w:p w:rsidR="00916AAC" w:rsidRDefault="000303A4">
      <w:pPr>
        <w:spacing w:line="600" w:lineRule="exact"/>
        <w:ind w:firstLine="640"/>
        <w:rPr>
          <w:rFonts w:eastAsia="仿宋_GB2312" w:cs="仿宋_GB2312"/>
          <w:sz w:val="32"/>
          <w:szCs w:val="32"/>
        </w:rPr>
      </w:pPr>
      <w:r>
        <w:rPr>
          <w:rFonts w:hint="eastAsia"/>
        </w:rPr>
        <w:t xml:space="preserve">    </w:t>
      </w:r>
      <w:r>
        <w:rPr>
          <w:rFonts w:eastAsia="仿宋_GB2312" w:cs="仿宋_GB2312" w:hint="eastAsia"/>
          <w:sz w:val="32"/>
          <w:szCs w:val="32"/>
        </w:rPr>
        <w:t>（图</w:t>
      </w:r>
      <w:r>
        <w:rPr>
          <w:rFonts w:eastAsia="仿宋_GB2312" w:cs="仿宋_GB2312" w:hint="eastAsia"/>
          <w:sz w:val="32"/>
          <w:szCs w:val="32"/>
        </w:rPr>
        <w:t>6</w:t>
      </w:r>
      <w:r>
        <w:rPr>
          <w:rFonts w:eastAsia="仿宋_GB2312" w:cs="仿宋_GB2312" w:hint="eastAsia"/>
          <w:sz w:val="32"/>
          <w:szCs w:val="32"/>
        </w:rPr>
        <w:t>：一般公共预算财政拨款支出决算结构）</w:t>
      </w:r>
    </w:p>
    <w:p w:rsidR="00916AAC" w:rsidRDefault="000303A4" w:rsidP="00B572ED">
      <w:pPr>
        <w:spacing w:line="600" w:lineRule="exact"/>
        <w:ind w:firstLineChars="200" w:firstLine="641"/>
        <w:outlineLvl w:val="2"/>
        <w:rPr>
          <w:rFonts w:eastAsia="楷体_GB2312" w:cs="楷体_GB2312"/>
          <w:b/>
          <w:sz w:val="32"/>
          <w:szCs w:val="32"/>
        </w:rPr>
      </w:pPr>
      <w:bookmarkStart w:id="31" w:name="_Toc15377212"/>
      <w:r>
        <w:rPr>
          <w:rFonts w:eastAsia="楷体_GB2312" w:cs="楷体_GB2312" w:hint="eastAsia"/>
          <w:b/>
          <w:sz w:val="32"/>
          <w:szCs w:val="32"/>
        </w:rPr>
        <w:lastRenderedPageBreak/>
        <w:t>（三）一般公共预算财政拨款支出决算具体情况</w:t>
      </w:r>
      <w:bookmarkEnd w:id="31"/>
    </w:p>
    <w:p w:rsidR="00916AAC" w:rsidRDefault="000303A4">
      <w:pPr>
        <w:spacing w:line="600" w:lineRule="exact"/>
        <w:ind w:firstLine="640"/>
        <w:rPr>
          <w:rFonts w:eastAsia="仿宋_GB2312" w:cs="仿宋_GB2312"/>
          <w:sz w:val="32"/>
          <w:szCs w:val="32"/>
        </w:rPr>
      </w:pPr>
      <w:bookmarkStart w:id="32" w:name="_Toc15377444"/>
      <w:bookmarkStart w:id="33" w:name="_Toc15377213"/>
      <w:bookmarkStart w:id="34" w:name="_Toc15378460"/>
      <w:r>
        <w:rPr>
          <w:rFonts w:eastAsia="仿宋_GB2312" w:cs="仿宋_GB2312" w:hint="eastAsia"/>
          <w:sz w:val="32"/>
          <w:szCs w:val="32"/>
        </w:rPr>
        <w:t>2025</w:t>
      </w:r>
      <w:r>
        <w:rPr>
          <w:rFonts w:eastAsia="仿宋_GB2312" w:cs="仿宋_GB2312" w:hint="eastAsia"/>
          <w:sz w:val="32"/>
          <w:szCs w:val="32"/>
        </w:rPr>
        <w:t>年度一般公共预算支出决算数为</w:t>
      </w:r>
      <w:r>
        <w:rPr>
          <w:rFonts w:ascii="仿宋_GB2312" w:eastAsia="仿宋_GB2312" w:hAnsi="仿宋_GB2312" w:cs="仿宋_GB2312" w:hint="eastAsia"/>
          <w:sz w:val="32"/>
          <w:szCs w:val="32"/>
        </w:rPr>
        <w:t>184.38</w:t>
      </w:r>
      <w:r>
        <w:rPr>
          <w:rFonts w:eastAsia="仿宋_GB2312" w:cs="仿宋_GB2312" w:hint="eastAsia"/>
          <w:sz w:val="32"/>
          <w:szCs w:val="32"/>
        </w:rPr>
        <w:t>，完成预算</w:t>
      </w:r>
      <w:r>
        <w:rPr>
          <w:rFonts w:eastAsia="仿宋_GB2312" w:cs="仿宋_GB2312" w:hint="eastAsia"/>
          <w:sz w:val="32"/>
          <w:szCs w:val="32"/>
        </w:rPr>
        <w:t>100%</w:t>
      </w:r>
      <w:r>
        <w:rPr>
          <w:rFonts w:eastAsia="仿宋_GB2312" w:cs="仿宋_GB2312" w:hint="eastAsia"/>
          <w:sz w:val="32"/>
          <w:szCs w:val="32"/>
        </w:rPr>
        <w:t>。其中：</w:t>
      </w:r>
      <w:bookmarkEnd w:id="32"/>
      <w:bookmarkEnd w:id="33"/>
      <w:bookmarkEnd w:id="34"/>
    </w:p>
    <w:p w:rsidR="00916AAC" w:rsidRDefault="000303A4">
      <w:pPr>
        <w:spacing w:line="600" w:lineRule="exact"/>
        <w:ind w:firstLineChars="200"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社会保障和就业（类）行政事业单位养老（款）机关事业单位基本养老保险缴费支出（项）：支出决算为</w:t>
      </w:r>
      <w:r>
        <w:rPr>
          <w:rFonts w:eastAsia="仿宋_GB2312" w:cs="仿宋_GB2312" w:hint="eastAsia"/>
          <w:sz w:val="32"/>
          <w:szCs w:val="32"/>
        </w:rPr>
        <w:t>16.64</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spacing w:line="600" w:lineRule="exact"/>
        <w:ind w:firstLineChars="200" w:firstLine="640"/>
        <w:rPr>
          <w:rFonts w:eastAsia="仿宋_GB2312" w:cs="仿宋_GB2312"/>
          <w:sz w:val="32"/>
          <w:szCs w:val="32"/>
        </w:rPr>
      </w:pPr>
      <w:r>
        <w:rPr>
          <w:rFonts w:eastAsia="仿宋_GB2312" w:cs="仿宋_GB2312" w:hint="eastAsia"/>
          <w:sz w:val="32"/>
          <w:szCs w:val="32"/>
        </w:rPr>
        <w:t>2.</w:t>
      </w:r>
      <w:r>
        <w:rPr>
          <w:rFonts w:eastAsia="仿宋_GB2312" w:cs="仿宋_GB2312" w:hint="eastAsia"/>
          <w:sz w:val="32"/>
          <w:szCs w:val="32"/>
        </w:rPr>
        <w:t>社会保障和就业（类）行政事业单位养老（款）事业单位离退休支出（项）</w:t>
      </w:r>
      <w:r>
        <w:rPr>
          <w:rFonts w:eastAsia="仿宋_GB2312" w:cs="仿宋_GB2312" w:hint="eastAsia"/>
          <w:sz w:val="32"/>
          <w:szCs w:val="32"/>
        </w:rPr>
        <w:t xml:space="preserve">: </w:t>
      </w:r>
      <w:r>
        <w:rPr>
          <w:rFonts w:eastAsia="仿宋_GB2312" w:cs="仿宋_GB2312" w:hint="eastAsia"/>
          <w:sz w:val="32"/>
          <w:szCs w:val="32"/>
        </w:rPr>
        <w:t>支出决算为</w:t>
      </w:r>
      <w:r>
        <w:rPr>
          <w:rFonts w:eastAsia="仿宋_GB2312" w:cs="仿宋_GB2312" w:hint="eastAsia"/>
          <w:sz w:val="32"/>
          <w:szCs w:val="32"/>
        </w:rPr>
        <w:t>10.95</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spacing w:line="600" w:lineRule="exact"/>
        <w:ind w:firstLineChars="200" w:firstLine="640"/>
        <w:rPr>
          <w:rFonts w:eastAsia="仿宋_GB2312" w:cs="仿宋_GB2312"/>
          <w:sz w:val="32"/>
          <w:szCs w:val="32"/>
        </w:rPr>
      </w:pPr>
      <w:r>
        <w:rPr>
          <w:rFonts w:eastAsia="仿宋_GB2312" w:cs="仿宋_GB2312" w:hint="eastAsia"/>
          <w:sz w:val="32"/>
          <w:szCs w:val="32"/>
        </w:rPr>
        <w:t>3.</w:t>
      </w:r>
      <w:r>
        <w:rPr>
          <w:rFonts w:eastAsia="仿宋_GB2312" w:cs="仿宋_GB2312" w:hint="eastAsia"/>
          <w:sz w:val="32"/>
          <w:szCs w:val="32"/>
        </w:rPr>
        <w:t>社会保障和就业（类）行政事业单位养老（款）机关事业单位职业年金缴费支出（项）</w:t>
      </w:r>
      <w:r>
        <w:rPr>
          <w:rFonts w:eastAsia="仿宋_GB2312" w:cs="仿宋_GB2312" w:hint="eastAsia"/>
          <w:sz w:val="32"/>
          <w:szCs w:val="32"/>
        </w:rPr>
        <w:t xml:space="preserve">: </w:t>
      </w:r>
      <w:r>
        <w:rPr>
          <w:rFonts w:eastAsia="仿宋_GB2312" w:cs="仿宋_GB2312" w:hint="eastAsia"/>
          <w:sz w:val="32"/>
          <w:szCs w:val="32"/>
        </w:rPr>
        <w:t>支出决算为</w:t>
      </w:r>
      <w:r>
        <w:rPr>
          <w:rFonts w:eastAsia="仿宋_GB2312" w:cs="仿宋_GB2312" w:hint="eastAsia"/>
          <w:sz w:val="32"/>
          <w:szCs w:val="32"/>
        </w:rPr>
        <w:t>8.56</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4.</w:t>
      </w:r>
      <w:r>
        <w:rPr>
          <w:rFonts w:eastAsia="仿宋_GB2312" w:cs="仿宋_GB2312" w:hint="eastAsia"/>
          <w:sz w:val="32"/>
          <w:szCs w:val="32"/>
        </w:rPr>
        <w:t>卫生健康（类）行政事业单位医疗（款）事业单位医疗（项）：支出决算为</w:t>
      </w:r>
      <w:r>
        <w:rPr>
          <w:rFonts w:eastAsia="仿宋_GB2312" w:cs="仿宋_GB2312" w:hint="eastAsia"/>
          <w:sz w:val="32"/>
          <w:szCs w:val="32"/>
        </w:rPr>
        <w:t>8.15</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5.</w:t>
      </w:r>
      <w:r>
        <w:rPr>
          <w:rFonts w:eastAsia="仿宋_GB2312" w:cs="仿宋_GB2312" w:hint="eastAsia"/>
          <w:sz w:val="32"/>
          <w:szCs w:val="32"/>
        </w:rPr>
        <w:t>卫生健康（类）行政事业单位医疗（款）公务员医疗补助（项）：支出决算为</w:t>
      </w:r>
      <w:r>
        <w:rPr>
          <w:rFonts w:eastAsia="仿宋_GB2312" w:cs="仿宋_GB2312" w:hint="eastAsia"/>
          <w:sz w:val="32"/>
          <w:szCs w:val="32"/>
        </w:rPr>
        <w:t>1.10</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6.</w:t>
      </w:r>
      <w:r>
        <w:rPr>
          <w:rFonts w:eastAsia="仿宋_GB2312" w:cs="仿宋_GB2312" w:hint="eastAsia"/>
          <w:sz w:val="32"/>
          <w:szCs w:val="32"/>
        </w:rPr>
        <w:t>卫生健康（类）行政事业单位医疗（款）其他行政事业单位医疗（项）：支出决算为</w:t>
      </w:r>
      <w:r>
        <w:rPr>
          <w:rFonts w:eastAsia="仿宋_GB2312" w:cs="仿宋_GB2312" w:hint="eastAsia"/>
          <w:sz w:val="32"/>
          <w:szCs w:val="32"/>
        </w:rPr>
        <w:t>1.02</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7.</w:t>
      </w:r>
      <w:r>
        <w:rPr>
          <w:rFonts w:eastAsia="仿宋_GB2312" w:cs="仿宋_GB2312" w:hint="eastAsia"/>
          <w:sz w:val="32"/>
          <w:szCs w:val="32"/>
        </w:rPr>
        <w:t>自然资源海洋气象等（类）自然资源事务（款）事业运行（项）：支出决算为</w:t>
      </w:r>
      <w:r>
        <w:rPr>
          <w:rFonts w:eastAsia="仿宋_GB2312" w:cs="仿宋_GB2312" w:hint="eastAsia"/>
          <w:sz w:val="32"/>
          <w:szCs w:val="32"/>
        </w:rPr>
        <w:t>125.83</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w:t>
      </w:r>
      <w:r>
        <w:rPr>
          <w:rFonts w:eastAsia="仿宋_GB2312" w:cs="仿宋_GB2312" w:hint="eastAsia"/>
          <w:sz w:val="32"/>
          <w:szCs w:val="32"/>
        </w:rPr>
        <w:lastRenderedPageBreak/>
        <w:t>算数等于预算数。</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8.</w:t>
      </w:r>
      <w:r>
        <w:rPr>
          <w:rFonts w:eastAsia="仿宋_GB2312" w:cs="仿宋_GB2312" w:hint="eastAsia"/>
          <w:sz w:val="32"/>
          <w:szCs w:val="32"/>
        </w:rPr>
        <w:t>住房保障（类）住房改革支出（款）住房公积金（项）：支出决算为</w:t>
      </w:r>
      <w:r>
        <w:rPr>
          <w:rFonts w:eastAsia="仿宋_GB2312" w:cs="仿宋_GB2312" w:hint="eastAsia"/>
          <w:sz w:val="32"/>
          <w:szCs w:val="32"/>
        </w:rPr>
        <w:t>12.13</w:t>
      </w:r>
      <w:r>
        <w:rPr>
          <w:rFonts w:eastAsia="仿宋_GB2312" w:cs="仿宋_GB2312" w:hint="eastAsia"/>
          <w:sz w:val="32"/>
          <w:szCs w:val="32"/>
        </w:rPr>
        <w:t>万元，完成预算</w:t>
      </w:r>
      <w:r>
        <w:rPr>
          <w:rFonts w:eastAsia="仿宋_GB2312" w:cs="仿宋_GB2312" w:hint="eastAsia"/>
          <w:sz w:val="32"/>
          <w:szCs w:val="32"/>
        </w:rPr>
        <w:t>100%</w:t>
      </w:r>
      <w:r>
        <w:rPr>
          <w:rFonts w:eastAsia="仿宋_GB2312" w:cs="仿宋_GB2312" w:hint="eastAsia"/>
          <w:sz w:val="32"/>
          <w:szCs w:val="32"/>
        </w:rPr>
        <w:t>，决算数等于预算数。</w:t>
      </w:r>
    </w:p>
    <w:p w:rsidR="00916AAC" w:rsidRDefault="000303A4">
      <w:pPr>
        <w:tabs>
          <w:tab w:val="right" w:pos="8306"/>
        </w:tabs>
        <w:spacing w:line="600" w:lineRule="exact"/>
        <w:ind w:firstLine="640"/>
        <w:outlineLvl w:val="1"/>
        <w:rPr>
          <w:rStyle w:val="2Char"/>
          <w:rFonts w:ascii="Times New Roman" w:hAnsi="Times New Roman"/>
        </w:rPr>
      </w:pPr>
      <w:bookmarkStart w:id="35" w:name="_Toc15396608"/>
      <w:bookmarkStart w:id="36" w:name="_Toc15377214"/>
      <w:r>
        <w:rPr>
          <w:rFonts w:eastAsia="黑体" w:hint="eastAsia"/>
          <w:sz w:val="32"/>
          <w:szCs w:val="32"/>
        </w:rPr>
        <w:t>六</w:t>
      </w:r>
      <w:r>
        <w:rPr>
          <w:rFonts w:eastAsia="黑体" w:hint="eastAsia"/>
          <w:b/>
          <w:sz w:val="32"/>
          <w:szCs w:val="32"/>
        </w:rPr>
        <w:t>、一</w:t>
      </w:r>
      <w:r>
        <w:rPr>
          <w:rStyle w:val="2Char"/>
          <w:rFonts w:ascii="Times New Roman" w:eastAsia="黑体" w:hAnsi="Times New Roman" w:hint="eastAsia"/>
          <w:b w:val="0"/>
        </w:rPr>
        <w:t>般公共预算财政拨款基本支出决算情况说明</w:t>
      </w:r>
      <w:bookmarkEnd w:id="35"/>
      <w:bookmarkEnd w:id="36"/>
      <w:r>
        <w:rPr>
          <w:rStyle w:val="2Char"/>
          <w:rFonts w:ascii="Times New Roman" w:eastAsia="黑体" w:hAnsi="Times New Roman"/>
          <w:b w:val="0"/>
        </w:rPr>
        <w:tab/>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年度一般公共预算财政拨款基本支出</w:t>
      </w:r>
      <w:r>
        <w:rPr>
          <w:rFonts w:ascii="仿宋_GB2312" w:eastAsia="仿宋_GB2312" w:hAnsi="仿宋_GB2312" w:cs="仿宋_GB2312" w:hint="eastAsia"/>
          <w:sz w:val="32"/>
          <w:szCs w:val="32"/>
        </w:rPr>
        <w:t>184.38</w:t>
      </w:r>
      <w:r>
        <w:rPr>
          <w:rFonts w:eastAsia="仿宋_GB2312" w:cs="仿宋_GB2312" w:hint="eastAsia"/>
          <w:sz w:val="32"/>
          <w:szCs w:val="32"/>
        </w:rPr>
        <w:t>万元，其中：</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人员经费</w:t>
      </w:r>
      <w:r>
        <w:rPr>
          <w:rFonts w:ascii="仿宋_GB2312" w:eastAsia="仿宋_GB2312" w:hAnsi="仿宋_GB2312" w:cs="仿宋_GB2312" w:hint="eastAsia"/>
          <w:sz w:val="32"/>
          <w:szCs w:val="32"/>
        </w:rPr>
        <w:t>174.24</w:t>
      </w:r>
      <w:r>
        <w:rPr>
          <w:rFonts w:eastAsia="仿宋_GB2312" w:cs="仿宋_GB2312" w:hint="eastAsia"/>
          <w:sz w:val="32"/>
          <w:szCs w:val="32"/>
        </w:rPr>
        <w:t>万元，主要包括：基本工资、津贴补贴、绩效工资、机关事业单位基本养老保险缴费、职业年金缴费、其他社会保障缴费、退休费、生活补助、医疗费补助、奖励金、住房公积金、其他对个人和家庭的补助支出等。</w:t>
      </w:r>
      <w:r>
        <w:rPr>
          <w:rFonts w:eastAsia="仿宋_GB2312" w:cs="仿宋_GB2312" w:hint="eastAsia"/>
          <w:sz w:val="32"/>
          <w:szCs w:val="32"/>
        </w:rPr>
        <w:br/>
      </w:r>
      <w:r>
        <w:rPr>
          <w:rFonts w:eastAsia="仿宋_GB2312" w:cs="仿宋_GB2312" w:hint="eastAsia"/>
          <w:sz w:val="32"/>
          <w:szCs w:val="32"/>
        </w:rPr>
        <w:t xml:space="preserve">　　公用经费</w:t>
      </w:r>
      <w:r>
        <w:rPr>
          <w:rFonts w:ascii="仿宋_GB2312" w:eastAsia="仿宋_GB2312" w:hAnsi="仿宋_GB2312" w:cs="仿宋_GB2312" w:hint="eastAsia"/>
          <w:sz w:val="32"/>
          <w:szCs w:val="32"/>
        </w:rPr>
        <w:t>10.13</w:t>
      </w:r>
      <w:r>
        <w:rPr>
          <w:rFonts w:eastAsia="仿宋_GB2312" w:cs="仿宋_GB2312" w:hint="eastAsia"/>
          <w:sz w:val="32"/>
          <w:szCs w:val="32"/>
        </w:rPr>
        <w:t>万元，主要包括：办公费、水费、电费、邮电费、物业</w:t>
      </w:r>
      <w:r>
        <w:rPr>
          <w:rFonts w:eastAsia="仿宋_GB2312" w:cs="仿宋_GB2312" w:hint="eastAsia"/>
          <w:sz w:val="32"/>
          <w:szCs w:val="32"/>
        </w:rPr>
        <w:t>管理费、差旅费、培训费、劳务费、委托业务费、工会经费、福利费、公务用车运行维护费、其他商品和服务支出、办公设备购置。</w:t>
      </w:r>
    </w:p>
    <w:p w:rsidR="00916AAC" w:rsidRDefault="000303A4">
      <w:pPr>
        <w:spacing w:line="600" w:lineRule="exact"/>
        <w:ind w:firstLine="640"/>
        <w:outlineLvl w:val="1"/>
        <w:rPr>
          <w:rStyle w:val="2Char"/>
          <w:rFonts w:ascii="Times New Roman" w:eastAsia="黑体" w:hAnsi="Times New Roman"/>
          <w:b w:val="0"/>
        </w:rPr>
      </w:pPr>
      <w:bookmarkStart w:id="37" w:name="_Toc15377215"/>
      <w:bookmarkStart w:id="38" w:name="_Toc15396609"/>
      <w:r>
        <w:rPr>
          <w:rFonts w:eastAsia="黑体" w:hint="eastAsia"/>
          <w:sz w:val="32"/>
          <w:szCs w:val="32"/>
        </w:rPr>
        <w:t>七、</w:t>
      </w:r>
      <w:r>
        <w:rPr>
          <w:rStyle w:val="2Char"/>
          <w:rFonts w:ascii="Times New Roman" w:eastAsia="黑体" w:hAnsi="Times New Roman" w:hint="eastAsia"/>
          <w:b w:val="0"/>
        </w:rPr>
        <w:t>财政拨款</w:t>
      </w:r>
      <w:r>
        <w:rPr>
          <w:rStyle w:val="2Char"/>
          <w:rFonts w:ascii="Times New Roman" w:eastAsia="黑体" w:hAnsi="Times New Roman" w:hint="eastAsia"/>
        </w:rPr>
        <w:t>“</w:t>
      </w:r>
      <w:r>
        <w:rPr>
          <w:rStyle w:val="2Char"/>
          <w:rFonts w:ascii="Times New Roman" w:eastAsia="黑体" w:hAnsi="Times New Roman" w:hint="eastAsia"/>
          <w:b w:val="0"/>
        </w:rPr>
        <w:t>三公”经费支出决算情况说明</w:t>
      </w:r>
      <w:bookmarkEnd w:id="37"/>
      <w:bookmarkEnd w:id="38"/>
    </w:p>
    <w:p w:rsidR="00916AAC" w:rsidRDefault="000303A4" w:rsidP="00B572ED">
      <w:pPr>
        <w:spacing w:line="600" w:lineRule="exact"/>
        <w:ind w:firstLineChars="200" w:firstLine="641"/>
        <w:outlineLvl w:val="2"/>
        <w:rPr>
          <w:rFonts w:eastAsia="楷体_GB2312" w:cs="楷体_GB2312"/>
          <w:b/>
          <w:sz w:val="32"/>
          <w:szCs w:val="32"/>
        </w:rPr>
      </w:pPr>
      <w:bookmarkStart w:id="39" w:name="_Toc15377216"/>
      <w:r>
        <w:rPr>
          <w:rFonts w:eastAsia="楷体_GB2312" w:cs="楷体_GB2312" w:hint="eastAsia"/>
          <w:b/>
          <w:sz w:val="32"/>
          <w:szCs w:val="32"/>
        </w:rPr>
        <w:t>（一）财政拨款“三公”经费支出决算总体情况说明</w:t>
      </w:r>
      <w:bookmarkEnd w:id="39"/>
    </w:p>
    <w:p w:rsidR="00916AAC" w:rsidRDefault="000303A4">
      <w:pPr>
        <w:spacing w:line="600" w:lineRule="exact"/>
        <w:ind w:firstLine="640"/>
        <w:rPr>
          <w:rFonts w:eastAsia="仿宋_GB2312" w:cs="仿宋_GB2312"/>
          <w:b/>
          <w:bCs/>
          <w:sz w:val="32"/>
          <w:szCs w:val="32"/>
        </w:rPr>
      </w:pPr>
      <w:r>
        <w:rPr>
          <w:rFonts w:eastAsia="仿宋_GB2312" w:cs="仿宋_GB2312" w:hint="eastAsia"/>
          <w:sz w:val="32"/>
          <w:szCs w:val="32"/>
        </w:rPr>
        <w:t>2025</w:t>
      </w:r>
      <w:r>
        <w:rPr>
          <w:rFonts w:eastAsia="仿宋_GB2312" w:cs="仿宋_GB2312" w:hint="eastAsia"/>
          <w:sz w:val="32"/>
          <w:szCs w:val="32"/>
        </w:rPr>
        <w:t>年度财政拨款“三公”经费支出决算为</w:t>
      </w:r>
      <w:r>
        <w:rPr>
          <w:rFonts w:ascii="仿宋_GB2312" w:eastAsia="仿宋_GB2312" w:hAnsi="仿宋_GB2312" w:cs="仿宋_GB2312" w:hint="eastAsia"/>
          <w:sz w:val="32"/>
          <w:szCs w:val="32"/>
        </w:rPr>
        <w:t>1.55</w:t>
      </w:r>
      <w:r>
        <w:rPr>
          <w:rFonts w:eastAsia="仿宋_GB2312" w:cs="仿宋_GB2312" w:hint="eastAsia"/>
          <w:sz w:val="32"/>
          <w:szCs w:val="32"/>
        </w:rPr>
        <w:t>万元，完成预算</w:t>
      </w:r>
      <w:r>
        <w:rPr>
          <w:rFonts w:ascii="仿宋_GB2312" w:eastAsia="仿宋_GB2312" w:hAnsi="仿宋_GB2312" w:cs="仿宋_GB2312" w:hint="eastAsia"/>
          <w:sz w:val="32"/>
          <w:szCs w:val="32"/>
        </w:rPr>
        <w:t>98.92</w:t>
      </w:r>
      <w:r>
        <w:rPr>
          <w:rFonts w:eastAsia="仿宋_GB2312" w:cs="仿宋_GB2312" w:hint="eastAsia"/>
          <w:sz w:val="32"/>
          <w:szCs w:val="32"/>
        </w:rPr>
        <w:t>%</w:t>
      </w:r>
      <w:r>
        <w:rPr>
          <w:rFonts w:eastAsia="仿宋_GB2312" w:cs="仿宋_GB2312" w:hint="eastAsia"/>
          <w:sz w:val="32"/>
          <w:szCs w:val="32"/>
        </w:rPr>
        <w:t>，较上年度增加</w:t>
      </w:r>
      <w:r>
        <w:rPr>
          <w:rFonts w:eastAsia="仿宋_GB2312" w:cs="仿宋_GB2312" w:hint="eastAsia"/>
          <w:sz w:val="32"/>
          <w:szCs w:val="32"/>
        </w:rPr>
        <w:t>0.42</w:t>
      </w:r>
      <w:r>
        <w:rPr>
          <w:rFonts w:eastAsia="仿宋_GB2312" w:cs="仿宋_GB2312" w:hint="eastAsia"/>
          <w:sz w:val="32"/>
          <w:szCs w:val="32"/>
        </w:rPr>
        <w:t>万元，增长</w:t>
      </w:r>
      <w:r>
        <w:rPr>
          <w:rFonts w:eastAsia="仿宋_GB2312" w:cs="仿宋_GB2312" w:hint="eastAsia"/>
          <w:sz w:val="32"/>
          <w:szCs w:val="32"/>
        </w:rPr>
        <w:t>37.17%</w:t>
      </w:r>
      <w:r>
        <w:rPr>
          <w:rFonts w:eastAsia="仿宋_GB2312" w:cs="仿宋_GB2312" w:hint="eastAsia"/>
          <w:sz w:val="32"/>
          <w:szCs w:val="32"/>
        </w:rPr>
        <w:t>。决算数小于预算数车辆使用年限较长、部件老化，需长期在维修厂进行检修维护，期间相应的公务用车运行费用（如燃油费、过路过桥费等）较上年同期减少，从而推动三公经费整体下降。</w:t>
      </w:r>
    </w:p>
    <w:p w:rsidR="00916AAC" w:rsidRDefault="00916AAC">
      <w:pPr>
        <w:spacing w:line="600" w:lineRule="exact"/>
        <w:ind w:firstLine="640"/>
        <w:rPr>
          <w:rFonts w:eastAsia="仿宋_GB2312" w:cs="仿宋_GB2312"/>
          <w:b/>
          <w:bCs/>
          <w:sz w:val="32"/>
          <w:szCs w:val="32"/>
        </w:rPr>
      </w:pPr>
    </w:p>
    <w:p w:rsidR="00916AAC" w:rsidRDefault="000303A4" w:rsidP="00B572ED">
      <w:pPr>
        <w:spacing w:line="600" w:lineRule="exact"/>
        <w:ind w:firstLineChars="200" w:firstLine="641"/>
        <w:outlineLvl w:val="2"/>
        <w:rPr>
          <w:rFonts w:eastAsia="楷体_GB2312" w:cs="楷体_GB2312"/>
          <w:b/>
          <w:sz w:val="32"/>
          <w:szCs w:val="32"/>
        </w:rPr>
      </w:pPr>
      <w:bookmarkStart w:id="40" w:name="_Toc15377217"/>
      <w:r>
        <w:rPr>
          <w:rFonts w:eastAsia="楷体_GB2312" w:cs="楷体_GB2312" w:hint="eastAsia"/>
          <w:b/>
          <w:sz w:val="32"/>
          <w:szCs w:val="32"/>
        </w:rPr>
        <w:lastRenderedPageBreak/>
        <w:t>（二）财政拨款“三公”经费支出决算具体情况说明</w:t>
      </w:r>
      <w:bookmarkEnd w:id="40"/>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年度财政拨款“三公”经费支出决算中，因公出国（境）费支出决算</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eastAsia="仿宋_GB2312" w:cs="仿宋_GB2312"/>
          <w:sz w:val="32"/>
          <w:szCs w:val="32"/>
        </w:rPr>
        <w:t>0</w:t>
      </w:r>
      <w:r>
        <w:rPr>
          <w:rFonts w:eastAsia="仿宋_GB2312" w:cs="仿宋_GB2312" w:hint="eastAsia"/>
          <w:sz w:val="32"/>
          <w:szCs w:val="32"/>
        </w:rPr>
        <w:t>%</w:t>
      </w:r>
      <w:r>
        <w:rPr>
          <w:rFonts w:eastAsia="仿宋_GB2312" w:cs="仿宋_GB2312" w:hint="eastAsia"/>
          <w:sz w:val="32"/>
          <w:szCs w:val="32"/>
        </w:rPr>
        <w:t>；公务用车购置及运行维护费支出决算</w:t>
      </w:r>
      <w:r>
        <w:rPr>
          <w:rFonts w:ascii="仿宋_GB2312" w:eastAsia="仿宋_GB2312" w:hAnsi="仿宋_GB2312" w:cs="仿宋_GB2312" w:hint="eastAsia"/>
          <w:sz w:val="32"/>
          <w:szCs w:val="32"/>
        </w:rPr>
        <w:t>1.55</w:t>
      </w:r>
      <w:r>
        <w:rPr>
          <w:rFonts w:eastAsia="仿宋_GB2312" w:cs="仿宋_GB2312" w:hint="eastAsia"/>
          <w:sz w:val="32"/>
          <w:szCs w:val="32"/>
        </w:rPr>
        <w:t>万元，占</w:t>
      </w:r>
      <w:r>
        <w:rPr>
          <w:rFonts w:eastAsia="仿宋_GB2312" w:cs="仿宋_GB2312"/>
          <w:sz w:val="32"/>
          <w:szCs w:val="32"/>
        </w:rPr>
        <w:t>100</w:t>
      </w:r>
      <w:r>
        <w:rPr>
          <w:rFonts w:eastAsia="仿宋_GB2312" w:cs="仿宋_GB2312" w:hint="eastAsia"/>
          <w:sz w:val="32"/>
          <w:szCs w:val="32"/>
        </w:rPr>
        <w:t>%</w:t>
      </w:r>
      <w:r>
        <w:rPr>
          <w:rFonts w:eastAsia="仿宋_GB2312" w:cs="仿宋_GB2312" w:hint="eastAsia"/>
          <w:sz w:val="32"/>
          <w:szCs w:val="32"/>
        </w:rPr>
        <w:t>；公务接待费支出决算</w:t>
      </w:r>
      <w:r>
        <w:rPr>
          <w:rFonts w:ascii="仿宋_GB2312" w:eastAsia="仿宋_GB2312" w:hAnsi="仿宋_GB2312" w:cs="仿宋_GB2312" w:hint="eastAsia"/>
          <w:sz w:val="32"/>
          <w:szCs w:val="32"/>
        </w:rPr>
        <w:t>0</w:t>
      </w:r>
      <w:r>
        <w:rPr>
          <w:rFonts w:eastAsia="仿宋_GB2312" w:cs="仿宋_GB2312" w:hint="eastAsia"/>
          <w:sz w:val="32"/>
          <w:szCs w:val="32"/>
        </w:rPr>
        <w:t>万元，占</w:t>
      </w:r>
      <w:r>
        <w:rPr>
          <w:rFonts w:eastAsia="仿宋_GB2312" w:cs="仿宋_GB2312"/>
          <w:sz w:val="32"/>
          <w:szCs w:val="32"/>
        </w:rPr>
        <w:t>0</w:t>
      </w:r>
      <w:r>
        <w:rPr>
          <w:rFonts w:eastAsia="仿宋_GB2312" w:cs="仿宋_GB2312" w:hint="eastAsia"/>
          <w:sz w:val="32"/>
          <w:szCs w:val="32"/>
        </w:rPr>
        <w:t>%</w:t>
      </w:r>
      <w:r>
        <w:rPr>
          <w:rFonts w:eastAsia="仿宋_GB2312" w:cs="仿宋_GB2312" w:hint="eastAsia"/>
          <w:sz w:val="32"/>
          <w:szCs w:val="32"/>
        </w:rPr>
        <w:t>。具体情况如下：</w:t>
      </w:r>
    </w:p>
    <w:p w:rsidR="00916AAC" w:rsidRDefault="000303A4">
      <w:pPr>
        <w:pStyle w:val="5"/>
        <w:rPr>
          <w:rFonts w:ascii="Times New Roman" w:eastAsia="仿宋_GB2312" w:hAnsi="Times New Roman" w:cs="仿宋_GB2312"/>
          <w:sz w:val="32"/>
          <w:szCs w:val="32"/>
        </w:rPr>
      </w:pPr>
      <w:r>
        <w:rPr>
          <w:noProof/>
        </w:rP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（图</w:t>
      </w:r>
      <w:r>
        <w:rPr>
          <w:rFonts w:eastAsia="仿宋_GB2312" w:cs="仿宋_GB2312" w:hint="eastAsia"/>
          <w:sz w:val="32"/>
          <w:szCs w:val="32"/>
        </w:rPr>
        <w:t>7</w:t>
      </w:r>
      <w:r>
        <w:rPr>
          <w:rFonts w:eastAsia="仿宋_GB2312" w:cs="仿宋_GB2312" w:hint="eastAsia"/>
          <w:sz w:val="32"/>
          <w:szCs w:val="32"/>
        </w:rPr>
        <w:t>：财政拨款“三公”经费支出结构）</w:t>
      </w:r>
    </w:p>
    <w:p w:rsidR="00916AAC" w:rsidRDefault="000303A4">
      <w:pPr>
        <w:spacing w:line="600" w:lineRule="exact"/>
        <w:ind w:firstLine="640"/>
        <w:rPr>
          <w:rFonts w:eastAsia="仿宋_GB2312" w:cs="仿宋_GB2312"/>
          <w:sz w:val="32"/>
          <w:szCs w:val="32"/>
        </w:rPr>
      </w:pPr>
      <w:r>
        <w:rPr>
          <w:rFonts w:eastAsia="仿宋_GB2312" w:cs="仿宋_GB2312" w:hint="eastAsia"/>
          <w:b/>
          <w:bCs/>
          <w:sz w:val="32"/>
          <w:szCs w:val="32"/>
        </w:rPr>
        <w:t>1.</w:t>
      </w:r>
      <w:r>
        <w:rPr>
          <w:rFonts w:eastAsia="仿宋_GB2312" w:cs="仿宋_GB2312" w:hint="eastAsia"/>
          <w:b/>
          <w:bCs/>
          <w:sz w:val="32"/>
          <w:szCs w:val="32"/>
        </w:rPr>
        <w:t>因公出国（境）经费支出</w:t>
      </w:r>
      <w:r>
        <w:rPr>
          <w:rFonts w:ascii="仿宋_GB2312" w:eastAsia="仿宋_GB2312" w:hAnsi="仿宋_GB2312" w:cs="仿宋_GB2312" w:hint="eastAsia"/>
          <w:sz w:val="32"/>
          <w:szCs w:val="32"/>
        </w:rPr>
        <w:t>0</w:t>
      </w:r>
      <w:r>
        <w:rPr>
          <w:rFonts w:eastAsia="仿宋_GB2312" w:cs="仿宋_GB2312" w:hint="eastAsia"/>
          <w:b/>
          <w:bCs/>
          <w:sz w:val="32"/>
          <w:szCs w:val="32"/>
        </w:rPr>
        <w:t>万元，完成预算</w:t>
      </w:r>
      <w:r>
        <w:rPr>
          <w:rFonts w:eastAsia="仿宋_GB2312" w:cs="仿宋_GB2312"/>
          <w:b/>
          <w:bCs/>
          <w:sz w:val="32"/>
          <w:szCs w:val="32"/>
        </w:rPr>
        <w:t>0</w:t>
      </w:r>
      <w:r>
        <w:rPr>
          <w:rFonts w:eastAsia="仿宋_GB2312" w:cs="仿宋_GB2312" w:hint="eastAsia"/>
          <w:b/>
          <w:bCs/>
          <w:sz w:val="32"/>
          <w:szCs w:val="32"/>
        </w:rPr>
        <w:t>%</w:t>
      </w:r>
      <w:r>
        <w:rPr>
          <w:rFonts w:eastAsia="仿宋_GB2312" w:cs="仿宋_GB2312" w:hint="eastAsia"/>
          <w:b/>
          <w:bCs/>
          <w:sz w:val="32"/>
          <w:szCs w:val="32"/>
        </w:rPr>
        <w:t>。</w:t>
      </w:r>
      <w:r>
        <w:rPr>
          <w:rFonts w:eastAsia="仿宋_GB2312" w:cs="仿宋_GB2312" w:hint="eastAsia"/>
          <w:sz w:val="32"/>
          <w:szCs w:val="32"/>
        </w:rPr>
        <w:t>全年安排因公出国（境）团组</w:t>
      </w:r>
      <w:r>
        <w:rPr>
          <w:rFonts w:ascii="仿宋_GB2312" w:eastAsia="仿宋_GB2312" w:hAnsi="仿宋_GB2312" w:cs="仿宋_GB2312" w:hint="eastAsia"/>
          <w:sz w:val="32"/>
          <w:szCs w:val="32"/>
        </w:rPr>
        <w:t>0</w:t>
      </w:r>
      <w:r>
        <w:rPr>
          <w:rFonts w:eastAsia="仿宋_GB2312" w:cs="仿宋_GB2312" w:hint="eastAsia"/>
          <w:sz w:val="32"/>
          <w:szCs w:val="32"/>
        </w:rPr>
        <w:t>次，出国（境）</w:t>
      </w:r>
      <w:r>
        <w:rPr>
          <w:rFonts w:ascii="仿宋_GB2312" w:eastAsia="仿宋_GB2312" w:hAnsi="仿宋_GB2312" w:cs="仿宋_GB2312" w:hint="eastAsia"/>
          <w:sz w:val="32"/>
          <w:szCs w:val="32"/>
        </w:rPr>
        <w:t>0</w:t>
      </w:r>
      <w:r>
        <w:rPr>
          <w:rFonts w:eastAsia="仿宋_GB2312" w:cs="仿宋_GB2312" w:hint="eastAsia"/>
          <w:sz w:val="32"/>
          <w:szCs w:val="32"/>
        </w:rPr>
        <w:t>人。因公出国（境）支出决算比上年度增加</w:t>
      </w:r>
      <w:r>
        <w:rPr>
          <w:rFonts w:eastAsia="仿宋_GB2312" w:cs="仿宋_GB2312" w:hint="eastAsia"/>
          <w:sz w:val="32"/>
          <w:szCs w:val="32"/>
        </w:rPr>
        <w:t>/</w:t>
      </w:r>
      <w:r>
        <w:rPr>
          <w:rFonts w:eastAsia="仿宋_GB2312" w:cs="仿宋_GB2312" w:hint="eastAsia"/>
          <w:sz w:val="32"/>
          <w:szCs w:val="32"/>
        </w:rPr>
        <w:t>减少</w:t>
      </w:r>
      <w:r>
        <w:rPr>
          <w:rFonts w:eastAsia="仿宋_GB2312" w:cs="仿宋_GB2312"/>
          <w:sz w:val="32"/>
          <w:szCs w:val="32"/>
        </w:rPr>
        <w:t>0</w:t>
      </w:r>
      <w:r>
        <w:rPr>
          <w:rFonts w:eastAsia="仿宋_GB2312" w:cs="仿宋_GB2312" w:hint="eastAsia"/>
          <w:sz w:val="32"/>
          <w:szCs w:val="32"/>
        </w:rPr>
        <w:t>万元，增长</w:t>
      </w:r>
      <w:r>
        <w:rPr>
          <w:rFonts w:eastAsia="仿宋_GB2312" w:cs="仿宋_GB2312" w:hint="eastAsia"/>
          <w:sz w:val="32"/>
          <w:szCs w:val="32"/>
        </w:rPr>
        <w:t>/</w:t>
      </w:r>
      <w:r>
        <w:rPr>
          <w:rFonts w:eastAsia="仿宋_GB2312" w:cs="仿宋_GB2312" w:hint="eastAsia"/>
          <w:sz w:val="32"/>
          <w:szCs w:val="32"/>
        </w:rPr>
        <w:t>下降</w:t>
      </w:r>
      <w:r>
        <w:rPr>
          <w:rFonts w:eastAsia="仿宋_GB2312" w:cs="仿宋_GB2312"/>
          <w:sz w:val="32"/>
          <w:szCs w:val="32"/>
        </w:rPr>
        <w:t>0</w:t>
      </w:r>
      <w:r>
        <w:rPr>
          <w:rFonts w:eastAsia="仿宋_GB2312" w:cs="仿宋_GB2312" w:hint="eastAsia"/>
          <w:sz w:val="32"/>
          <w:szCs w:val="32"/>
        </w:rPr>
        <w:t>%</w:t>
      </w:r>
      <w:r>
        <w:rPr>
          <w:rFonts w:eastAsia="仿宋_GB2312" w:cs="仿宋_GB2312" w:hint="eastAsia"/>
          <w:sz w:val="32"/>
          <w:szCs w:val="32"/>
        </w:rPr>
        <w:t>。</w:t>
      </w:r>
    </w:p>
    <w:p w:rsidR="00916AAC" w:rsidRDefault="000303A4">
      <w:pPr>
        <w:spacing w:line="600" w:lineRule="exact"/>
        <w:ind w:firstLine="640"/>
        <w:rPr>
          <w:rFonts w:eastAsia="仿宋_GB2312" w:cs="仿宋_GB2312"/>
          <w:sz w:val="32"/>
          <w:szCs w:val="32"/>
        </w:rPr>
      </w:pPr>
      <w:r>
        <w:rPr>
          <w:rFonts w:eastAsia="仿宋_GB2312" w:cs="仿宋_GB2312" w:hint="eastAsia"/>
          <w:b/>
          <w:bCs/>
          <w:sz w:val="32"/>
          <w:szCs w:val="32"/>
        </w:rPr>
        <w:t>2.</w:t>
      </w:r>
      <w:r>
        <w:rPr>
          <w:rFonts w:eastAsia="仿宋_GB2312" w:cs="仿宋_GB2312" w:hint="eastAsia"/>
          <w:b/>
          <w:bCs/>
          <w:sz w:val="32"/>
          <w:szCs w:val="32"/>
        </w:rPr>
        <w:t>公务用车购置及运行维护费支出</w:t>
      </w:r>
      <w:r>
        <w:rPr>
          <w:rFonts w:ascii="仿宋_GB2312" w:eastAsia="仿宋_GB2312" w:hAnsi="仿宋_GB2312" w:cs="仿宋_GB2312" w:hint="eastAsia"/>
          <w:b/>
          <w:bCs/>
          <w:sz w:val="32"/>
          <w:szCs w:val="32"/>
        </w:rPr>
        <w:t>1.55</w:t>
      </w:r>
      <w:r>
        <w:rPr>
          <w:rFonts w:eastAsia="仿宋_GB2312" w:cs="仿宋_GB2312" w:hint="eastAsia"/>
          <w:b/>
          <w:bCs/>
          <w:sz w:val="32"/>
          <w:szCs w:val="32"/>
        </w:rPr>
        <w:t>万元，完成预算</w:t>
      </w:r>
      <w:r>
        <w:rPr>
          <w:rFonts w:eastAsia="仿宋_GB2312" w:cs="仿宋_GB2312"/>
          <w:b/>
          <w:bCs/>
          <w:sz w:val="32"/>
          <w:szCs w:val="32"/>
        </w:rPr>
        <w:t>100</w:t>
      </w:r>
      <w:r>
        <w:rPr>
          <w:rFonts w:eastAsia="仿宋_GB2312" w:cs="仿宋_GB2312" w:hint="eastAsia"/>
          <w:b/>
          <w:bCs/>
          <w:sz w:val="32"/>
          <w:szCs w:val="32"/>
        </w:rPr>
        <w:t>%</w:t>
      </w:r>
      <w:r>
        <w:rPr>
          <w:rFonts w:eastAsia="仿宋_GB2312" w:cs="仿宋_GB2312" w:hint="eastAsia"/>
          <w:b/>
          <w:bCs/>
          <w:sz w:val="32"/>
          <w:szCs w:val="32"/>
        </w:rPr>
        <w:t>。</w:t>
      </w:r>
      <w:r>
        <w:rPr>
          <w:rFonts w:eastAsia="仿宋_GB2312" w:cs="仿宋_GB2312" w:hint="eastAsia"/>
          <w:sz w:val="32"/>
          <w:szCs w:val="32"/>
        </w:rPr>
        <w:t>公务用车购置及运行维护费支出决算比上年度增加</w:t>
      </w:r>
      <w:r>
        <w:rPr>
          <w:rFonts w:eastAsia="仿宋_GB2312" w:cs="仿宋_GB2312"/>
          <w:sz w:val="32"/>
          <w:szCs w:val="32"/>
        </w:rPr>
        <w:t>0.42</w:t>
      </w:r>
      <w:r>
        <w:rPr>
          <w:rFonts w:eastAsia="仿宋_GB2312" w:cs="仿宋_GB2312" w:hint="eastAsia"/>
          <w:sz w:val="32"/>
          <w:szCs w:val="32"/>
        </w:rPr>
        <w:t>万元，增长</w:t>
      </w:r>
      <w:r>
        <w:rPr>
          <w:rFonts w:eastAsia="仿宋_GB2312" w:cs="仿宋_GB2312"/>
          <w:sz w:val="32"/>
          <w:szCs w:val="32"/>
        </w:rPr>
        <w:t>37.17</w:t>
      </w:r>
      <w:r>
        <w:rPr>
          <w:rFonts w:eastAsia="仿宋_GB2312" w:cs="仿宋_GB2312" w:hint="eastAsia"/>
          <w:sz w:val="32"/>
          <w:szCs w:val="32"/>
        </w:rPr>
        <w:t>%</w:t>
      </w:r>
      <w:r>
        <w:rPr>
          <w:rFonts w:eastAsia="仿宋_GB2312" w:cs="仿宋_GB2312" w:hint="eastAsia"/>
          <w:sz w:val="32"/>
          <w:szCs w:val="32"/>
        </w:rPr>
        <w:t>。公务用车购置费上年与本年度均为</w:t>
      </w:r>
      <w:r>
        <w:rPr>
          <w:rFonts w:eastAsia="仿宋_GB2312" w:cs="仿宋_GB2312" w:hint="eastAsia"/>
          <w:sz w:val="32"/>
          <w:szCs w:val="32"/>
        </w:rPr>
        <w:t>0</w:t>
      </w:r>
      <w:r>
        <w:rPr>
          <w:rFonts w:eastAsia="仿宋_GB2312" w:cs="仿宋_GB2312" w:hint="eastAsia"/>
          <w:sz w:val="32"/>
          <w:szCs w:val="32"/>
        </w:rPr>
        <w:t>元，无新增公务车辆。经费变动集中于公务用车运行维护费，主要原因是车辆老旧，机件老化、故障多，经常性进厂维修，维修保养费增加，本年运行维护费用于车辆燃油、保</w:t>
      </w:r>
      <w:r>
        <w:rPr>
          <w:rFonts w:eastAsia="仿宋_GB2312" w:cs="仿宋_GB2312" w:hint="eastAsia"/>
          <w:sz w:val="32"/>
          <w:szCs w:val="32"/>
        </w:rPr>
        <w:lastRenderedPageBreak/>
        <w:t>养维修、保险、车船税，保险费略有下降，车船税持平，增长为老旧车辆履职运维必要开支。</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其中：公务用车购置支出</w:t>
      </w:r>
      <w:r>
        <w:rPr>
          <w:rFonts w:ascii="仿宋_GB2312" w:eastAsia="仿宋_GB2312" w:hAnsi="仿宋_GB2312" w:cs="仿宋_GB2312" w:hint="eastAsia"/>
          <w:sz w:val="32"/>
          <w:szCs w:val="32"/>
        </w:rPr>
        <w:t>0</w:t>
      </w:r>
      <w:r>
        <w:rPr>
          <w:rFonts w:eastAsia="仿宋_GB2312" w:cs="仿宋_GB2312" w:hint="eastAsia"/>
          <w:sz w:val="32"/>
          <w:szCs w:val="32"/>
        </w:rPr>
        <w:t>万元。全年按规定更新购置公务用车</w:t>
      </w:r>
      <w:r>
        <w:rPr>
          <w:rFonts w:eastAsia="仿宋_GB2312" w:cs="仿宋_GB2312" w:hint="eastAsia"/>
          <w:sz w:val="32"/>
          <w:szCs w:val="32"/>
        </w:rPr>
        <w:t>0</w:t>
      </w:r>
      <w:r>
        <w:rPr>
          <w:rFonts w:eastAsia="仿宋_GB2312" w:cs="仿宋_GB2312" w:hint="eastAsia"/>
          <w:sz w:val="32"/>
          <w:szCs w:val="32"/>
        </w:rPr>
        <w:t>辆，其中：轿车</w:t>
      </w:r>
      <w:r>
        <w:rPr>
          <w:rFonts w:eastAsia="仿宋_GB2312" w:cs="仿宋_GB2312" w:hint="eastAsia"/>
          <w:sz w:val="32"/>
          <w:szCs w:val="32"/>
        </w:rPr>
        <w:t>0</w:t>
      </w:r>
      <w:r>
        <w:rPr>
          <w:rFonts w:eastAsia="仿宋_GB2312" w:cs="仿宋_GB2312" w:hint="eastAsia"/>
          <w:sz w:val="32"/>
          <w:szCs w:val="32"/>
        </w:rPr>
        <w:t>辆、金额</w:t>
      </w:r>
      <w:r>
        <w:rPr>
          <w:rFonts w:eastAsia="仿宋_GB2312" w:cs="仿宋_GB2312" w:hint="eastAsia"/>
          <w:sz w:val="32"/>
          <w:szCs w:val="32"/>
        </w:rPr>
        <w:t>0</w:t>
      </w:r>
      <w:r>
        <w:rPr>
          <w:rFonts w:eastAsia="仿宋_GB2312" w:cs="仿宋_GB2312" w:hint="eastAsia"/>
          <w:sz w:val="32"/>
          <w:szCs w:val="32"/>
        </w:rPr>
        <w:t>万元，越野车</w:t>
      </w:r>
      <w:r>
        <w:rPr>
          <w:rFonts w:eastAsia="仿宋_GB2312" w:cs="仿宋_GB2312" w:hint="eastAsia"/>
          <w:sz w:val="32"/>
          <w:szCs w:val="32"/>
        </w:rPr>
        <w:t>0</w:t>
      </w:r>
      <w:r>
        <w:rPr>
          <w:rFonts w:eastAsia="仿宋_GB2312" w:cs="仿宋_GB2312" w:hint="eastAsia"/>
          <w:sz w:val="32"/>
          <w:szCs w:val="32"/>
        </w:rPr>
        <w:t>辆、金额</w:t>
      </w:r>
      <w:r>
        <w:rPr>
          <w:rFonts w:eastAsia="仿宋_GB2312" w:cs="仿宋_GB2312" w:hint="eastAsia"/>
          <w:sz w:val="32"/>
          <w:szCs w:val="32"/>
        </w:rPr>
        <w:t>0</w:t>
      </w:r>
      <w:r>
        <w:rPr>
          <w:rFonts w:eastAsia="仿宋_GB2312" w:cs="仿宋_GB2312" w:hint="eastAsia"/>
          <w:sz w:val="32"/>
          <w:szCs w:val="32"/>
        </w:rPr>
        <w:t>万元，载客汽车</w:t>
      </w:r>
      <w:r>
        <w:rPr>
          <w:rFonts w:eastAsia="仿宋_GB2312" w:cs="仿宋_GB2312" w:hint="eastAsia"/>
          <w:sz w:val="32"/>
          <w:szCs w:val="32"/>
        </w:rPr>
        <w:t>0</w:t>
      </w:r>
      <w:r>
        <w:rPr>
          <w:rFonts w:eastAsia="仿宋_GB2312" w:cs="仿宋_GB2312" w:hint="eastAsia"/>
          <w:sz w:val="32"/>
          <w:szCs w:val="32"/>
        </w:rPr>
        <w:t>辆、金额</w:t>
      </w:r>
      <w:r>
        <w:rPr>
          <w:rFonts w:eastAsia="仿宋_GB2312" w:cs="仿宋_GB2312" w:hint="eastAsia"/>
          <w:sz w:val="32"/>
          <w:szCs w:val="32"/>
        </w:rPr>
        <w:t>0</w:t>
      </w:r>
      <w:r>
        <w:rPr>
          <w:rFonts w:eastAsia="仿宋_GB2312" w:cs="仿宋_GB2312" w:hint="eastAsia"/>
          <w:sz w:val="32"/>
          <w:szCs w:val="32"/>
        </w:rPr>
        <w:t>万元。截至</w:t>
      </w:r>
      <w:r>
        <w:rPr>
          <w:rFonts w:eastAsia="仿宋_GB2312" w:cs="仿宋_GB2312" w:hint="eastAsia"/>
          <w:sz w:val="32"/>
          <w:szCs w:val="32"/>
        </w:rPr>
        <w:t>2025</w:t>
      </w:r>
      <w:r>
        <w:rPr>
          <w:rFonts w:eastAsia="仿宋_GB2312" w:cs="仿宋_GB2312" w:hint="eastAsia"/>
          <w:sz w:val="32"/>
          <w:szCs w:val="32"/>
        </w:rPr>
        <w:t>年</w:t>
      </w:r>
      <w:r>
        <w:rPr>
          <w:rFonts w:eastAsia="仿宋_GB2312" w:cs="仿宋_GB2312" w:hint="eastAsia"/>
          <w:sz w:val="32"/>
          <w:szCs w:val="32"/>
        </w:rPr>
        <w:t>12</w:t>
      </w:r>
      <w:r>
        <w:rPr>
          <w:rFonts w:eastAsia="仿宋_GB2312" w:cs="仿宋_GB2312" w:hint="eastAsia"/>
          <w:sz w:val="32"/>
          <w:szCs w:val="32"/>
        </w:rPr>
        <w:t>月</w:t>
      </w:r>
      <w:r>
        <w:rPr>
          <w:rFonts w:eastAsia="仿宋_GB2312" w:cs="仿宋_GB2312" w:hint="eastAsia"/>
          <w:sz w:val="32"/>
          <w:szCs w:val="32"/>
        </w:rPr>
        <w:t>31</w:t>
      </w:r>
      <w:r>
        <w:rPr>
          <w:rFonts w:eastAsia="仿宋_GB2312" w:cs="仿宋_GB2312" w:hint="eastAsia"/>
          <w:sz w:val="32"/>
          <w:szCs w:val="32"/>
        </w:rPr>
        <w:t>日</w:t>
      </w:r>
      <w:r>
        <w:rPr>
          <w:rFonts w:eastAsia="仿宋_GB2312" w:cs="仿宋_GB2312" w:hint="eastAsia"/>
          <w:sz w:val="32"/>
          <w:szCs w:val="32"/>
        </w:rPr>
        <w:t>，单位共有公务用车</w:t>
      </w:r>
      <w:r>
        <w:rPr>
          <w:rFonts w:eastAsia="仿宋_GB2312" w:cs="仿宋_GB2312" w:hint="eastAsia"/>
          <w:sz w:val="32"/>
          <w:szCs w:val="32"/>
        </w:rPr>
        <w:t>1</w:t>
      </w:r>
      <w:r>
        <w:rPr>
          <w:rFonts w:eastAsia="仿宋_GB2312" w:cs="仿宋_GB2312" w:hint="eastAsia"/>
          <w:sz w:val="32"/>
          <w:szCs w:val="32"/>
        </w:rPr>
        <w:t>辆，其中：轿车</w:t>
      </w:r>
      <w:r>
        <w:rPr>
          <w:rFonts w:eastAsia="仿宋_GB2312" w:cs="仿宋_GB2312" w:hint="eastAsia"/>
          <w:sz w:val="32"/>
          <w:szCs w:val="32"/>
        </w:rPr>
        <w:t>0</w:t>
      </w:r>
      <w:r>
        <w:rPr>
          <w:rFonts w:eastAsia="仿宋_GB2312" w:cs="仿宋_GB2312" w:hint="eastAsia"/>
          <w:sz w:val="32"/>
          <w:szCs w:val="32"/>
        </w:rPr>
        <w:t>辆、越野车</w:t>
      </w:r>
      <w:r>
        <w:rPr>
          <w:rFonts w:eastAsia="仿宋_GB2312" w:cs="仿宋_GB2312" w:hint="eastAsia"/>
          <w:sz w:val="32"/>
          <w:szCs w:val="32"/>
        </w:rPr>
        <w:t>1</w:t>
      </w:r>
      <w:r>
        <w:rPr>
          <w:rFonts w:eastAsia="仿宋_GB2312" w:cs="仿宋_GB2312" w:hint="eastAsia"/>
          <w:sz w:val="32"/>
          <w:szCs w:val="32"/>
        </w:rPr>
        <w:t>辆、载客汽车</w:t>
      </w:r>
      <w:r>
        <w:rPr>
          <w:rFonts w:eastAsia="仿宋_GB2312" w:cs="仿宋_GB2312" w:hint="eastAsia"/>
          <w:sz w:val="32"/>
          <w:szCs w:val="32"/>
        </w:rPr>
        <w:t>0</w:t>
      </w:r>
      <w:r>
        <w:rPr>
          <w:rFonts w:eastAsia="仿宋_GB2312" w:cs="仿宋_GB2312" w:hint="eastAsia"/>
          <w:sz w:val="32"/>
          <w:szCs w:val="32"/>
        </w:rPr>
        <w:t>辆。</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公务用车运行维护费支出</w:t>
      </w:r>
      <w:r>
        <w:rPr>
          <w:rFonts w:ascii="仿宋_GB2312" w:eastAsia="仿宋_GB2312" w:hAnsi="仿宋_GB2312" w:cs="仿宋_GB2312" w:hint="eastAsia"/>
          <w:sz w:val="32"/>
          <w:szCs w:val="32"/>
        </w:rPr>
        <w:t>1.55</w:t>
      </w:r>
      <w:r>
        <w:rPr>
          <w:rFonts w:eastAsia="仿宋_GB2312" w:cs="仿宋_GB2312" w:hint="eastAsia"/>
          <w:sz w:val="32"/>
          <w:szCs w:val="32"/>
        </w:rPr>
        <w:t>万元。主要用于单位项目所需的公务用车燃料费、维修费、过路过桥费、保险费等支出。</w:t>
      </w:r>
    </w:p>
    <w:p w:rsidR="00916AAC" w:rsidRDefault="000303A4">
      <w:pPr>
        <w:spacing w:line="600" w:lineRule="exact"/>
        <w:ind w:firstLine="640"/>
        <w:rPr>
          <w:rFonts w:eastAsia="仿宋_GB2312" w:cs="仿宋_GB2312"/>
          <w:sz w:val="32"/>
          <w:szCs w:val="32"/>
        </w:rPr>
      </w:pPr>
      <w:r>
        <w:rPr>
          <w:rFonts w:eastAsia="仿宋_GB2312" w:cs="仿宋_GB2312" w:hint="eastAsia"/>
          <w:b/>
          <w:bCs/>
          <w:sz w:val="32"/>
          <w:szCs w:val="32"/>
        </w:rPr>
        <w:t>3.</w:t>
      </w:r>
      <w:r>
        <w:rPr>
          <w:rFonts w:eastAsia="仿宋_GB2312" w:cs="仿宋_GB2312" w:hint="eastAsia"/>
          <w:b/>
          <w:bCs/>
          <w:sz w:val="32"/>
          <w:szCs w:val="32"/>
        </w:rPr>
        <w:t>公务接待费支出</w:t>
      </w:r>
      <w:r>
        <w:rPr>
          <w:rFonts w:ascii="仿宋_GB2312" w:eastAsia="仿宋_GB2312" w:hAnsi="仿宋_GB2312" w:cs="仿宋_GB2312" w:hint="eastAsia"/>
          <w:b/>
          <w:bCs/>
          <w:sz w:val="32"/>
          <w:szCs w:val="32"/>
        </w:rPr>
        <w:t>0</w:t>
      </w:r>
      <w:r>
        <w:rPr>
          <w:rFonts w:eastAsia="仿宋_GB2312" w:cs="仿宋_GB2312" w:hint="eastAsia"/>
          <w:b/>
          <w:bCs/>
          <w:sz w:val="32"/>
          <w:szCs w:val="32"/>
        </w:rPr>
        <w:t>万元，完成预算</w:t>
      </w:r>
      <w:r>
        <w:rPr>
          <w:rFonts w:eastAsia="仿宋_GB2312" w:cs="仿宋_GB2312" w:hint="eastAsia"/>
          <w:b/>
          <w:bCs/>
          <w:sz w:val="32"/>
          <w:szCs w:val="32"/>
        </w:rPr>
        <w:t>0%</w:t>
      </w:r>
      <w:r>
        <w:rPr>
          <w:rFonts w:eastAsia="仿宋_GB2312" w:cs="仿宋_GB2312" w:hint="eastAsia"/>
          <w:b/>
          <w:bCs/>
          <w:sz w:val="32"/>
          <w:szCs w:val="32"/>
        </w:rPr>
        <w:t>。</w:t>
      </w:r>
      <w:r>
        <w:rPr>
          <w:rFonts w:eastAsia="仿宋_GB2312" w:cs="仿宋_GB2312" w:hint="eastAsia"/>
          <w:sz w:val="32"/>
          <w:szCs w:val="32"/>
        </w:rPr>
        <w:t>公务接待费支出决算与</w:t>
      </w:r>
      <w:r>
        <w:rPr>
          <w:rFonts w:eastAsia="仿宋_GB2312" w:cs="仿宋_GB2312" w:hint="eastAsia"/>
          <w:sz w:val="32"/>
          <w:szCs w:val="32"/>
        </w:rPr>
        <w:t>2024</w:t>
      </w:r>
      <w:r>
        <w:rPr>
          <w:rFonts w:eastAsia="仿宋_GB2312" w:cs="仿宋_GB2312" w:hint="eastAsia"/>
          <w:sz w:val="32"/>
          <w:szCs w:val="32"/>
        </w:rPr>
        <w:t>年度持平。其中：</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国内公务接待支出</w:t>
      </w:r>
      <w:r>
        <w:rPr>
          <w:rFonts w:ascii="仿宋_GB2312" w:eastAsia="仿宋_GB2312" w:hAnsi="仿宋_GB2312" w:cs="仿宋_GB2312" w:hint="eastAsia"/>
          <w:sz w:val="32"/>
          <w:szCs w:val="32"/>
        </w:rPr>
        <w:t>0</w:t>
      </w:r>
      <w:r>
        <w:rPr>
          <w:rFonts w:eastAsia="仿宋_GB2312" w:cs="仿宋_GB2312" w:hint="eastAsia"/>
          <w:sz w:val="32"/>
          <w:szCs w:val="32"/>
        </w:rPr>
        <w:t>万元。国内公务接待</w:t>
      </w:r>
      <w:r>
        <w:rPr>
          <w:rFonts w:ascii="仿宋_GB2312" w:eastAsia="仿宋_GB2312" w:hAnsi="仿宋_GB2312" w:cs="仿宋_GB2312" w:hint="eastAsia"/>
          <w:sz w:val="32"/>
          <w:szCs w:val="32"/>
        </w:rPr>
        <w:t>0</w:t>
      </w:r>
      <w:r>
        <w:rPr>
          <w:rFonts w:eastAsia="仿宋_GB2312" w:cs="仿宋_GB2312" w:hint="eastAsia"/>
          <w:sz w:val="32"/>
          <w:szCs w:val="32"/>
        </w:rPr>
        <w:t>批次，</w:t>
      </w:r>
      <w:r>
        <w:rPr>
          <w:rFonts w:ascii="仿宋_GB2312" w:eastAsia="仿宋_GB2312" w:hAnsi="仿宋_GB2312" w:cs="仿宋_GB2312" w:hint="eastAsia"/>
          <w:sz w:val="32"/>
          <w:szCs w:val="32"/>
        </w:rPr>
        <w:t>0</w:t>
      </w:r>
      <w:r>
        <w:rPr>
          <w:rFonts w:eastAsia="仿宋_GB2312" w:cs="仿宋_GB2312" w:hint="eastAsia"/>
          <w:sz w:val="32"/>
          <w:szCs w:val="32"/>
        </w:rPr>
        <w:t>人次，共计支出</w:t>
      </w:r>
      <w:r>
        <w:rPr>
          <w:rFonts w:eastAsia="仿宋_GB2312" w:cs="仿宋_GB2312" w:hint="eastAsia"/>
          <w:sz w:val="32"/>
          <w:szCs w:val="32"/>
        </w:rPr>
        <w:t>0</w:t>
      </w:r>
      <w:r>
        <w:rPr>
          <w:rFonts w:eastAsia="仿宋_GB2312" w:cs="仿宋_GB2312" w:hint="eastAsia"/>
          <w:sz w:val="32"/>
          <w:szCs w:val="32"/>
        </w:rPr>
        <w:t>万元。</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外事接待支出</w:t>
      </w:r>
      <w:r>
        <w:rPr>
          <w:rFonts w:ascii="仿宋_GB2312" w:eastAsia="仿宋_GB2312" w:hAnsi="仿宋_GB2312" w:cs="仿宋_GB2312" w:hint="eastAsia"/>
          <w:sz w:val="32"/>
          <w:szCs w:val="32"/>
        </w:rPr>
        <w:t>0</w:t>
      </w:r>
      <w:r>
        <w:rPr>
          <w:rFonts w:eastAsia="仿宋_GB2312" w:cs="仿宋_GB2312" w:hint="eastAsia"/>
          <w:sz w:val="32"/>
          <w:szCs w:val="32"/>
        </w:rPr>
        <w:t>万元。外事接待</w:t>
      </w:r>
      <w:r>
        <w:rPr>
          <w:rFonts w:ascii="仿宋_GB2312" w:eastAsia="仿宋_GB2312" w:hAnsi="仿宋_GB2312" w:cs="仿宋_GB2312" w:hint="eastAsia"/>
          <w:sz w:val="32"/>
          <w:szCs w:val="32"/>
        </w:rPr>
        <w:t>0</w:t>
      </w:r>
      <w:r>
        <w:rPr>
          <w:rFonts w:eastAsia="仿宋_GB2312" w:cs="仿宋_GB2312" w:hint="eastAsia"/>
          <w:sz w:val="32"/>
          <w:szCs w:val="32"/>
        </w:rPr>
        <w:t>批次，</w:t>
      </w:r>
      <w:r>
        <w:rPr>
          <w:rFonts w:ascii="仿宋_GB2312" w:eastAsia="仿宋_GB2312" w:hAnsi="仿宋_GB2312" w:cs="仿宋_GB2312" w:hint="eastAsia"/>
          <w:sz w:val="32"/>
          <w:szCs w:val="32"/>
        </w:rPr>
        <w:t>0</w:t>
      </w:r>
      <w:r>
        <w:rPr>
          <w:rFonts w:eastAsia="仿宋_GB2312" w:cs="仿宋_GB2312" w:hint="eastAsia"/>
          <w:sz w:val="32"/>
          <w:szCs w:val="32"/>
        </w:rPr>
        <w:t>人次，共计支出</w:t>
      </w:r>
      <w:r>
        <w:rPr>
          <w:rFonts w:eastAsia="仿宋_GB2312" w:cs="仿宋_GB2312" w:hint="eastAsia"/>
          <w:sz w:val="32"/>
          <w:szCs w:val="32"/>
        </w:rPr>
        <w:t>0</w:t>
      </w:r>
      <w:r>
        <w:rPr>
          <w:rFonts w:eastAsia="仿宋_GB2312" w:cs="仿宋_GB2312" w:hint="eastAsia"/>
          <w:sz w:val="32"/>
          <w:szCs w:val="32"/>
        </w:rPr>
        <w:t>万元。</w:t>
      </w:r>
      <w:bookmarkStart w:id="41" w:name="_Toc15377218"/>
      <w:bookmarkStart w:id="42" w:name="_Toc15396610"/>
    </w:p>
    <w:p w:rsidR="00916AAC" w:rsidRDefault="000303A4">
      <w:pPr>
        <w:spacing w:line="600" w:lineRule="exact"/>
        <w:ind w:firstLine="640"/>
        <w:outlineLvl w:val="1"/>
        <w:rPr>
          <w:rStyle w:val="2Char"/>
          <w:rFonts w:ascii="Times New Roman" w:eastAsia="黑体" w:hAnsi="Times New Roman"/>
        </w:rPr>
      </w:pPr>
      <w:r>
        <w:rPr>
          <w:rFonts w:eastAsia="黑体" w:hint="eastAsia"/>
          <w:sz w:val="32"/>
          <w:szCs w:val="32"/>
        </w:rPr>
        <w:t>八、</w:t>
      </w:r>
      <w:r>
        <w:rPr>
          <w:rStyle w:val="2Char"/>
          <w:rFonts w:ascii="Times New Roman" w:eastAsia="黑体" w:hAnsi="Times New Roman" w:hint="eastAsia"/>
          <w:b w:val="0"/>
        </w:rPr>
        <w:t>政府性基金预算支出决算情况说明</w:t>
      </w:r>
      <w:bookmarkEnd w:id="41"/>
      <w:bookmarkEnd w:id="42"/>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年度政府性基金预算财政拨款支出</w:t>
      </w:r>
      <w:r>
        <w:rPr>
          <w:rFonts w:ascii="仿宋_GB2312" w:eastAsia="仿宋_GB2312" w:hAnsi="仿宋_GB2312" w:cs="仿宋_GB2312" w:hint="eastAsia"/>
          <w:sz w:val="32"/>
          <w:szCs w:val="32"/>
        </w:rPr>
        <w:t>0</w:t>
      </w:r>
      <w:r>
        <w:rPr>
          <w:rFonts w:eastAsia="仿宋_GB2312" w:cs="仿宋_GB2312" w:hint="eastAsia"/>
          <w:sz w:val="32"/>
          <w:szCs w:val="32"/>
        </w:rPr>
        <w:t>万元，与</w:t>
      </w:r>
      <w:r>
        <w:rPr>
          <w:rFonts w:eastAsia="仿宋_GB2312" w:cs="仿宋_GB2312" w:hint="eastAsia"/>
          <w:sz w:val="32"/>
          <w:szCs w:val="32"/>
        </w:rPr>
        <w:t>2024</w:t>
      </w:r>
      <w:r>
        <w:rPr>
          <w:rFonts w:eastAsia="仿宋_GB2312" w:cs="仿宋_GB2312" w:hint="eastAsia"/>
          <w:sz w:val="32"/>
          <w:szCs w:val="32"/>
        </w:rPr>
        <w:t>年度相比，政府性基金预算财政拨款支出持平，均为</w:t>
      </w:r>
      <w:r>
        <w:rPr>
          <w:rFonts w:eastAsia="仿宋_GB2312" w:cs="仿宋_GB2312" w:hint="eastAsia"/>
          <w:sz w:val="32"/>
          <w:szCs w:val="32"/>
        </w:rPr>
        <w:t>0</w:t>
      </w:r>
      <w:r>
        <w:rPr>
          <w:rFonts w:eastAsia="仿宋_GB2312" w:cs="仿宋_GB2312" w:hint="eastAsia"/>
          <w:sz w:val="32"/>
          <w:szCs w:val="32"/>
        </w:rPr>
        <w:t>。</w:t>
      </w:r>
    </w:p>
    <w:p w:rsidR="00916AAC" w:rsidRDefault="000303A4">
      <w:pPr>
        <w:spacing w:line="600" w:lineRule="exact"/>
        <w:ind w:left="630"/>
        <w:outlineLvl w:val="1"/>
        <w:rPr>
          <w:rStyle w:val="2Char"/>
          <w:rFonts w:ascii="Times New Roman" w:eastAsia="黑体" w:hAnsi="Times New Roman"/>
          <w:b w:val="0"/>
        </w:rPr>
      </w:pPr>
      <w:bookmarkStart w:id="43" w:name="_Toc15377219"/>
      <w:bookmarkStart w:id="44" w:name="_Toc15396611"/>
      <w:r>
        <w:rPr>
          <w:rStyle w:val="2Char"/>
          <w:rFonts w:ascii="Times New Roman" w:eastAsia="黑体" w:hAnsi="Times New Roman" w:hint="eastAsia"/>
          <w:b w:val="0"/>
        </w:rPr>
        <w:t>九、国有资本经营预算支出决算情况说明</w:t>
      </w:r>
      <w:bookmarkEnd w:id="43"/>
      <w:bookmarkEnd w:id="44"/>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年度国有资本经营预算财政拨款支出</w:t>
      </w:r>
      <w:r>
        <w:rPr>
          <w:rFonts w:ascii="仿宋_GB2312" w:eastAsia="仿宋_GB2312" w:hAnsi="仿宋_GB2312" w:cs="仿宋_GB2312" w:hint="eastAsia"/>
          <w:sz w:val="32"/>
          <w:szCs w:val="32"/>
        </w:rPr>
        <w:t>0</w:t>
      </w:r>
      <w:r>
        <w:rPr>
          <w:rFonts w:eastAsia="仿宋_GB2312" w:cs="仿宋_GB2312" w:hint="eastAsia"/>
          <w:sz w:val="32"/>
          <w:szCs w:val="32"/>
        </w:rPr>
        <w:t>万元，与</w:t>
      </w:r>
      <w:r>
        <w:rPr>
          <w:rFonts w:eastAsia="仿宋_GB2312" w:cs="仿宋_GB2312" w:hint="eastAsia"/>
          <w:sz w:val="32"/>
          <w:szCs w:val="32"/>
        </w:rPr>
        <w:t>2024</w:t>
      </w:r>
      <w:r>
        <w:rPr>
          <w:rFonts w:eastAsia="仿宋_GB2312" w:cs="仿宋_GB2312" w:hint="eastAsia"/>
          <w:sz w:val="32"/>
          <w:szCs w:val="32"/>
        </w:rPr>
        <w:t>年度相比，国有资本经营预算财政拨款支出持平，均为</w:t>
      </w:r>
      <w:r>
        <w:rPr>
          <w:rFonts w:eastAsia="仿宋_GB2312" w:cs="仿宋_GB2312" w:hint="eastAsia"/>
          <w:sz w:val="32"/>
          <w:szCs w:val="32"/>
        </w:rPr>
        <w:t>0</w:t>
      </w:r>
      <w:r>
        <w:rPr>
          <w:rFonts w:eastAsia="仿宋_GB2312" w:cs="仿宋_GB2312" w:hint="eastAsia"/>
          <w:sz w:val="32"/>
          <w:szCs w:val="32"/>
        </w:rPr>
        <w:t>。</w:t>
      </w:r>
    </w:p>
    <w:p w:rsidR="00916AAC" w:rsidRDefault="000303A4">
      <w:pPr>
        <w:spacing w:line="600" w:lineRule="exact"/>
        <w:ind w:left="630"/>
        <w:outlineLvl w:val="1"/>
        <w:rPr>
          <w:rStyle w:val="2Char"/>
          <w:rFonts w:ascii="Times New Roman" w:eastAsia="黑体" w:hAnsi="Times New Roman"/>
          <w:b w:val="0"/>
        </w:rPr>
      </w:pPr>
      <w:bookmarkStart w:id="45" w:name="_Toc15396612"/>
      <w:bookmarkStart w:id="46" w:name="_Toc15377221"/>
      <w:r>
        <w:rPr>
          <w:rStyle w:val="2Char"/>
          <w:rFonts w:ascii="Times New Roman" w:eastAsia="黑体" w:hAnsi="Times New Roman" w:hint="eastAsia"/>
          <w:b w:val="0"/>
        </w:rPr>
        <w:lastRenderedPageBreak/>
        <w:t>十、其他重要事项的情况说明</w:t>
      </w:r>
      <w:bookmarkEnd w:id="45"/>
      <w:bookmarkEnd w:id="46"/>
    </w:p>
    <w:p w:rsidR="00916AAC" w:rsidRDefault="000303A4" w:rsidP="00B572ED">
      <w:pPr>
        <w:spacing w:line="600" w:lineRule="exact"/>
        <w:ind w:firstLineChars="200" w:firstLine="641"/>
        <w:outlineLvl w:val="2"/>
        <w:rPr>
          <w:rFonts w:eastAsia="楷体_GB2312" w:cs="楷体_GB2312"/>
          <w:b/>
          <w:sz w:val="32"/>
          <w:szCs w:val="32"/>
        </w:rPr>
      </w:pPr>
      <w:bookmarkStart w:id="47" w:name="_Toc15377222"/>
      <w:r>
        <w:rPr>
          <w:rFonts w:eastAsia="楷体_GB2312" w:cs="楷体_GB2312" w:hint="eastAsia"/>
          <w:b/>
          <w:sz w:val="32"/>
          <w:szCs w:val="32"/>
        </w:rPr>
        <w:t>（一）机关运行经费支出情况</w:t>
      </w:r>
      <w:bookmarkEnd w:id="47"/>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w:t>
      </w:r>
      <w:r>
        <w:rPr>
          <w:rFonts w:ascii="仿宋_GB2312" w:eastAsia="仿宋_GB2312" w:hAnsi="仿宋_GB2312" w:cs="仿宋_GB2312" w:hint="eastAsia"/>
          <w:sz w:val="32"/>
          <w:szCs w:val="32"/>
        </w:rPr>
        <w:t>攀枝花市国土整治中心机关运行经费支出</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w:t>
      </w:r>
      <w:r>
        <w:rPr>
          <w:rFonts w:eastAsia="仿宋_GB2312" w:cs="仿宋_GB2312" w:hint="eastAsia"/>
          <w:sz w:val="32"/>
          <w:szCs w:val="32"/>
        </w:rPr>
        <w:t>元，与</w:t>
      </w:r>
      <w:r>
        <w:rPr>
          <w:rFonts w:eastAsia="仿宋_GB2312" w:cs="仿宋_GB2312" w:hint="eastAsia"/>
          <w:sz w:val="32"/>
          <w:szCs w:val="32"/>
        </w:rPr>
        <w:t>2024</w:t>
      </w:r>
      <w:r>
        <w:rPr>
          <w:rFonts w:eastAsia="仿宋_GB2312" w:cs="仿宋_GB2312" w:hint="eastAsia"/>
          <w:sz w:val="32"/>
          <w:szCs w:val="32"/>
        </w:rPr>
        <w:t>年度决算数持平。</w:t>
      </w:r>
    </w:p>
    <w:p w:rsidR="00916AAC" w:rsidRDefault="000303A4" w:rsidP="00B572ED">
      <w:pPr>
        <w:spacing w:line="600" w:lineRule="exact"/>
        <w:ind w:firstLineChars="200" w:firstLine="641"/>
        <w:outlineLvl w:val="2"/>
        <w:rPr>
          <w:rFonts w:eastAsia="楷体_GB2312" w:cs="楷体_GB2312"/>
          <w:b/>
          <w:sz w:val="32"/>
          <w:szCs w:val="32"/>
        </w:rPr>
      </w:pPr>
      <w:bookmarkStart w:id="48" w:name="_Toc15377223"/>
      <w:r>
        <w:rPr>
          <w:rFonts w:eastAsia="楷体_GB2312" w:cs="楷体_GB2312" w:hint="eastAsia"/>
          <w:b/>
          <w:sz w:val="32"/>
          <w:szCs w:val="32"/>
        </w:rPr>
        <w:t>（二）政府采购支出情况</w:t>
      </w:r>
      <w:bookmarkEnd w:id="48"/>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2025</w:t>
      </w:r>
      <w:r>
        <w:rPr>
          <w:rFonts w:eastAsia="仿宋_GB2312" w:cs="仿宋_GB2312" w:hint="eastAsia"/>
          <w:sz w:val="32"/>
          <w:szCs w:val="32"/>
        </w:rPr>
        <w:t>年度，</w:t>
      </w:r>
      <w:r>
        <w:rPr>
          <w:rFonts w:ascii="仿宋_GB2312" w:eastAsia="仿宋_GB2312" w:hAnsi="仿宋_GB2312" w:cs="仿宋_GB2312" w:hint="eastAsia"/>
          <w:sz w:val="32"/>
          <w:szCs w:val="32"/>
        </w:rPr>
        <w:t>攀枝花市国土整治中心</w:t>
      </w:r>
      <w:r>
        <w:rPr>
          <w:rFonts w:eastAsia="仿宋_GB2312" w:cs="仿宋_GB2312" w:hint="eastAsia"/>
          <w:sz w:val="32"/>
          <w:szCs w:val="32"/>
        </w:rPr>
        <w:t>政府采购支出总额</w:t>
      </w:r>
      <w:r>
        <w:rPr>
          <w:rFonts w:ascii="仿宋_GB2312" w:eastAsia="仿宋_GB2312" w:hAnsi="仿宋_GB2312" w:cs="仿宋_GB2312" w:hint="eastAsia"/>
          <w:sz w:val="32"/>
          <w:szCs w:val="32"/>
        </w:rPr>
        <w:t>1.43</w:t>
      </w:r>
      <w:r>
        <w:rPr>
          <w:rFonts w:eastAsia="仿宋_GB2312" w:cs="仿宋_GB2312" w:hint="eastAsia"/>
          <w:sz w:val="32"/>
          <w:szCs w:val="32"/>
        </w:rPr>
        <w:t>万元，其中：政府采购货物支出</w:t>
      </w:r>
      <w:r>
        <w:rPr>
          <w:rFonts w:ascii="仿宋_GB2312" w:eastAsia="仿宋_GB2312" w:hAnsi="仿宋_GB2312" w:cs="仿宋_GB2312" w:hint="eastAsia"/>
          <w:sz w:val="32"/>
          <w:szCs w:val="32"/>
        </w:rPr>
        <w:t>0</w:t>
      </w:r>
      <w:r>
        <w:rPr>
          <w:rFonts w:eastAsia="仿宋_GB2312" w:cs="仿宋_GB2312" w:hint="eastAsia"/>
          <w:sz w:val="32"/>
          <w:szCs w:val="32"/>
        </w:rPr>
        <w:t>万元、政府采购工程支出</w:t>
      </w:r>
      <w:r>
        <w:rPr>
          <w:rFonts w:ascii="仿宋_GB2312" w:eastAsia="仿宋_GB2312" w:hAnsi="仿宋_GB2312" w:cs="仿宋_GB2312" w:hint="eastAsia"/>
          <w:sz w:val="32"/>
          <w:szCs w:val="32"/>
        </w:rPr>
        <w:t>0</w:t>
      </w:r>
      <w:r>
        <w:rPr>
          <w:rFonts w:eastAsia="仿宋_GB2312" w:cs="仿宋_GB2312" w:hint="eastAsia"/>
          <w:sz w:val="32"/>
          <w:szCs w:val="32"/>
        </w:rPr>
        <w:t>万元、政府采购服</w:t>
      </w:r>
      <w:r>
        <w:rPr>
          <w:rFonts w:eastAsia="仿宋_GB2312" w:cs="仿宋_GB2312" w:hint="eastAsia"/>
          <w:sz w:val="32"/>
          <w:szCs w:val="32"/>
        </w:rPr>
        <w:t>务支出</w:t>
      </w:r>
      <w:r>
        <w:rPr>
          <w:rFonts w:ascii="仿宋_GB2312" w:eastAsia="仿宋_GB2312" w:hAnsi="仿宋_GB2312" w:cs="仿宋_GB2312" w:hint="eastAsia"/>
          <w:sz w:val="32"/>
          <w:szCs w:val="32"/>
        </w:rPr>
        <w:t>1.43</w:t>
      </w:r>
      <w:r>
        <w:rPr>
          <w:rFonts w:eastAsia="仿宋_GB2312" w:cs="仿宋_GB2312" w:hint="eastAsia"/>
          <w:sz w:val="32"/>
          <w:szCs w:val="32"/>
        </w:rPr>
        <w:t>万元。主要用于车辆财产保险服务、车辆加油、添加燃料服务、车辆维修和保养服务。授予中小企业合同金额</w:t>
      </w:r>
      <w:r>
        <w:rPr>
          <w:rFonts w:ascii="仿宋_GB2312" w:eastAsia="仿宋_GB2312" w:hAnsi="仿宋_GB2312" w:cs="仿宋_GB2312" w:hint="eastAsia"/>
          <w:sz w:val="32"/>
          <w:szCs w:val="32"/>
        </w:rPr>
        <w:t>1</w:t>
      </w:r>
      <w:r>
        <w:rPr>
          <w:rFonts w:eastAsia="仿宋_GB2312" w:cs="仿宋_GB2312" w:hint="eastAsia"/>
          <w:sz w:val="32"/>
          <w:szCs w:val="32"/>
        </w:rPr>
        <w:t>万元，占政府采购支出总额的</w:t>
      </w:r>
      <w:r>
        <w:rPr>
          <w:rFonts w:ascii="仿宋_GB2312" w:eastAsia="仿宋_GB2312" w:hAnsi="仿宋_GB2312" w:cs="仿宋_GB2312" w:hint="eastAsia"/>
          <w:sz w:val="32"/>
          <w:szCs w:val="32"/>
        </w:rPr>
        <w:t>69.92</w:t>
      </w:r>
      <w:r>
        <w:rPr>
          <w:rFonts w:eastAsia="仿宋_GB2312" w:cs="仿宋_GB2312" w:hint="eastAsia"/>
          <w:sz w:val="32"/>
          <w:szCs w:val="32"/>
        </w:rPr>
        <w:t>%</w:t>
      </w:r>
      <w:r>
        <w:rPr>
          <w:rFonts w:eastAsia="仿宋_GB2312" w:cs="仿宋_GB2312" w:hint="eastAsia"/>
          <w:sz w:val="32"/>
          <w:szCs w:val="32"/>
        </w:rPr>
        <w:t>，其中：授予小微企业合同金额</w:t>
      </w:r>
      <w:r>
        <w:rPr>
          <w:rFonts w:ascii="仿宋_GB2312" w:eastAsia="仿宋_GB2312" w:hAnsi="仿宋_GB2312" w:cs="仿宋_GB2312" w:hint="eastAsia"/>
          <w:sz w:val="32"/>
          <w:szCs w:val="32"/>
        </w:rPr>
        <w:t>0</w:t>
      </w:r>
      <w:r>
        <w:rPr>
          <w:rFonts w:eastAsia="仿宋_GB2312" w:cs="仿宋_GB2312" w:hint="eastAsia"/>
          <w:sz w:val="32"/>
          <w:szCs w:val="32"/>
        </w:rPr>
        <w:t>万元，占政府采购支出总额的</w:t>
      </w:r>
      <w:r>
        <w:rPr>
          <w:rFonts w:ascii="仿宋_GB2312" w:eastAsia="仿宋_GB2312" w:hAnsi="仿宋_GB2312" w:cs="仿宋_GB2312" w:hint="eastAsia"/>
          <w:sz w:val="32"/>
          <w:szCs w:val="32"/>
        </w:rPr>
        <w:t>0</w:t>
      </w:r>
      <w:r>
        <w:rPr>
          <w:rFonts w:eastAsia="仿宋_GB2312" w:cs="仿宋_GB2312" w:hint="eastAsia"/>
          <w:sz w:val="32"/>
          <w:szCs w:val="32"/>
        </w:rPr>
        <w:t>%</w:t>
      </w:r>
      <w:r>
        <w:rPr>
          <w:rFonts w:eastAsia="仿宋_GB2312" w:cs="仿宋_GB2312" w:hint="eastAsia"/>
          <w:sz w:val="32"/>
          <w:szCs w:val="32"/>
        </w:rPr>
        <w:t>。</w:t>
      </w:r>
    </w:p>
    <w:p w:rsidR="00916AAC" w:rsidRDefault="000303A4" w:rsidP="00B572ED">
      <w:pPr>
        <w:spacing w:line="600" w:lineRule="exact"/>
        <w:ind w:firstLineChars="200" w:firstLine="641"/>
        <w:outlineLvl w:val="2"/>
        <w:rPr>
          <w:rFonts w:eastAsia="楷体_GB2312" w:cs="楷体_GB2312"/>
          <w:b/>
          <w:sz w:val="32"/>
          <w:szCs w:val="32"/>
        </w:rPr>
      </w:pPr>
      <w:bookmarkStart w:id="49" w:name="_Toc15377224"/>
      <w:r>
        <w:rPr>
          <w:rFonts w:eastAsia="楷体_GB2312" w:cs="楷体_GB2312" w:hint="eastAsia"/>
          <w:b/>
          <w:sz w:val="32"/>
          <w:szCs w:val="32"/>
        </w:rPr>
        <w:t>（三）国有资产占有使用情况</w:t>
      </w:r>
      <w:bookmarkEnd w:id="49"/>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截至</w:t>
      </w:r>
      <w:r>
        <w:rPr>
          <w:rFonts w:eastAsia="仿宋_GB2312" w:cs="仿宋_GB2312" w:hint="eastAsia"/>
          <w:sz w:val="32"/>
          <w:szCs w:val="32"/>
        </w:rPr>
        <w:t>2025</w:t>
      </w:r>
      <w:r>
        <w:rPr>
          <w:rFonts w:eastAsia="仿宋_GB2312" w:cs="仿宋_GB2312" w:hint="eastAsia"/>
          <w:sz w:val="32"/>
          <w:szCs w:val="32"/>
        </w:rPr>
        <w:t>年</w:t>
      </w:r>
      <w:r>
        <w:rPr>
          <w:rFonts w:eastAsia="仿宋_GB2312" w:cs="仿宋_GB2312" w:hint="eastAsia"/>
          <w:sz w:val="32"/>
          <w:szCs w:val="32"/>
        </w:rPr>
        <w:t>12</w:t>
      </w:r>
      <w:r>
        <w:rPr>
          <w:rFonts w:eastAsia="仿宋_GB2312" w:cs="仿宋_GB2312" w:hint="eastAsia"/>
          <w:sz w:val="32"/>
          <w:szCs w:val="32"/>
        </w:rPr>
        <w:t>月</w:t>
      </w:r>
      <w:r>
        <w:rPr>
          <w:rFonts w:eastAsia="仿宋_GB2312" w:cs="仿宋_GB2312" w:hint="eastAsia"/>
          <w:sz w:val="32"/>
          <w:szCs w:val="32"/>
        </w:rPr>
        <w:t>31</w:t>
      </w:r>
      <w:r>
        <w:rPr>
          <w:rFonts w:eastAsia="仿宋_GB2312" w:cs="仿宋_GB2312" w:hint="eastAsia"/>
          <w:sz w:val="32"/>
          <w:szCs w:val="32"/>
        </w:rPr>
        <w:t>日，</w:t>
      </w:r>
      <w:r>
        <w:rPr>
          <w:rFonts w:ascii="仿宋_GB2312" w:eastAsia="仿宋_GB2312" w:hAnsi="仿宋_GB2312" w:cs="仿宋_GB2312" w:hint="eastAsia"/>
          <w:sz w:val="32"/>
          <w:szCs w:val="32"/>
        </w:rPr>
        <w:t>攀枝花市国土整治中心</w:t>
      </w:r>
      <w:r>
        <w:rPr>
          <w:rFonts w:eastAsia="仿宋_GB2312" w:cs="仿宋_GB2312" w:hint="eastAsia"/>
          <w:sz w:val="32"/>
          <w:szCs w:val="32"/>
        </w:rPr>
        <w:t>共有车辆</w:t>
      </w:r>
      <w:r>
        <w:rPr>
          <w:rFonts w:ascii="仿宋_GB2312" w:eastAsia="仿宋_GB2312" w:hAnsi="仿宋_GB2312" w:cs="仿宋_GB2312" w:hint="eastAsia"/>
          <w:sz w:val="32"/>
          <w:szCs w:val="32"/>
        </w:rPr>
        <w:t>1</w:t>
      </w:r>
      <w:r>
        <w:rPr>
          <w:rFonts w:eastAsia="仿宋_GB2312" w:cs="仿宋_GB2312" w:hint="eastAsia"/>
          <w:sz w:val="32"/>
          <w:szCs w:val="32"/>
        </w:rPr>
        <w:t>辆，其中：副部（省）级及以上领导用车</w:t>
      </w:r>
      <w:r>
        <w:rPr>
          <w:rFonts w:ascii="仿宋_GB2312" w:eastAsia="仿宋_GB2312" w:hAnsi="仿宋_GB2312" w:cs="仿宋_GB2312" w:hint="eastAsia"/>
          <w:sz w:val="32"/>
          <w:szCs w:val="32"/>
        </w:rPr>
        <w:t>0</w:t>
      </w:r>
      <w:r>
        <w:rPr>
          <w:rFonts w:eastAsia="仿宋_GB2312" w:cs="仿宋_GB2312" w:hint="eastAsia"/>
          <w:sz w:val="32"/>
          <w:szCs w:val="32"/>
        </w:rPr>
        <w:t>辆、主要负责人用车</w:t>
      </w:r>
      <w:r>
        <w:rPr>
          <w:rFonts w:ascii="仿宋_GB2312" w:eastAsia="仿宋_GB2312" w:hAnsi="仿宋_GB2312" w:cs="仿宋_GB2312" w:hint="eastAsia"/>
          <w:sz w:val="32"/>
          <w:szCs w:val="32"/>
        </w:rPr>
        <w:t>0</w:t>
      </w:r>
      <w:r>
        <w:rPr>
          <w:rFonts w:eastAsia="仿宋_GB2312" w:cs="仿宋_GB2312" w:hint="eastAsia"/>
          <w:sz w:val="32"/>
          <w:szCs w:val="32"/>
        </w:rPr>
        <w:t>辆、机要通信用车</w:t>
      </w:r>
      <w:r>
        <w:rPr>
          <w:rFonts w:ascii="仿宋_GB2312" w:eastAsia="仿宋_GB2312" w:hAnsi="仿宋_GB2312" w:cs="仿宋_GB2312" w:hint="eastAsia"/>
          <w:sz w:val="32"/>
          <w:szCs w:val="32"/>
        </w:rPr>
        <w:t>0</w:t>
      </w:r>
      <w:r>
        <w:rPr>
          <w:rFonts w:eastAsia="仿宋_GB2312" w:cs="仿宋_GB2312" w:hint="eastAsia"/>
          <w:sz w:val="32"/>
          <w:szCs w:val="32"/>
        </w:rPr>
        <w:t>辆、应急保障用车</w:t>
      </w:r>
      <w:r>
        <w:rPr>
          <w:rFonts w:ascii="仿宋_GB2312" w:eastAsia="仿宋_GB2312" w:hAnsi="仿宋_GB2312" w:cs="仿宋_GB2312" w:hint="eastAsia"/>
          <w:sz w:val="32"/>
          <w:szCs w:val="32"/>
        </w:rPr>
        <w:t>0</w:t>
      </w:r>
      <w:r>
        <w:rPr>
          <w:rFonts w:eastAsia="仿宋_GB2312" w:cs="仿宋_GB2312" w:hint="eastAsia"/>
          <w:sz w:val="32"/>
          <w:szCs w:val="32"/>
        </w:rPr>
        <w:t>辆、执法执勤用车</w:t>
      </w:r>
      <w:r>
        <w:rPr>
          <w:rFonts w:ascii="仿宋_GB2312" w:eastAsia="仿宋_GB2312" w:hAnsi="仿宋_GB2312" w:cs="仿宋_GB2312" w:hint="eastAsia"/>
          <w:sz w:val="32"/>
          <w:szCs w:val="32"/>
        </w:rPr>
        <w:t>0</w:t>
      </w:r>
      <w:r>
        <w:rPr>
          <w:rFonts w:eastAsia="仿宋_GB2312" w:cs="仿宋_GB2312" w:hint="eastAsia"/>
          <w:sz w:val="32"/>
          <w:szCs w:val="32"/>
        </w:rPr>
        <w:t>辆、特种专业技术用车</w:t>
      </w:r>
      <w:r>
        <w:rPr>
          <w:rFonts w:ascii="仿宋_GB2312" w:eastAsia="仿宋_GB2312" w:hAnsi="仿宋_GB2312" w:cs="仿宋_GB2312" w:hint="eastAsia"/>
          <w:sz w:val="32"/>
          <w:szCs w:val="32"/>
        </w:rPr>
        <w:t>0</w:t>
      </w:r>
      <w:r>
        <w:rPr>
          <w:rFonts w:eastAsia="仿宋_GB2312" w:cs="仿宋_GB2312" w:hint="eastAsia"/>
          <w:sz w:val="32"/>
          <w:szCs w:val="32"/>
        </w:rPr>
        <w:t>辆、离退休干部服务用车</w:t>
      </w:r>
      <w:r>
        <w:rPr>
          <w:rFonts w:ascii="仿宋_GB2312" w:eastAsia="仿宋_GB2312" w:hAnsi="仿宋_GB2312" w:cs="仿宋_GB2312" w:hint="eastAsia"/>
          <w:sz w:val="32"/>
          <w:szCs w:val="32"/>
        </w:rPr>
        <w:t>0</w:t>
      </w:r>
      <w:r>
        <w:rPr>
          <w:rFonts w:eastAsia="仿宋_GB2312" w:cs="仿宋_GB2312" w:hint="eastAsia"/>
          <w:sz w:val="32"/>
          <w:szCs w:val="32"/>
        </w:rPr>
        <w:t>辆、其他用车</w:t>
      </w:r>
      <w:r>
        <w:rPr>
          <w:rFonts w:ascii="仿宋_GB2312" w:eastAsia="仿宋_GB2312" w:hAnsi="仿宋_GB2312" w:cs="仿宋_GB2312" w:hint="eastAsia"/>
          <w:sz w:val="32"/>
          <w:szCs w:val="32"/>
        </w:rPr>
        <w:t>1</w:t>
      </w:r>
      <w:r>
        <w:rPr>
          <w:rFonts w:eastAsia="仿宋_GB2312" w:cs="仿宋_GB2312" w:hint="eastAsia"/>
          <w:sz w:val="32"/>
          <w:szCs w:val="32"/>
        </w:rPr>
        <w:t>辆，其他用车主要是用于</w:t>
      </w:r>
      <w:r>
        <w:rPr>
          <w:rFonts w:ascii="仿宋_GB2312" w:eastAsia="仿宋_GB2312" w:hAnsi="仿宋_GB2312" w:cs="仿宋_GB2312" w:hint="eastAsia"/>
          <w:sz w:val="32"/>
          <w:szCs w:val="32"/>
        </w:rPr>
        <w:t>项目现场技术指导</w:t>
      </w:r>
      <w:r>
        <w:rPr>
          <w:rFonts w:eastAsia="仿宋_GB2312" w:cs="仿宋_GB2312" w:hint="eastAsia"/>
          <w:sz w:val="32"/>
          <w:szCs w:val="32"/>
        </w:rPr>
        <w:t>。单价</w:t>
      </w:r>
      <w:r>
        <w:rPr>
          <w:rFonts w:eastAsia="仿宋_GB2312" w:cs="仿宋_GB2312" w:hint="eastAsia"/>
          <w:sz w:val="32"/>
          <w:szCs w:val="32"/>
        </w:rPr>
        <w:t>100</w:t>
      </w:r>
      <w:r>
        <w:rPr>
          <w:rFonts w:eastAsia="仿宋_GB2312" w:cs="仿宋_GB2312" w:hint="eastAsia"/>
          <w:sz w:val="32"/>
          <w:szCs w:val="32"/>
        </w:rPr>
        <w:t>万元（含）以上设备（不含车辆）</w:t>
      </w:r>
      <w:r>
        <w:rPr>
          <w:rFonts w:ascii="仿宋_GB2312" w:eastAsia="仿宋_GB2312" w:hAnsi="仿宋_GB2312" w:cs="仿宋_GB2312" w:hint="eastAsia"/>
          <w:sz w:val="32"/>
          <w:szCs w:val="32"/>
        </w:rPr>
        <w:t>0</w:t>
      </w:r>
      <w:r>
        <w:rPr>
          <w:rFonts w:eastAsia="仿宋_GB2312" w:cs="仿宋_GB2312" w:hint="eastAsia"/>
          <w:sz w:val="32"/>
          <w:szCs w:val="32"/>
        </w:rPr>
        <w:t>台（套）。</w:t>
      </w:r>
    </w:p>
    <w:p w:rsidR="00916AAC" w:rsidRDefault="000303A4" w:rsidP="00B572ED">
      <w:pPr>
        <w:spacing w:line="600" w:lineRule="exact"/>
        <w:ind w:firstLineChars="200" w:firstLine="641"/>
        <w:outlineLvl w:val="2"/>
        <w:rPr>
          <w:rFonts w:eastAsia="楷体_GB2312" w:cs="楷体_GB2312"/>
          <w:b/>
          <w:sz w:val="32"/>
          <w:szCs w:val="32"/>
        </w:rPr>
      </w:pPr>
      <w:r>
        <w:rPr>
          <w:rFonts w:eastAsia="楷体_GB2312" w:cs="楷体_GB2312" w:hint="eastAsia"/>
          <w:b/>
          <w:sz w:val="32"/>
          <w:szCs w:val="32"/>
        </w:rPr>
        <w:t>（四）预算绩效管理情况</w:t>
      </w: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根据预算绩效管理要求，攀枝花市国土整治中心在</w:t>
      </w:r>
      <w:r>
        <w:rPr>
          <w:rFonts w:eastAsia="仿宋_GB2312" w:cs="仿宋_GB2312" w:hint="eastAsia"/>
          <w:sz w:val="32"/>
          <w:szCs w:val="32"/>
        </w:rPr>
        <w:t>2025</w:t>
      </w:r>
      <w:r>
        <w:rPr>
          <w:rFonts w:eastAsia="仿宋_GB2312" w:cs="仿宋_GB2312" w:hint="eastAsia"/>
          <w:sz w:val="32"/>
          <w:szCs w:val="32"/>
        </w:rPr>
        <w:t>年度无专项项目，未开展事前绩效评估、绩效目标编制、绩</w:t>
      </w:r>
      <w:r>
        <w:rPr>
          <w:rFonts w:eastAsia="仿宋_GB2312" w:cs="仿宋_GB2312" w:hint="eastAsia"/>
          <w:sz w:val="32"/>
          <w:szCs w:val="32"/>
        </w:rPr>
        <w:lastRenderedPageBreak/>
        <w:t>效监控，单位预算均为基本支出，不涉及绩效自评，无绩效自评报告。</w:t>
      </w:r>
    </w:p>
    <w:p w:rsidR="00916AAC" w:rsidRDefault="00916AAC">
      <w:pPr>
        <w:spacing w:line="600" w:lineRule="exact"/>
        <w:ind w:firstLine="640"/>
        <w:rPr>
          <w:rFonts w:eastAsia="仿宋_GB2312" w:cs="仿宋_GB2312"/>
          <w:sz w:val="32"/>
          <w:szCs w:val="32"/>
        </w:rPr>
      </w:pPr>
    </w:p>
    <w:p w:rsidR="00916AAC" w:rsidRDefault="000303A4">
      <w:pPr>
        <w:spacing w:line="600" w:lineRule="exact"/>
        <w:jc w:val="center"/>
        <w:outlineLvl w:val="0"/>
        <w:rPr>
          <w:rFonts w:eastAsia="黑体"/>
          <w:sz w:val="44"/>
          <w:szCs w:val="44"/>
        </w:rPr>
      </w:pPr>
      <w:bookmarkStart w:id="50" w:name="_Toc15377225"/>
      <w:bookmarkStart w:id="51" w:name="_Toc15396613"/>
      <w:r>
        <w:rPr>
          <w:rFonts w:eastAsia="黑体" w:hint="eastAsia"/>
          <w:sz w:val="44"/>
          <w:szCs w:val="44"/>
        </w:rPr>
        <w:t>第三部分</w:t>
      </w:r>
      <w:r>
        <w:rPr>
          <w:rFonts w:eastAsia="黑体" w:hint="eastAsia"/>
          <w:sz w:val="44"/>
          <w:szCs w:val="44"/>
        </w:rPr>
        <w:t xml:space="preserve">  </w:t>
      </w:r>
      <w:r>
        <w:rPr>
          <w:rFonts w:eastAsia="黑体" w:hint="eastAsia"/>
          <w:sz w:val="44"/>
          <w:szCs w:val="44"/>
        </w:rPr>
        <w:t>名词解释</w:t>
      </w:r>
      <w:bookmarkEnd w:id="50"/>
      <w:bookmarkEnd w:id="51"/>
    </w:p>
    <w:p w:rsidR="00916AAC" w:rsidRDefault="00916AAC">
      <w:pPr>
        <w:spacing w:line="600" w:lineRule="exact"/>
        <w:jc w:val="left"/>
        <w:rPr>
          <w:b/>
          <w:sz w:val="44"/>
          <w:szCs w:val="44"/>
        </w:rPr>
      </w:pPr>
    </w:p>
    <w:p w:rsidR="00916AAC" w:rsidRDefault="000303A4">
      <w:pPr>
        <w:spacing w:line="600" w:lineRule="exact"/>
        <w:ind w:firstLine="640"/>
        <w:rPr>
          <w:rFonts w:eastAsia="仿宋_GB2312" w:cs="仿宋_GB2312"/>
          <w:sz w:val="32"/>
          <w:szCs w:val="32"/>
        </w:rPr>
      </w:pPr>
      <w:r>
        <w:rPr>
          <w:rFonts w:eastAsia="仿宋_GB2312" w:cs="仿宋_GB2312" w:hint="eastAsia"/>
          <w:sz w:val="32"/>
          <w:szCs w:val="32"/>
        </w:rPr>
        <w:t>1.</w:t>
      </w:r>
      <w:r>
        <w:rPr>
          <w:rFonts w:eastAsia="仿宋_GB2312" w:cs="仿宋_GB2312" w:hint="eastAsia"/>
          <w:sz w:val="32"/>
          <w:szCs w:val="32"/>
        </w:rPr>
        <w:t>财政拨款收入：指单位从同级财政部门取得的财政预算资金。</w:t>
      </w:r>
    </w:p>
    <w:p w:rsidR="00916AAC" w:rsidRDefault="000303A4">
      <w:pPr>
        <w:ind w:firstLineChars="200" w:firstLine="640"/>
        <w:rPr>
          <w:rFonts w:eastAsia="仿宋_GB2312"/>
          <w:color w:val="000000"/>
          <w:sz w:val="32"/>
          <w:szCs w:val="32"/>
        </w:rPr>
      </w:pPr>
      <w:r>
        <w:rPr>
          <w:rFonts w:eastAsia="仿宋_GB2312"/>
          <w:color w:val="000000"/>
          <w:sz w:val="32"/>
          <w:szCs w:val="32"/>
        </w:rPr>
        <w:t>2.</w:t>
      </w:r>
      <w:r>
        <w:rPr>
          <w:rFonts w:eastAsia="仿宋_GB2312"/>
          <w:sz w:val="32"/>
          <w:szCs w:val="32"/>
        </w:rPr>
        <w:t xml:space="preserve"> </w:t>
      </w:r>
      <w:r>
        <w:rPr>
          <w:rFonts w:eastAsia="仿宋_GB2312"/>
          <w:sz w:val="32"/>
          <w:szCs w:val="32"/>
        </w:rPr>
        <w:t>社会保障和就业（类）行政事业单位养老支出（款）行政单位离退休（项）</w:t>
      </w:r>
      <w:r>
        <w:rPr>
          <w:rFonts w:eastAsia="仿宋_GB2312"/>
          <w:sz w:val="32"/>
          <w:szCs w:val="32"/>
        </w:rPr>
        <w:t>: </w:t>
      </w:r>
      <w:r>
        <w:rPr>
          <w:rFonts w:eastAsia="仿宋_GB2312"/>
          <w:sz w:val="32"/>
          <w:szCs w:val="32"/>
        </w:rPr>
        <w:t>指用于事业单位退休人员支出。</w:t>
      </w:r>
      <w:r>
        <w:rPr>
          <w:rFonts w:eastAsia="仿宋_GB2312"/>
          <w:sz w:val="32"/>
          <w:szCs w:val="32"/>
        </w:rPr>
        <w:br/>
        <w:t xml:space="preserve">    3.</w:t>
      </w:r>
      <w:r>
        <w:rPr>
          <w:rFonts w:eastAsia="仿宋_GB2312"/>
          <w:sz w:val="32"/>
          <w:szCs w:val="32"/>
        </w:rPr>
        <w:t>社会保障和就业（类）行政事业单位养老支出（款）机构事业单位基</w:t>
      </w:r>
      <w:r>
        <w:rPr>
          <w:rFonts w:eastAsia="仿宋_GB2312"/>
          <w:sz w:val="32"/>
          <w:szCs w:val="32"/>
        </w:rPr>
        <w:t>本养老保险缴费支出（项）</w:t>
      </w:r>
      <w:r>
        <w:rPr>
          <w:rFonts w:eastAsia="仿宋_GB2312"/>
          <w:sz w:val="32"/>
          <w:szCs w:val="32"/>
        </w:rPr>
        <w:t>: </w:t>
      </w:r>
      <w:r>
        <w:rPr>
          <w:rFonts w:eastAsia="仿宋_GB2312"/>
          <w:sz w:val="32"/>
          <w:szCs w:val="32"/>
        </w:rPr>
        <w:t>指用于事业单</w:t>
      </w:r>
      <w:r>
        <w:rPr>
          <w:rFonts w:eastAsia="仿宋_GB2312"/>
          <w:color w:val="000000"/>
          <w:sz w:val="32"/>
          <w:szCs w:val="32"/>
        </w:rPr>
        <w:t>位缴纳基本养老保险支出</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4</w:t>
      </w:r>
      <w:r>
        <w:rPr>
          <w:rFonts w:eastAsia="仿宋_GB2312"/>
          <w:color w:val="000000"/>
          <w:sz w:val="32"/>
          <w:szCs w:val="32"/>
        </w:rPr>
        <w:t>.</w:t>
      </w:r>
      <w:r>
        <w:rPr>
          <w:rFonts w:eastAsia="仿宋_GB2312"/>
          <w:color w:val="000000"/>
          <w:sz w:val="32"/>
          <w:szCs w:val="32"/>
        </w:rPr>
        <w:t>卫生健康（类）行政事业单位医疗（款）事业单位医疗（项）</w:t>
      </w:r>
      <w:r>
        <w:rPr>
          <w:rFonts w:eastAsia="仿宋_GB2312"/>
          <w:color w:val="000000"/>
          <w:sz w:val="32"/>
          <w:szCs w:val="32"/>
        </w:rPr>
        <w:t xml:space="preserve">: </w:t>
      </w:r>
      <w:r>
        <w:rPr>
          <w:rFonts w:eastAsia="仿宋_GB2312" w:hint="eastAsia"/>
          <w:color w:val="000000"/>
          <w:sz w:val="32"/>
          <w:szCs w:val="32"/>
        </w:rPr>
        <w:t>指财政部门安排的事业单位基本医疗保险缴费经费，未参加医疗保险的事业单位的公费医疗经费，按国家规定享受离休人员待遇的医疗经费。</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5</w:t>
      </w:r>
      <w:r>
        <w:rPr>
          <w:rFonts w:eastAsia="仿宋_GB2312"/>
          <w:color w:val="000000"/>
          <w:sz w:val="32"/>
          <w:szCs w:val="32"/>
        </w:rPr>
        <w:t xml:space="preserve">. </w:t>
      </w:r>
      <w:r>
        <w:rPr>
          <w:rFonts w:eastAsia="仿宋_GB2312"/>
          <w:color w:val="000000"/>
          <w:sz w:val="32"/>
          <w:szCs w:val="32"/>
        </w:rPr>
        <w:t>卫生健康（类）行政事业单位医疗（款）公务员医疗补助（项）</w:t>
      </w:r>
      <w:r>
        <w:rPr>
          <w:rFonts w:eastAsia="仿宋_GB2312"/>
          <w:color w:val="000000"/>
          <w:sz w:val="32"/>
          <w:szCs w:val="32"/>
        </w:rPr>
        <w:t xml:space="preserve">: </w:t>
      </w:r>
      <w:r>
        <w:rPr>
          <w:rFonts w:eastAsia="仿宋_GB2312" w:hint="eastAsia"/>
          <w:color w:val="000000"/>
          <w:sz w:val="32"/>
          <w:szCs w:val="32"/>
        </w:rPr>
        <w:t>指财政部门安排的公务员医疗补助经费。</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6</w:t>
      </w:r>
      <w:r>
        <w:rPr>
          <w:rFonts w:eastAsia="仿宋_GB2312"/>
          <w:color w:val="000000"/>
          <w:sz w:val="32"/>
          <w:szCs w:val="32"/>
        </w:rPr>
        <w:t xml:space="preserve">. </w:t>
      </w:r>
      <w:r>
        <w:rPr>
          <w:rFonts w:eastAsia="仿宋_GB2312"/>
          <w:color w:val="000000"/>
          <w:sz w:val="32"/>
          <w:szCs w:val="32"/>
        </w:rPr>
        <w:t>卫生健康（类）行政事业单位医疗（款）其他行政事业单位医疗（项）</w:t>
      </w:r>
      <w:r>
        <w:rPr>
          <w:rFonts w:eastAsia="仿宋_GB2312"/>
          <w:color w:val="000000"/>
          <w:sz w:val="32"/>
          <w:szCs w:val="32"/>
        </w:rPr>
        <w:t xml:space="preserve">: </w:t>
      </w:r>
      <w:r>
        <w:rPr>
          <w:rFonts w:eastAsia="仿宋_GB2312" w:hint="eastAsia"/>
          <w:color w:val="000000"/>
          <w:sz w:val="32"/>
          <w:szCs w:val="32"/>
        </w:rPr>
        <w:t>指政府对其他基本医疗保险基金的补助支出。</w:t>
      </w:r>
      <w:r>
        <w:rPr>
          <w:rFonts w:eastAsia="仿宋_GB2312"/>
          <w:color w:val="000000"/>
          <w:sz w:val="32"/>
          <w:szCs w:val="32"/>
        </w:rPr>
        <w:br/>
        <w:t xml:space="preserve">    </w:t>
      </w:r>
      <w:r>
        <w:rPr>
          <w:rFonts w:eastAsia="仿宋_GB2312" w:hint="eastAsia"/>
          <w:color w:val="000000"/>
          <w:sz w:val="32"/>
          <w:szCs w:val="32"/>
        </w:rPr>
        <w:t>7</w:t>
      </w:r>
      <w:r>
        <w:rPr>
          <w:rFonts w:eastAsia="仿宋_GB2312"/>
          <w:color w:val="000000"/>
          <w:sz w:val="32"/>
          <w:szCs w:val="32"/>
        </w:rPr>
        <w:t>.</w:t>
      </w:r>
      <w:r>
        <w:rPr>
          <w:rFonts w:eastAsia="仿宋_GB2312"/>
          <w:color w:val="000000"/>
          <w:sz w:val="32"/>
          <w:szCs w:val="32"/>
        </w:rPr>
        <w:t>自然资源海洋气象（类）自然资源事务（款）事业运</w:t>
      </w:r>
      <w:r>
        <w:rPr>
          <w:rFonts w:eastAsia="仿宋_GB2312"/>
          <w:color w:val="000000"/>
          <w:sz w:val="32"/>
          <w:szCs w:val="32"/>
        </w:rPr>
        <w:lastRenderedPageBreak/>
        <w:t>行（项）</w:t>
      </w:r>
      <w:r>
        <w:rPr>
          <w:rFonts w:eastAsia="仿宋_GB2312"/>
          <w:color w:val="000000"/>
          <w:sz w:val="32"/>
          <w:szCs w:val="32"/>
        </w:rPr>
        <w:t xml:space="preserve">: </w:t>
      </w:r>
      <w:r>
        <w:rPr>
          <w:rFonts w:eastAsia="仿宋_GB2312"/>
          <w:color w:val="000000"/>
          <w:sz w:val="32"/>
          <w:szCs w:val="32"/>
        </w:rPr>
        <w:t>指</w:t>
      </w:r>
      <w:r>
        <w:rPr>
          <w:rFonts w:eastAsia="仿宋_GB2312" w:hint="eastAsia"/>
          <w:color w:val="000000"/>
          <w:sz w:val="32"/>
          <w:szCs w:val="32"/>
        </w:rPr>
        <w:t>事业单位的基本支出，不包括行政单位（包括实行公务员管理的事业单位）后勤服务中心、医务室等附属事业单位</w:t>
      </w:r>
      <w:r>
        <w:rPr>
          <w:rFonts w:eastAsia="仿宋_GB2312"/>
          <w:color w:val="000000"/>
          <w:sz w:val="32"/>
          <w:szCs w:val="32"/>
        </w:rPr>
        <w:t>。</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8</w:t>
      </w:r>
      <w:r>
        <w:rPr>
          <w:rFonts w:eastAsia="仿宋_GB2312"/>
          <w:color w:val="000000"/>
          <w:sz w:val="32"/>
          <w:szCs w:val="32"/>
        </w:rPr>
        <w:t>.</w:t>
      </w:r>
      <w:r>
        <w:rPr>
          <w:rFonts w:eastAsia="仿宋_GB2312" w:hint="eastAsia"/>
          <w:color w:val="000000"/>
          <w:sz w:val="32"/>
          <w:szCs w:val="32"/>
        </w:rPr>
        <w:t>自然资源海洋气象等（类）自然资源事务（款）自然资源利用与保护（项）：指用于自然资源有偿使用与合理开发利用，国土空间生态修复，国土整治，耕地保护等方面的支出。</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9</w:t>
      </w:r>
      <w:r>
        <w:rPr>
          <w:rFonts w:eastAsia="仿宋_GB2312"/>
          <w:color w:val="000000"/>
          <w:sz w:val="32"/>
          <w:szCs w:val="32"/>
        </w:rPr>
        <w:t>.</w:t>
      </w:r>
      <w:r>
        <w:rPr>
          <w:rFonts w:eastAsia="仿宋_GB2312" w:hint="eastAsia"/>
          <w:color w:val="000000"/>
          <w:sz w:val="32"/>
          <w:szCs w:val="32"/>
        </w:rPr>
        <w:t>自然资源海洋气象等（类）自然资源事务（款）其他自然资源事务（项）：指其他用于自然资源事务方面的支出。</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10</w:t>
      </w:r>
      <w:r>
        <w:rPr>
          <w:rFonts w:eastAsia="仿宋_GB2312"/>
          <w:color w:val="000000"/>
          <w:sz w:val="32"/>
          <w:szCs w:val="32"/>
        </w:rPr>
        <w:t>.</w:t>
      </w:r>
      <w:r>
        <w:rPr>
          <w:rFonts w:eastAsia="仿宋_GB2312"/>
          <w:color w:val="000000"/>
          <w:sz w:val="32"/>
          <w:szCs w:val="32"/>
        </w:rPr>
        <w:t>住房保障支出（类）住房改革支出（款）住房公积金（项）：</w:t>
      </w:r>
      <w:r>
        <w:rPr>
          <w:rFonts w:eastAsia="仿宋_GB2312"/>
          <w:sz w:val="32"/>
          <w:szCs w:val="32"/>
        </w:rPr>
        <w:t>指行政事业单位</w:t>
      </w:r>
      <w:r>
        <w:rPr>
          <w:rFonts w:eastAsia="仿宋_GB2312" w:hint="eastAsia"/>
          <w:sz w:val="32"/>
          <w:szCs w:val="32"/>
        </w:rPr>
        <w:t>按人</w:t>
      </w:r>
      <w:r>
        <w:rPr>
          <w:rFonts w:eastAsia="仿宋_GB2312" w:hint="eastAsia"/>
          <w:sz w:val="32"/>
          <w:szCs w:val="32"/>
        </w:rPr>
        <w:t>力资源和社会保障部、财政部规定的基本工资和津贴补贴以及规定比例为职工缴纳的住房公积金</w:t>
      </w:r>
      <w:r>
        <w:rPr>
          <w:rFonts w:eastAsia="仿宋_GB2312"/>
          <w:sz w:val="32"/>
          <w:szCs w:val="32"/>
        </w:rPr>
        <w:t>。</w:t>
      </w:r>
      <w:r>
        <w:rPr>
          <w:rFonts w:eastAsia="仿宋_GB2312"/>
          <w:sz w:val="32"/>
          <w:szCs w:val="32"/>
        </w:rPr>
        <w:t> </w:t>
      </w:r>
      <w:r>
        <w:rPr>
          <w:rFonts w:eastAsia="仿宋_GB2312"/>
          <w:color w:val="000000"/>
          <w:sz w:val="32"/>
          <w:szCs w:val="32"/>
        </w:rPr>
        <w:t> </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11</w:t>
      </w:r>
      <w:r>
        <w:rPr>
          <w:rFonts w:eastAsia="仿宋_GB2312"/>
          <w:color w:val="000000"/>
          <w:sz w:val="32"/>
          <w:szCs w:val="32"/>
        </w:rPr>
        <w:t>.</w:t>
      </w:r>
      <w:r>
        <w:rPr>
          <w:rFonts w:eastAsia="仿宋_GB2312"/>
          <w:color w:val="000000"/>
          <w:sz w:val="32"/>
          <w:szCs w:val="32"/>
        </w:rPr>
        <w:t>基本支出：指为保障机构正常运转、完成日常工作任务而发生的人员支出和公用支出。</w:t>
      </w:r>
    </w:p>
    <w:p w:rsidR="00916AAC" w:rsidRDefault="000303A4">
      <w:pPr>
        <w:ind w:firstLineChars="200" w:firstLine="640"/>
        <w:rPr>
          <w:rFonts w:eastAsia="仿宋_GB2312"/>
          <w:color w:val="000000"/>
          <w:sz w:val="32"/>
          <w:szCs w:val="32"/>
        </w:rPr>
      </w:pPr>
      <w:r>
        <w:rPr>
          <w:rFonts w:eastAsia="仿宋_GB2312" w:hint="eastAsia"/>
          <w:color w:val="000000"/>
          <w:sz w:val="32"/>
          <w:szCs w:val="32"/>
        </w:rPr>
        <w:t>12</w:t>
      </w:r>
      <w:r>
        <w:rPr>
          <w:rFonts w:eastAsia="仿宋_GB2312"/>
          <w:color w:val="000000"/>
          <w:sz w:val="32"/>
          <w:szCs w:val="32"/>
        </w:rPr>
        <w:t>.</w:t>
      </w:r>
      <w:r>
        <w:rPr>
          <w:rFonts w:eastAsia="仿宋_GB2312"/>
          <w:color w:val="000000"/>
          <w:sz w:val="32"/>
          <w:szCs w:val="32"/>
        </w:rPr>
        <w:t>项目支出：指在基本支出之外为完成特定行政任务和事业发展目标所发生的支出。</w:t>
      </w:r>
      <w:r>
        <w:rPr>
          <w:rFonts w:eastAsia="仿宋_GB2312"/>
          <w:color w:val="000000"/>
          <w:sz w:val="32"/>
          <w:szCs w:val="32"/>
        </w:rPr>
        <w:t xml:space="preserve"> </w:t>
      </w:r>
    </w:p>
    <w:p w:rsidR="00916AAC" w:rsidRDefault="000303A4">
      <w:pPr>
        <w:pStyle w:val="Default"/>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13</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w:t>
      </w:r>
      <w:r>
        <w:rPr>
          <w:rFonts w:ascii="Times New Roman" w:eastAsia="仿宋_GB2312" w:hAnsi="Times New Roman" w:cs="Times New Roman"/>
          <w:sz w:val="32"/>
          <w:szCs w:val="32"/>
        </w:rPr>
        <w:t>（含车辆购</w:t>
      </w:r>
      <w:r>
        <w:rPr>
          <w:rFonts w:ascii="Times New Roman" w:eastAsia="仿宋_GB2312" w:hAnsi="Times New Roman" w:cs="Times New Roman"/>
          <w:sz w:val="32"/>
          <w:szCs w:val="32"/>
        </w:rPr>
        <w:lastRenderedPageBreak/>
        <w:t>置税）及租用费、燃料费、维修费、过路过桥费、保险费等支出；公务接待费反映单位按规定开支的各类公务接待（含外宾接待）支出。</w:t>
      </w:r>
    </w:p>
    <w:p w:rsidR="00916AAC" w:rsidRDefault="000303A4">
      <w:pPr>
        <w:spacing w:line="600" w:lineRule="exact"/>
        <w:ind w:firstLine="640"/>
        <w:rPr>
          <w:rFonts w:eastAsia="仿宋_GB2312"/>
          <w:sz w:val="32"/>
          <w:szCs w:val="32"/>
        </w:rPr>
      </w:pPr>
      <w:r>
        <w:rPr>
          <w:rFonts w:eastAsia="仿宋_GB2312"/>
          <w:sz w:val="32"/>
          <w:szCs w:val="32"/>
        </w:rPr>
        <w:t>1</w:t>
      </w:r>
      <w:r>
        <w:rPr>
          <w:rFonts w:eastAsia="仿宋_GB2312" w:hint="eastAsia"/>
          <w:sz w:val="32"/>
          <w:szCs w:val="32"/>
        </w:rPr>
        <w:t>4</w:t>
      </w:r>
      <w:r>
        <w:rPr>
          <w:rFonts w:eastAsia="仿宋_GB2312"/>
          <w:sz w:val="32"/>
          <w:szCs w:val="32"/>
        </w:rPr>
        <w:t xml:space="preserve">. </w:t>
      </w:r>
      <w:r>
        <w:rPr>
          <w:rFonts w:eastAsia="仿宋_GB2312"/>
          <w:sz w:val="32"/>
          <w:szCs w:val="32"/>
        </w:rPr>
        <w:t>机关运行经费：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916AAC" w:rsidRDefault="000303A4">
      <w:pPr>
        <w:spacing w:line="600" w:lineRule="exact"/>
        <w:jc w:val="center"/>
        <w:rPr>
          <w:rStyle w:val="1Char"/>
          <w:rFonts w:eastAsia="黑体"/>
          <w:b w:val="0"/>
        </w:rPr>
      </w:pPr>
      <w:bookmarkStart w:id="52" w:name="_Toc15377226"/>
      <w:r>
        <w:rPr>
          <w:rFonts w:eastAsia="仿宋_GB2312" w:cs="仿宋_GB2312" w:hint="eastAsia"/>
          <w:sz w:val="32"/>
          <w:szCs w:val="32"/>
        </w:rPr>
        <w:br w:type="page"/>
      </w:r>
      <w:bookmarkStart w:id="53" w:name="_Toc15396614"/>
      <w:r>
        <w:rPr>
          <w:rFonts w:eastAsia="黑体" w:hint="eastAsia"/>
          <w:sz w:val="44"/>
          <w:szCs w:val="44"/>
        </w:rPr>
        <w:lastRenderedPageBreak/>
        <w:t>第四部分</w:t>
      </w:r>
      <w:r>
        <w:rPr>
          <w:rFonts w:eastAsia="黑体" w:hint="eastAsia"/>
          <w:sz w:val="44"/>
          <w:szCs w:val="44"/>
        </w:rPr>
        <w:t xml:space="preserve">  </w:t>
      </w:r>
      <w:r>
        <w:rPr>
          <w:rFonts w:eastAsia="黑体" w:hint="eastAsia"/>
          <w:sz w:val="44"/>
          <w:szCs w:val="44"/>
        </w:rPr>
        <w:t>附件</w:t>
      </w:r>
      <w:bookmarkEnd w:id="53"/>
    </w:p>
    <w:p w:rsidR="00916AAC" w:rsidRDefault="00916AAC">
      <w:pPr>
        <w:spacing w:line="572" w:lineRule="exact"/>
        <w:jc w:val="left"/>
        <w:outlineLvl w:val="0"/>
        <w:rPr>
          <w:rFonts w:eastAsia="黑体" w:cs="黑体"/>
          <w:color w:val="FF0000"/>
          <w:sz w:val="32"/>
          <w:szCs w:val="32"/>
        </w:rPr>
      </w:pPr>
    </w:p>
    <w:p w:rsidR="00916AAC" w:rsidRDefault="000303A4">
      <w:pPr>
        <w:pStyle w:val="20"/>
        <w:spacing w:line="560" w:lineRule="exact"/>
        <w:ind w:leftChars="0" w:left="0" w:firstLineChars="0" w:firstLine="0"/>
        <w:jc w:val="center"/>
        <w:rPr>
          <w:rFonts w:ascii="Times New Roman" w:eastAsia="仿宋_GB2312"/>
          <w:sz w:val="32"/>
        </w:rPr>
      </w:pPr>
      <w:r>
        <w:rPr>
          <w:rFonts w:ascii="Times New Roman" w:eastAsia="仿宋_GB2312"/>
          <w:sz w:val="32"/>
        </w:rPr>
        <w:t>攀枝花市国土</w:t>
      </w:r>
      <w:r>
        <w:rPr>
          <w:rFonts w:ascii="Times New Roman" w:eastAsia="仿宋_GB2312" w:hint="eastAsia"/>
          <w:sz w:val="32"/>
        </w:rPr>
        <w:t>整治</w:t>
      </w:r>
      <w:bookmarkStart w:id="54" w:name="_GoBack"/>
      <w:bookmarkEnd w:id="54"/>
      <w:r>
        <w:rPr>
          <w:rFonts w:ascii="Times New Roman" w:eastAsia="仿宋_GB2312"/>
          <w:sz w:val="32"/>
        </w:rPr>
        <w:t>中心</w:t>
      </w:r>
      <w:r>
        <w:rPr>
          <w:rFonts w:ascii="Times New Roman" w:eastAsia="仿宋_GB2312"/>
          <w:sz w:val="32"/>
        </w:rPr>
        <w:t>部门预算项目支出绩效自评表（</w:t>
      </w:r>
      <w:r>
        <w:rPr>
          <w:rFonts w:ascii="Times New Roman" w:eastAsia="仿宋_GB2312"/>
          <w:sz w:val="32"/>
        </w:rPr>
        <w:t>202</w:t>
      </w:r>
      <w:r>
        <w:rPr>
          <w:rFonts w:ascii="Times New Roman" w:eastAsia="仿宋_GB2312"/>
          <w:sz w:val="32"/>
        </w:rPr>
        <w:t>5</w:t>
      </w:r>
      <w:r>
        <w:rPr>
          <w:rFonts w:ascii="Times New Roman" w:eastAsia="仿宋_GB2312"/>
          <w:sz w:val="32"/>
        </w:rPr>
        <w:t>年度）</w:t>
      </w:r>
      <w:r>
        <w:rPr>
          <w:rFonts w:ascii="Times New Roman" w:eastAsia="仿宋_GB2312" w:hint="eastAsia"/>
          <w:sz w:val="32"/>
        </w:rPr>
        <w:t>（</w:t>
      </w:r>
      <w:r>
        <w:rPr>
          <w:rFonts w:ascii="Times New Roman" w:eastAsia="仿宋_GB2312" w:hint="eastAsia"/>
          <w:sz w:val="32"/>
        </w:rPr>
        <w:t>此表无数据</w:t>
      </w:r>
      <w:r>
        <w:rPr>
          <w:rFonts w:ascii="Times New Roman" w:eastAsia="仿宋_GB2312" w:hint="eastAsia"/>
          <w:sz w:val="32"/>
        </w:rPr>
        <w:t>）</w:t>
      </w:r>
      <w:r>
        <w:rPr>
          <w:rFonts w:ascii="Times New Roman" w:eastAsia="仿宋_GB2312"/>
          <w:sz w:val="32"/>
        </w:rPr>
        <w:t xml:space="preserve"> </w:t>
      </w:r>
    </w:p>
    <w:p w:rsidR="00916AAC" w:rsidRDefault="00916AAC">
      <w:pPr>
        <w:widowControl/>
        <w:adjustRightInd w:val="0"/>
        <w:snapToGrid w:val="0"/>
        <w:spacing w:line="578" w:lineRule="exact"/>
        <w:ind w:firstLineChars="200" w:firstLine="480"/>
        <w:contextualSpacing/>
        <w:jc w:val="left"/>
        <w:rPr>
          <w:rFonts w:eastAsia="黑体"/>
          <w:color w:val="000000"/>
          <w:kern w:val="0"/>
          <w:sz w:val="24"/>
          <w:szCs w:val="32"/>
          <w:shd w:val="clear" w:color="auto" w:fill="FFFFFF"/>
        </w:rPr>
      </w:pPr>
    </w:p>
    <w:p w:rsidR="00916AAC" w:rsidRDefault="00916AAC">
      <w:pPr>
        <w:pStyle w:val="5"/>
        <w:rPr>
          <w:rFonts w:ascii="Times New Roman" w:hAnsi="Times New Roman"/>
          <w:color w:val="000000"/>
          <w:kern w:val="0"/>
          <w:szCs w:val="32"/>
          <w:shd w:val="clear" w:color="auto" w:fill="FFFFFF"/>
        </w:rPr>
      </w:pPr>
    </w:p>
    <w:p w:rsidR="00916AAC" w:rsidRDefault="00916AAC">
      <w:pPr>
        <w:rPr>
          <w:rFonts w:eastAsia="黑体"/>
          <w:color w:val="000000"/>
          <w:kern w:val="0"/>
          <w:sz w:val="24"/>
          <w:szCs w:val="32"/>
          <w:shd w:val="clear" w:color="auto" w:fill="FFFFFF"/>
        </w:rPr>
      </w:pPr>
    </w:p>
    <w:p w:rsidR="00916AAC" w:rsidRDefault="00916AAC">
      <w:pPr>
        <w:pStyle w:val="5"/>
        <w:rPr>
          <w:rFonts w:ascii="Times New Roman" w:hAnsi="Times New Roman"/>
          <w:color w:val="000000"/>
          <w:kern w:val="0"/>
          <w:szCs w:val="32"/>
          <w:shd w:val="clear" w:color="auto" w:fill="FFFFFF"/>
        </w:rPr>
      </w:pPr>
    </w:p>
    <w:p w:rsidR="00916AAC" w:rsidRDefault="00916AAC">
      <w:pPr>
        <w:rPr>
          <w:rFonts w:eastAsia="黑体"/>
          <w:color w:val="000000"/>
          <w:kern w:val="0"/>
          <w:sz w:val="24"/>
          <w:szCs w:val="32"/>
          <w:shd w:val="clear" w:color="auto" w:fill="FFFFFF"/>
        </w:rPr>
      </w:pPr>
    </w:p>
    <w:p w:rsidR="00916AAC" w:rsidRDefault="00916AAC">
      <w:pPr>
        <w:pStyle w:val="5"/>
        <w:rPr>
          <w:rFonts w:ascii="Times New Roman" w:hAnsi="Times New Roman"/>
          <w:color w:val="000000"/>
          <w:kern w:val="0"/>
          <w:szCs w:val="32"/>
          <w:shd w:val="clear" w:color="auto" w:fill="FFFFFF"/>
        </w:rPr>
      </w:pPr>
    </w:p>
    <w:p w:rsidR="00916AAC" w:rsidRDefault="00916AAC">
      <w:pPr>
        <w:rPr>
          <w:rFonts w:eastAsia="黑体"/>
          <w:color w:val="000000"/>
          <w:kern w:val="0"/>
          <w:sz w:val="24"/>
          <w:szCs w:val="32"/>
          <w:shd w:val="clear" w:color="auto" w:fill="FFFFFF"/>
        </w:rPr>
      </w:pPr>
    </w:p>
    <w:p w:rsidR="00916AAC" w:rsidRDefault="00916AAC">
      <w:pPr>
        <w:pStyle w:val="5"/>
        <w:rPr>
          <w:rFonts w:ascii="Times New Roman" w:hAnsi="Times New Roman"/>
          <w:color w:val="000000"/>
          <w:kern w:val="0"/>
          <w:szCs w:val="32"/>
          <w:shd w:val="clear" w:color="auto" w:fill="FFFFFF"/>
        </w:rPr>
      </w:pPr>
    </w:p>
    <w:p w:rsidR="00916AAC" w:rsidRDefault="00916AAC">
      <w:pPr>
        <w:rPr>
          <w:rFonts w:eastAsia="黑体"/>
          <w:color w:val="000000"/>
          <w:kern w:val="0"/>
          <w:sz w:val="24"/>
          <w:szCs w:val="32"/>
          <w:shd w:val="clear" w:color="auto" w:fill="FFFFFF"/>
        </w:rPr>
      </w:pPr>
    </w:p>
    <w:p w:rsidR="00916AAC" w:rsidRDefault="00916AAC">
      <w:pPr>
        <w:pStyle w:val="5"/>
        <w:rPr>
          <w:rFonts w:ascii="Times New Roman" w:hAnsi="Times New Roman"/>
          <w:color w:val="000000"/>
          <w:kern w:val="0"/>
          <w:szCs w:val="32"/>
          <w:shd w:val="clear" w:color="auto" w:fill="FFFFFF"/>
        </w:rPr>
      </w:pPr>
    </w:p>
    <w:p w:rsidR="00916AAC" w:rsidRDefault="00916AAC">
      <w:pPr>
        <w:rPr>
          <w:rFonts w:eastAsia="黑体"/>
          <w:color w:val="000000"/>
          <w:kern w:val="0"/>
          <w:sz w:val="24"/>
          <w:szCs w:val="32"/>
          <w:shd w:val="clear" w:color="auto" w:fill="FFFFFF"/>
        </w:rPr>
      </w:pPr>
    </w:p>
    <w:p w:rsidR="00916AAC" w:rsidRDefault="00916AAC">
      <w:pPr>
        <w:rPr>
          <w:rFonts w:eastAsia="黑体"/>
          <w:color w:val="000000"/>
          <w:kern w:val="0"/>
          <w:sz w:val="24"/>
          <w:szCs w:val="32"/>
          <w:shd w:val="clear" w:color="auto" w:fill="FFFFFF"/>
        </w:rPr>
      </w:pPr>
    </w:p>
    <w:p w:rsidR="00916AAC" w:rsidRDefault="00916AAC">
      <w:pPr>
        <w:pStyle w:val="5"/>
        <w:rPr>
          <w:rFonts w:ascii="Times New Roman" w:hAnsi="Times New Roman"/>
          <w:color w:val="000000"/>
          <w:kern w:val="0"/>
          <w:szCs w:val="32"/>
          <w:shd w:val="clear" w:color="auto" w:fill="FFFFFF"/>
        </w:rPr>
      </w:pPr>
    </w:p>
    <w:p w:rsidR="00916AAC" w:rsidRDefault="00916AAC"/>
    <w:p w:rsidR="00916AAC" w:rsidRDefault="00916AAC">
      <w:pPr>
        <w:widowControl/>
        <w:spacing w:line="578" w:lineRule="exact"/>
        <w:contextualSpacing/>
        <w:jc w:val="center"/>
        <w:rPr>
          <w:rFonts w:eastAsia="方正小标宋简体"/>
          <w:bCs/>
          <w:sz w:val="44"/>
          <w:szCs w:val="44"/>
          <w:shd w:val="clear" w:color="auto" w:fill="FFFFFF"/>
        </w:rPr>
      </w:pPr>
    </w:p>
    <w:p w:rsidR="00916AAC" w:rsidRDefault="00916AAC">
      <w:pPr>
        <w:spacing w:line="578" w:lineRule="exact"/>
        <w:ind w:firstLine="640"/>
        <w:rPr>
          <w:rFonts w:eastAsia="仿宋_GB2312" w:cs="仿宋_GB2312"/>
          <w:kern w:val="0"/>
          <w:sz w:val="32"/>
          <w:szCs w:val="32"/>
        </w:rPr>
      </w:pPr>
    </w:p>
    <w:p w:rsidR="00916AAC" w:rsidRDefault="00916AAC">
      <w:pPr>
        <w:spacing w:line="578" w:lineRule="exact"/>
        <w:ind w:firstLine="640"/>
        <w:rPr>
          <w:rFonts w:eastAsia="仿宋_GB2312" w:cs="仿宋_GB2312"/>
          <w:kern w:val="0"/>
          <w:sz w:val="32"/>
          <w:szCs w:val="32"/>
        </w:rPr>
      </w:pPr>
    </w:p>
    <w:p w:rsidR="00916AAC" w:rsidRDefault="000303A4">
      <w:pPr>
        <w:spacing w:line="578" w:lineRule="exact"/>
        <w:ind w:firstLine="640"/>
        <w:rPr>
          <w:rFonts w:eastAsia="仿宋_GB2312" w:cs="仿宋_GB2312"/>
          <w:kern w:val="0"/>
          <w:sz w:val="32"/>
          <w:szCs w:val="32"/>
        </w:rPr>
      </w:pPr>
      <w:bookmarkStart w:id="55" w:name="_Toc15396618"/>
      <w:r>
        <w:rPr>
          <w:rFonts w:eastAsia="仿宋_GB2312" w:cs="仿宋_GB2312" w:hint="eastAsia"/>
          <w:kern w:val="0"/>
          <w:sz w:val="32"/>
          <w:szCs w:val="32"/>
        </w:rPr>
        <w:br w:type="page"/>
      </w:r>
    </w:p>
    <w:p w:rsidR="00916AAC" w:rsidRDefault="000303A4">
      <w:pPr>
        <w:widowControl/>
        <w:jc w:val="center"/>
        <w:rPr>
          <w:rFonts w:eastAsia="仿宋"/>
        </w:rPr>
      </w:pPr>
      <w:r>
        <w:rPr>
          <w:rFonts w:eastAsia="黑体" w:hint="eastAsia"/>
          <w:sz w:val="44"/>
          <w:szCs w:val="44"/>
        </w:rPr>
        <w:lastRenderedPageBreak/>
        <w:t>第</w:t>
      </w:r>
      <w:r>
        <w:rPr>
          <w:rStyle w:val="1Char"/>
          <w:rFonts w:eastAsia="黑体" w:hint="eastAsia"/>
          <w:b w:val="0"/>
        </w:rPr>
        <w:t>五部分</w:t>
      </w:r>
      <w:r>
        <w:rPr>
          <w:rStyle w:val="1Char"/>
          <w:rFonts w:eastAsia="黑体" w:hint="eastAsia"/>
          <w:b w:val="0"/>
        </w:rPr>
        <w:t xml:space="preserve"> </w:t>
      </w:r>
      <w:r>
        <w:rPr>
          <w:rStyle w:val="1Char"/>
          <w:rFonts w:eastAsia="黑体" w:hint="eastAsia"/>
          <w:b w:val="0"/>
        </w:rPr>
        <w:t>附表</w:t>
      </w:r>
      <w:bookmarkStart w:id="56" w:name="_Toc15396619"/>
      <w:bookmarkEnd w:id="52"/>
      <w:bookmarkEnd w:id="55"/>
    </w:p>
    <w:p w:rsidR="00916AAC" w:rsidRDefault="00916AAC">
      <w:pPr>
        <w:pStyle w:val="21"/>
        <w:adjustRightInd w:val="0"/>
        <w:snapToGrid w:val="0"/>
        <w:spacing w:line="560" w:lineRule="exact"/>
        <w:jc w:val="left"/>
        <w:rPr>
          <w:rFonts w:eastAsia="仿宋_GB2312" w:cs="仿宋_GB2312"/>
          <w:sz w:val="32"/>
          <w:szCs w:val="32"/>
        </w:rPr>
      </w:pPr>
    </w:p>
    <w:p w:rsidR="00916AAC" w:rsidRDefault="000303A4">
      <w:pPr>
        <w:pStyle w:val="21"/>
        <w:adjustRightInd w:val="0"/>
        <w:snapToGrid w:val="0"/>
        <w:spacing w:line="560" w:lineRule="exact"/>
        <w:jc w:val="left"/>
        <w:rPr>
          <w:rFonts w:eastAsia="仿宋_GB2312" w:cs="仿宋_GB2312"/>
          <w:sz w:val="32"/>
          <w:szCs w:val="32"/>
        </w:rPr>
      </w:pPr>
      <w:r>
        <w:rPr>
          <w:rFonts w:eastAsia="仿宋_GB2312" w:cs="仿宋_GB2312" w:hint="eastAsia"/>
          <w:sz w:val="32"/>
          <w:szCs w:val="32"/>
        </w:rPr>
        <w:t>一、收入支出决算总表</w:t>
      </w:r>
      <w:bookmarkEnd w:id="56"/>
    </w:p>
    <w:p w:rsidR="00916AAC" w:rsidRDefault="000303A4">
      <w:pPr>
        <w:pStyle w:val="21"/>
        <w:adjustRightInd w:val="0"/>
        <w:snapToGrid w:val="0"/>
        <w:spacing w:line="560" w:lineRule="exact"/>
        <w:jc w:val="left"/>
        <w:rPr>
          <w:rFonts w:eastAsia="仿宋_GB2312" w:cs="仿宋_GB2312"/>
          <w:sz w:val="32"/>
          <w:szCs w:val="32"/>
        </w:rPr>
      </w:pPr>
      <w:bookmarkStart w:id="57" w:name="_Toc15396620"/>
      <w:r>
        <w:rPr>
          <w:rFonts w:eastAsia="仿宋_GB2312" w:cs="仿宋_GB2312" w:hint="eastAsia"/>
          <w:sz w:val="32"/>
          <w:szCs w:val="32"/>
        </w:rPr>
        <w:t>二、收入决算表</w:t>
      </w:r>
      <w:bookmarkEnd w:id="57"/>
    </w:p>
    <w:p w:rsidR="00916AAC" w:rsidRDefault="000303A4">
      <w:pPr>
        <w:pStyle w:val="21"/>
        <w:adjustRightInd w:val="0"/>
        <w:snapToGrid w:val="0"/>
        <w:spacing w:line="560" w:lineRule="exact"/>
        <w:jc w:val="left"/>
        <w:rPr>
          <w:rFonts w:eastAsia="仿宋_GB2312" w:cs="仿宋_GB2312"/>
          <w:sz w:val="32"/>
          <w:szCs w:val="32"/>
        </w:rPr>
      </w:pPr>
      <w:bookmarkStart w:id="58" w:name="_Toc15396621"/>
      <w:r>
        <w:rPr>
          <w:rFonts w:eastAsia="仿宋_GB2312" w:cs="仿宋_GB2312" w:hint="eastAsia"/>
          <w:sz w:val="32"/>
          <w:szCs w:val="32"/>
        </w:rPr>
        <w:t>三、支出决算表</w:t>
      </w:r>
      <w:bookmarkEnd w:id="58"/>
    </w:p>
    <w:p w:rsidR="00916AAC" w:rsidRDefault="000303A4">
      <w:pPr>
        <w:pStyle w:val="21"/>
        <w:adjustRightInd w:val="0"/>
        <w:snapToGrid w:val="0"/>
        <w:spacing w:line="560" w:lineRule="exact"/>
        <w:jc w:val="left"/>
        <w:rPr>
          <w:rFonts w:eastAsia="仿宋_GB2312" w:cs="仿宋_GB2312"/>
          <w:sz w:val="32"/>
          <w:szCs w:val="32"/>
        </w:rPr>
      </w:pPr>
      <w:bookmarkStart w:id="59" w:name="_Toc15396622"/>
      <w:r>
        <w:rPr>
          <w:rFonts w:eastAsia="仿宋_GB2312" w:cs="仿宋_GB2312" w:hint="eastAsia"/>
          <w:sz w:val="32"/>
          <w:szCs w:val="32"/>
        </w:rPr>
        <w:t>四、财政拨款收入支出决算总表</w:t>
      </w:r>
      <w:bookmarkEnd w:id="59"/>
    </w:p>
    <w:p w:rsidR="00916AAC" w:rsidRDefault="000303A4">
      <w:pPr>
        <w:pStyle w:val="21"/>
        <w:adjustRightInd w:val="0"/>
        <w:snapToGrid w:val="0"/>
        <w:spacing w:line="560" w:lineRule="exact"/>
        <w:jc w:val="left"/>
        <w:rPr>
          <w:rFonts w:eastAsia="仿宋_GB2312" w:cs="仿宋_GB2312"/>
          <w:sz w:val="32"/>
          <w:szCs w:val="32"/>
        </w:rPr>
      </w:pPr>
      <w:bookmarkStart w:id="60" w:name="_Toc15396623"/>
      <w:r>
        <w:rPr>
          <w:rFonts w:eastAsia="仿宋_GB2312" w:cs="仿宋_GB2312" w:hint="eastAsia"/>
          <w:sz w:val="32"/>
          <w:szCs w:val="32"/>
        </w:rPr>
        <w:t>五、财政拨款支出决算明细表</w:t>
      </w:r>
      <w:bookmarkStart w:id="61" w:name="_Toc15396624"/>
      <w:bookmarkEnd w:id="60"/>
    </w:p>
    <w:p w:rsidR="00916AAC" w:rsidRDefault="000303A4">
      <w:pPr>
        <w:pStyle w:val="21"/>
        <w:adjustRightInd w:val="0"/>
        <w:snapToGrid w:val="0"/>
        <w:spacing w:line="560" w:lineRule="exact"/>
        <w:jc w:val="left"/>
        <w:rPr>
          <w:rFonts w:eastAsia="仿宋_GB2312" w:cs="仿宋_GB2312"/>
          <w:sz w:val="32"/>
          <w:szCs w:val="32"/>
        </w:rPr>
      </w:pPr>
      <w:r>
        <w:rPr>
          <w:rFonts w:eastAsia="仿宋_GB2312" w:cs="仿宋_GB2312" w:hint="eastAsia"/>
          <w:sz w:val="32"/>
          <w:szCs w:val="32"/>
        </w:rPr>
        <w:t>六、一般公共预算财政拨款支出决算表</w:t>
      </w:r>
      <w:bookmarkEnd w:id="61"/>
    </w:p>
    <w:p w:rsidR="00916AAC" w:rsidRDefault="000303A4">
      <w:pPr>
        <w:pStyle w:val="21"/>
        <w:adjustRightInd w:val="0"/>
        <w:snapToGrid w:val="0"/>
        <w:spacing w:line="560" w:lineRule="exact"/>
        <w:jc w:val="left"/>
        <w:rPr>
          <w:rFonts w:eastAsia="仿宋_GB2312" w:cs="仿宋_GB2312"/>
          <w:sz w:val="32"/>
          <w:szCs w:val="32"/>
        </w:rPr>
      </w:pPr>
      <w:bookmarkStart w:id="62" w:name="_Toc15396625"/>
      <w:r>
        <w:rPr>
          <w:rFonts w:eastAsia="仿宋_GB2312" w:cs="仿宋_GB2312" w:hint="eastAsia"/>
          <w:sz w:val="32"/>
          <w:szCs w:val="32"/>
        </w:rPr>
        <w:t>七、一般公共预算财政拨款支出决算明细表</w:t>
      </w:r>
      <w:bookmarkEnd w:id="62"/>
    </w:p>
    <w:p w:rsidR="00916AAC" w:rsidRDefault="000303A4">
      <w:pPr>
        <w:pStyle w:val="21"/>
        <w:adjustRightInd w:val="0"/>
        <w:snapToGrid w:val="0"/>
        <w:spacing w:line="560" w:lineRule="exact"/>
        <w:jc w:val="left"/>
        <w:rPr>
          <w:rFonts w:eastAsia="仿宋_GB2312" w:cs="仿宋_GB2312"/>
          <w:sz w:val="32"/>
          <w:szCs w:val="32"/>
        </w:rPr>
      </w:pPr>
      <w:bookmarkStart w:id="63" w:name="_Toc15396626"/>
      <w:r>
        <w:rPr>
          <w:rFonts w:eastAsia="仿宋_GB2312" w:cs="仿宋_GB2312" w:hint="eastAsia"/>
          <w:sz w:val="32"/>
          <w:szCs w:val="32"/>
        </w:rPr>
        <w:t>八、</w:t>
      </w:r>
      <w:bookmarkEnd w:id="63"/>
      <w:r>
        <w:rPr>
          <w:rFonts w:eastAsia="仿宋_GB2312" w:cs="仿宋_GB2312" w:hint="eastAsia"/>
          <w:sz w:val="32"/>
          <w:szCs w:val="32"/>
        </w:rPr>
        <w:t>一般公共预算财政拨款基本支出决算明细表</w:t>
      </w:r>
    </w:p>
    <w:p w:rsidR="00916AAC" w:rsidRDefault="000303A4">
      <w:pPr>
        <w:pStyle w:val="21"/>
        <w:adjustRightInd w:val="0"/>
        <w:snapToGrid w:val="0"/>
        <w:spacing w:line="560" w:lineRule="exact"/>
        <w:jc w:val="left"/>
        <w:rPr>
          <w:rFonts w:eastAsia="仿宋_GB2312" w:cs="仿宋_GB2312"/>
          <w:sz w:val="32"/>
          <w:szCs w:val="32"/>
        </w:rPr>
      </w:pPr>
      <w:bookmarkStart w:id="64" w:name="_Toc15396627"/>
      <w:r>
        <w:rPr>
          <w:rFonts w:eastAsia="仿宋_GB2312" w:cs="仿宋_GB2312" w:hint="eastAsia"/>
          <w:sz w:val="32"/>
          <w:szCs w:val="32"/>
        </w:rPr>
        <w:t>九、一般公共预算财政拨款项目支出决算表</w:t>
      </w:r>
      <w:bookmarkEnd w:id="64"/>
    </w:p>
    <w:p w:rsidR="00916AAC" w:rsidRDefault="000303A4">
      <w:pPr>
        <w:pStyle w:val="21"/>
        <w:adjustRightInd w:val="0"/>
        <w:snapToGrid w:val="0"/>
        <w:spacing w:line="560" w:lineRule="exact"/>
        <w:jc w:val="left"/>
        <w:rPr>
          <w:rFonts w:eastAsia="仿宋_GB2312" w:cs="仿宋_GB2312"/>
          <w:sz w:val="32"/>
          <w:szCs w:val="32"/>
        </w:rPr>
      </w:pPr>
      <w:bookmarkStart w:id="65" w:name="_Toc15396628"/>
      <w:r>
        <w:rPr>
          <w:rFonts w:eastAsia="仿宋_GB2312" w:cs="仿宋_GB2312" w:hint="eastAsia"/>
          <w:sz w:val="32"/>
          <w:szCs w:val="32"/>
        </w:rPr>
        <w:t>十、</w:t>
      </w:r>
      <w:bookmarkEnd w:id="65"/>
      <w:r>
        <w:rPr>
          <w:rFonts w:eastAsia="仿宋_GB2312" w:cs="仿宋_GB2312" w:hint="eastAsia"/>
          <w:sz w:val="32"/>
          <w:szCs w:val="32"/>
        </w:rPr>
        <w:t>政府性基金预算财政拨款收入支出决算表</w:t>
      </w:r>
    </w:p>
    <w:p w:rsidR="00916AAC" w:rsidRDefault="000303A4">
      <w:pPr>
        <w:pStyle w:val="21"/>
        <w:adjustRightInd w:val="0"/>
        <w:snapToGrid w:val="0"/>
        <w:spacing w:line="560" w:lineRule="exact"/>
        <w:jc w:val="left"/>
        <w:rPr>
          <w:rFonts w:eastAsia="仿宋_GB2312" w:cs="仿宋_GB2312"/>
          <w:sz w:val="32"/>
          <w:szCs w:val="32"/>
        </w:rPr>
      </w:pPr>
      <w:bookmarkStart w:id="66" w:name="_Toc15396629"/>
      <w:r>
        <w:rPr>
          <w:rFonts w:eastAsia="仿宋_GB2312" w:cs="仿宋_GB2312" w:hint="eastAsia"/>
          <w:sz w:val="32"/>
          <w:szCs w:val="32"/>
        </w:rPr>
        <w:t>十一、</w:t>
      </w:r>
      <w:bookmarkEnd w:id="66"/>
      <w:r>
        <w:rPr>
          <w:rFonts w:eastAsia="仿宋_GB2312" w:cs="仿宋_GB2312" w:hint="eastAsia"/>
          <w:sz w:val="32"/>
          <w:szCs w:val="32"/>
        </w:rPr>
        <w:t>国有资本经营预算财政拨款收入支出决算表</w:t>
      </w:r>
    </w:p>
    <w:p w:rsidR="00916AAC" w:rsidRDefault="000303A4">
      <w:pPr>
        <w:pStyle w:val="21"/>
        <w:adjustRightInd w:val="0"/>
        <w:snapToGrid w:val="0"/>
        <w:spacing w:line="560" w:lineRule="exact"/>
        <w:jc w:val="left"/>
        <w:rPr>
          <w:rFonts w:eastAsia="仿宋_GB2312" w:cs="仿宋_GB2312"/>
          <w:sz w:val="32"/>
          <w:szCs w:val="32"/>
        </w:rPr>
      </w:pPr>
      <w:bookmarkStart w:id="67" w:name="_Toc15396630"/>
      <w:r>
        <w:rPr>
          <w:rFonts w:eastAsia="仿宋_GB2312" w:cs="仿宋_GB2312" w:hint="eastAsia"/>
          <w:sz w:val="32"/>
          <w:szCs w:val="32"/>
        </w:rPr>
        <w:t>十二、</w:t>
      </w:r>
      <w:bookmarkEnd w:id="67"/>
      <w:r>
        <w:rPr>
          <w:rFonts w:eastAsia="仿宋_GB2312" w:cs="仿宋_GB2312" w:hint="eastAsia"/>
          <w:sz w:val="32"/>
          <w:szCs w:val="32"/>
        </w:rPr>
        <w:t>国有资本经营预算财政拨款支出决算表</w:t>
      </w:r>
    </w:p>
    <w:p w:rsidR="00916AAC" w:rsidRDefault="000303A4">
      <w:pPr>
        <w:pStyle w:val="21"/>
        <w:adjustRightInd w:val="0"/>
        <w:snapToGrid w:val="0"/>
        <w:spacing w:line="560" w:lineRule="exact"/>
        <w:jc w:val="left"/>
        <w:rPr>
          <w:rFonts w:eastAsia="仿宋_GB2312" w:cs="仿宋_GB2312"/>
          <w:sz w:val="32"/>
          <w:szCs w:val="32"/>
        </w:rPr>
      </w:pPr>
      <w:bookmarkStart w:id="68" w:name="_Toc15396631"/>
      <w:r>
        <w:rPr>
          <w:rFonts w:eastAsia="仿宋_GB2312" w:cs="仿宋_GB2312" w:hint="eastAsia"/>
          <w:sz w:val="32"/>
          <w:szCs w:val="32"/>
        </w:rPr>
        <w:t>十三、</w:t>
      </w:r>
      <w:bookmarkEnd w:id="68"/>
      <w:r>
        <w:rPr>
          <w:rFonts w:eastAsia="仿宋_GB2312" w:cs="仿宋_GB2312" w:hint="eastAsia"/>
          <w:sz w:val="32"/>
          <w:szCs w:val="32"/>
        </w:rPr>
        <w:t>财政拨款“三公”经费支出决算表</w:t>
      </w:r>
    </w:p>
    <w:p w:rsidR="00916AAC" w:rsidRDefault="00916AAC"/>
    <w:sectPr w:rsidR="00916AAC" w:rsidSect="00916AAC">
      <w:footerReference w:type="default" r:id="rId23"/>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3A4" w:rsidRDefault="000303A4" w:rsidP="00916AAC">
      <w:r>
        <w:separator/>
      </w:r>
    </w:p>
  </w:endnote>
  <w:endnote w:type="continuationSeparator" w:id="0">
    <w:p w:rsidR="000303A4" w:rsidRDefault="000303A4" w:rsidP="00916A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
    <w:altName w:val="Segoe Print"/>
    <w:charset w:val="00"/>
    <w:family w:val="roman"/>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6"/>
      <w:jc w:val="center"/>
    </w:pPr>
  </w:p>
  <w:p w:rsidR="00916AAC" w:rsidRDefault="00916AAC">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6"/>
      <w:jc w:val="center"/>
    </w:pPr>
  </w:p>
  <w:p w:rsidR="00916AAC" w:rsidRDefault="00916AAC">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6"/>
    </w:pPr>
    <w:r>
      <w:pict>
        <v:shapetype id="_x0000_t202" coordsize="21600,21600" o:spt="202" path="m,l,21600r21600,l21600,xe">
          <v:stroke joinstyle="miter"/>
          <v:path gradientshapeok="t" o:connecttype="rect"/>
        </v:shapetype>
        <v:shape id="_x0000_s2050" type="#_x0000_t202" style="position:absolute;margin-left:0;margin-top:0;width:2in;height:2in;z-index:251662336;mso-wrap-style:none;mso-position-horizontal:center;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filled="f" stroked="f" strokeweight=".5pt">
          <v:textbox style="mso-fit-shape-to-text:t" inset="0,0,0,0">
            <w:txbxContent>
              <w:p w:rsidR="00916AAC" w:rsidRDefault="00916AAC">
                <w:pPr>
                  <w:pStyle w:val="a6"/>
                </w:pPr>
                <w:r>
                  <w:rPr>
                    <w:rFonts w:hint="eastAsia"/>
                  </w:rPr>
                  <w:fldChar w:fldCharType="begin"/>
                </w:r>
                <w:r w:rsidR="000303A4">
                  <w:rPr>
                    <w:rFonts w:hint="eastAsia"/>
                  </w:rPr>
                  <w:instrText xml:space="preserve"> PAGE  \* MERGEFORMAT </w:instrText>
                </w:r>
                <w:r>
                  <w:rPr>
                    <w:rFonts w:hint="eastAsia"/>
                  </w:rPr>
                  <w:fldChar w:fldCharType="separate"/>
                </w:r>
                <w:r w:rsidR="000303A4">
                  <w:rPr>
                    <w:rFonts w:hint="eastAsia"/>
                  </w:rPr>
                  <w:t>- 1 -</w:t>
                </w:r>
                <w:r>
                  <w:rPr>
                    <w:rFonts w:hint="eastAsia"/>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6"/>
      <w:jc w:val="center"/>
    </w:pPr>
    <w:r>
      <w:pict>
        <v:shapetype id="_x0000_t202" coordsize="21600,21600" o:spt="202" path="m,l,21600r21600,l21600,xe">
          <v:stroke joinstyle="miter"/>
          <v:path gradientshapeok="t" o:connecttype="rect"/>
        </v:shapetype>
        <v:shape id="_x0000_s2049" type="#_x0000_t202" style="position:absolute;left:0;text-align:left;margin-left:104pt;margin-top:0;width:2in;height:2in;z-index:251663360;mso-wrap-style:none;mso-position-horizontal:right;mso-position-horizontal-relative:margin"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filled="f" stroked="f" strokeweight=".5pt">
          <v:textbox style="mso-fit-shape-to-text:t" inset="0,0,0,0">
            <w:txbxContent>
              <w:p w:rsidR="00916AAC" w:rsidRDefault="00916AAC">
                <w:pPr>
                  <w:pStyle w:val="a6"/>
                </w:pPr>
                <w:r>
                  <w:fldChar w:fldCharType="begin"/>
                </w:r>
                <w:r w:rsidR="000303A4">
                  <w:instrText xml:space="preserve"> PAGE  \* MERGEFORMAT </w:instrText>
                </w:r>
                <w:r>
                  <w:fldChar w:fldCharType="separate"/>
                </w:r>
                <w:r w:rsidR="00B572ED">
                  <w:rPr>
                    <w:noProof/>
                  </w:rPr>
                  <w:t>1</w:t>
                </w:r>
                <w:r>
                  <w:fldChar w:fldCharType="end"/>
                </w:r>
              </w:p>
            </w:txbxContent>
          </v:textbox>
          <w10:wrap anchorx="margin"/>
        </v:shape>
      </w:pict>
    </w:r>
  </w:p>
  <w:p w:rsidR="00916AAC" w:rsidRDefault="00916AA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3A4" w:rsidRDefault="000303A4" w:rsidP="00916AAC">
      <w:r>
        <w:separator/>
      </w:r>
    </w:p>
  </w:footnote>
  <w:footnote w:type="continuationSeparator" w:id="0">
    <w:p w:rsidR="000303A4" w:rsidRDefault="000303A4" w:rsidP="00916A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7"/>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AAC" w:rsidRDefault="00916AAC">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F1361C"/>
    <w:rsid w:val="99FF2014"/>
    <w:rsid w:val="9F874995"/>
    <w:rsid w:val="A6DD0D7F"/>
    <w:rsid w:val="ADC6F725"/>
    <w:rsid w:val="B7CF06AB"/>
    <w:rsid w:val="B7CFA926"/>
    <w:rsid w:val="B7F8786B"/>
    <w:rsid w:val="BABB6AA1"/>
    <w:rsid w:val="BB2F4199"/>
    <w:rsid w:val="BD079C78"/>
    <w:rsid w:val="BD733540"/>
    <w:rsid w:val="BE6F954C"/>
    <w:rsid w:val="BF3735D5"/>
    <w:rsid w:val="BF7F09AC"/>
    <w:rsid w:val="BFD475C3"/>
    <w:rsid w:val="BFDE5EA6"/>
    <w:rsid w:val="CBE7570A"/>
    <w:rsid w:val="CF6FC6F3"/>
    <w:rsid w:val="CF8B5BC8"/>
    <w:rsid w:val="CFD3D3D7"/>
    <w:rsid w:val="CFDF1009"/>
    <w:rsid w:val="D7D7B16A"/>
    <w:rsid w:val="D8D6DB89"/>
    <w:rsid w:val="DB6F4CAB"/>
    <w:rsid w:val="DB777682"/>
    <w:rsid w:val="DD1FB521"/>
    <w:rsid w:val="DEEEA457"/>
    <w:rsid w:val="DEFBFEAE"/>
    <w:rsid w:val="DF1F3B80"/>
    <w:rsid w:val="DF6F9789"/>
    <w:rsid w:val="DFFFA9E8"/>
    <w:rsid w:val="E5F4E9DC"/>
    <w:rsid w:val="E70FE695"/>
    <w:rsid w:val="ECFED1BC"/>
    <w:rsid w:val="ED1D69BB"/>
    <w:rsid w:val="ED7790D8"/>
    <w:rsid w:val="ED7FD312"/>
    <w:rsid w:val="EEBF2ECF"/>
    <w:rsid w:val="EF53993F"/>
    <w:rsid w:val="EF6FD633"/>
    <w:rsid w:val="EF9F86A0"/>
    <w:rsid w:val="EFBFB2F4"/>
    <w:rsid w:val="EFBFFA21"/>
    <w:rsid w:val="EFD75162"/>
    <w:rsid w:val="F2BEBCB8"/>
    <w:rsid w:val="F36FB518"/>
    <w:rsid w:val="F3DE1A04"/>
    <w:rsid w:val="F3F722E5"/>
    <w:rsid w:val="F7DFA190"/>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 w:val="000222C6"/>
    <w:rsid w:val="0002549F"/>
    <w:rsid w:val="000303A4"/>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28B8"/>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16AAC"/>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A253C"/>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458BA"/>
    <w:rsid w:val="00B53C56"/>
    <w:rsid w:val="00B572ED"/>
    <w:rsid w:val="00B57DAF"/>
    <w:rsid w:val="00B75B7C"/>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5E0673"/>
    <w:rsid w:val="16BB723D"/>
    <w:rsid w:val="16F13FCB"/>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81408E2"/>
    <w:rsid w:val="29032A62"/>
    <w:rsid w:val="29FD04D3"/>
    <w:rsid w:val="2BFF7BC6"/>
    <w:rsid w:val="2C8A61B5"/>
    <w:rsid w:val="2D2E01CF"/>
    <w:rsid w:val="2DF04E50"/>
    <w:rsid w:val="2E9545B0"/>
    <w:rsid w:val="2F040D46"/>
    <w:rsid w:val="2FAE5751"/>
    <w:rsid w:val="2FB1A395"/>
    <w:rsid w:val="2FD9A7D8"/>
    <w:rsid w:val="319F7F4E"/>
    <w:rsid w:val="321B2544"/>
    <w:rsid w:val="3304709D"/>
    <w:rsid w:val="34281836"/>
    <w:rsid w:val="349D6851"/>
    <w:rsid w:val="35BA6CAF"/>
    <w:rsid w:val="35D37231"/>
    <w:rsid w:val="364D14C1"/>
    <w:rsid w:val="36AA5135"/>
    <w:rsid w:val="36BE0DA7"/>
    <w:rsid w:val="376B6AA6"/>
    <w:rsid w:val="376D39B2"/>
    <w:rsid w:val="37E16F03"/>
    <w:rsid w:val="37F53A3B"/>
    <w:rsid w:val="389B6C89"/>
    <w:rsid w:val="38D469F0"/>
    <w:rsid w:val="39627CCD"/>
    <w:rsid w:val="397BAF1F"/>
    <w:rsid w:val="3AB79AF3"/>
    <w:rsid w:val="3B7EF35A"/>
    <w:rsid w:val="3B9FDB6C"/>
    <w:rsid w:val="3BF5BC2F"/>
    <w:rsid w:val="3BFB0C14"/>
    <w:rsid w:val="3CEBA265"/>
    <w:rsid w:val="3D98207C"/>
    <w:rsid w:val="3D9B0D99"/>
    <w:rsid w:val="3DEE7CF3"/>
    <w:rsid w:val="3DF02244"/>
    <w:rsid w:val="3E78745D"/>
    <w:rsid w:val="3F2D7459"/>
    <w:rsid w:val="3FB6B689"/>
    <w:rsid w:val="3FC5224E"/>
    <w:rsid w:val="3FF4CAE0"/>
    <w:rsid w:val="3FF7B227"/>
    <w:rsid w:val="40E54C45"/>
    <w:rsid w:val="41313393"/>
    <w:rsid w:val="43A407DF"/>
    <w:rsid w:val="44515BEA"/>
    <w:rsid w:val="44E268DA"/>
    <w:rsid w:val="453F7E5B"/>
    <w:rsid w:val="486A6C7A"/>
    <w:rsid w:val="49176D9B"/>
    <w:rsid w:val="494006BD"/>
    <w:rsid w:val="4A627F82"/>
    <w:rsid w:val="4B0E749A"/>
    <w:rsid w:val="4B4F25DA"/>
    <w:rsid w:val="4BDA0CFB"/>
    <w:rsid w:val="4BE068DB"/>
    <w:rsid w:val="4D3C0CCC"/>
    <w:rsid w:val="4D577224"/>
    <w:rsid w:val="4DBF1CEB"/>
    <w:rsid w:val="4EAB630A"/>
    <w:rsid w:val="4ECE2238"/>
    <w:rsid w:val="4F833267"/>
    <w:rsid w:val="4FE9BD67"/>
    <w:rsid w:val="4FFA5812"/>
    <w:rsid w:val="4FFB052F"/>
    <w:rsid w:val="53083A92"/>
    <w:rsid w:val="537E6D0A"/>
    <w:rsid w:val="53AF27A2"/>
    <w:rsid w:val="53F74C96"/>
    <w:rsid w:val="56E47B74"/>
    <w:rsid w:val="57BD3DD4"/>
    <w:rsid w:val="5AF92295"/>
    <w:rsid w:val="5BDD79E6"/>
    <w:rsid w:val="5BF561CA"/>
    <w:rsid w:val="5BFF5DFC"/>
    <w:rsid w:val="5CD71FC4"/>
    <w:rsid w:val="5D1F11B5"/>
    <w:rsid w:val="5D7FF0CC"/>
    <w:rsid w:val="5DAE1B18"/>
    <w:rsid w:val="5DE7D9E5"/>
    <w:rsid w:val="5ECEC941"/>
    <w:rsid w:val="5F493CB7"/>
    <w:rsid w:val="5FBF9FF3"/>
    <w:rsid w:val="5FCD4E2C"/>
    <w:rsid w:val="5FD15F49"/>
    <w:rsid w:val="5FEF394A"/>
    <w:rsid w:val="5FF67715"/>
    <w:rsid w:val="62BF3928"/>
    <w:rsid w:val="633C0E00"/>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75EE1C"/>
    <w:rsid w:val="778769C8"/>
    <w:rsid w:val="77DC22F5"/>
    <w:rsid w:val="79086DAD"/>
    <w:rsid w:val="79974F09"/>
    <w:rsid w:val="79D7FD79"/>
    <w:rsid w:val="79EE5BA4"/>
    <w:rsid w:val="7A894339"/>
    <w:rsid w:val="7AFF7572"/>
    <w:rsid w:val="7B6C7DFB"/>
    <w:rsid w:val="7BBFBED0"/>
    <w:rsid w:val="7BC3E394"/>
    <w:rsid w:val="7C1F3737"/>
    <w:rsid w:val="7C79F20C"/>
    <w:rsid w:val="7C7B30B6"/>
    <w:rsid w:val="7CBFC87B"/>
    <w:rsid w:val="7CFE0F48"/>
    <w:rsid w:val="7D7EC23E"/>
    <w:rsid w:val="7D916348"/>
    <w:rsid w:val="7DD7C37F"/>
    <w:rsid w:val="7E8ADEBF"/>
    <w:rsid w:val="7EED1EBE"/>
    <w:rsid w:val="7EEF11D3"/>
    <w:rsid w:val="7F0971A6"/>
    <w:rsid w:val="7F3F679B"/>
    <w:rsid w:val="7F4FC4EF"/>
    <w:rsid w:val="7F5E4D54"/>
    <w:rsid w:val="7F6E0135"/>
    <w:rsid w:val="7F7F40B0"/>
    <w:rsid w:val="7FA30C79"/>
    <w:rsid w:val="7FAF8ABF"/>
    <w:rsid w:val="7FB7269E"/>
    <w:rsid w:val="7FC96657"/>
    <w:rsid w:val="7FCD0617"/>
    <w:rsid w:val="7FDA9588"/>
    <w:rsid w:val="7FDF220F"/>
    <w:rsid w:val="7FEDC5F7"/>
    <w:rsid w:val="7FEDD9DE"/>
    <w:rsid w:val="7FF5890D"/>
    <w:rsid w:val="7FF934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Body Text Indent" w:semiHidden="0" w:uiPriority="0" w:unhideWhenUsed="0" w:qFormat="1"/>
    <w:lsdException w:name="Subtitle" w:semiHidden="0" w:uiPriority="11" w:unhideWhenUsed="0" w:qFormat="1"/>
    <w:lsdException w:name="Body Text First Indent 2" w:semiHidden="0" w:qFormat="1"/>
    <w:lsdException w:name="Hyperlink" w:semiHidden="0" w:qFormat="1"/>
    <w:lsdException w:name="Strong" w:semiHidden="0"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5"/>
    <w:qFormat/>
    <w:rsid w:val="00916AAC"/>
    <w:pPr>
      <w:widowControl w:val="0"/>
      <w:jc w:val="both"/>
    </w:pPr>
    <w:rPr>
      <w:kern w:val="2"/>
      <w:sz w:val="21"/>
      <w:szCs w:val="24"/>
    </w:rPr>
  </w:style>
  <w:style w:type="paragraph" w:styleId="1">
    <w:name w:val="heading 1"/>
    <w:basedOn w:val="a"/>
    <w:next w:val="a"/>
    <w:link w:val="1Char"/>
    <w:uiPriority w:val="9"/>
    <w:qFormat/>
    <w:rsid w:val="00916AAC"/>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916AAC"/>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916AAC"/>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
    <w:name w:val="标题 5（有编号）（绿盟科技）"/>
    <w:next w:val="a"/>
    <w:uiPriority w:val="99"/>
    <w:qFormat/>
    <w:rsid w:val="00916AAC"/>
    <w:pPr>
      <w:keepNext/>
      <w:keepLines/>
      <w:widowControl w:val="0"/>
      <w:spacing w:before="280" w:after="156" w:line="377" w:lineRule="auto"/>
      <w:outlineLvl w:val="4"/>
    </w:pPr>
    <w:rPr>
      <w:rFonts w:ascii="Arial" w:eastAsia="黑体" w:hAnsi="Arial"/>
      <w:b/>
      <w:kern w:val="2"/>
      <w:sz w:val="24"/>
      <w:szCs w:val="28"/>
    </w:rPr>
  </w:style>
  <w:style w:type="paragraph" w:styleId="a3">
    <w:name w:val="Body Text"/>
    <w:basedOn w:val="a"/>
    <w:link w:val="Char"/>
    <w:uiPriority w:val="99"/>
    <w:qFormat/>
    <w:rsid w:val="00916AAC"/>
    <w:pPr>
      <w:spacing w:beforeLines="30"/>
    </w:pPr>
    <w:rPr>
      <w:rFonts w:ascii="仿宋_GB2312" w:eastAsia="仿宋_GB2312"/>
      <w:kern w:val="0"/>
      <w:sz w:val="30"/>
    </w:rPr>
  </w:style>
  <w:style w:type="paragraph" w:styleId="a4">
    <w:name w:val="Body Text Indent"/>
    <w:basedOn w:val="a"/>
    <w:qFormat/>
    <w:rsid w:val="00916AAC"/>
    <w:pPr>
      <w:spacing w:after="120"/>
      <w:ind w:leftChars="200" w:left="200"/>
    </w:pPr>
    <w:rPr>
      <w:rFonts w:ascii="仿宋_GB2312"/>
      <w:szCs w:val="32"/>
    </w:rPr>
  </w:style>
  <w:style w:type="paragraph" w:styleId="30">
    <w:name w:val="toc 3"/>
    <w:basedOn w:val="a"/>
    <w:next w:val="a"/>
    <w:uiPriority w:val="39"/>
    <w:unhideWhenUsed/>
    <w:qFormat/>
    <w:rsid w:val="00916AAC"/>
    <w:pPr>
      <w:tabs>
        <w:tab w:val="right" w:leader="dot" w:pos="8296"/>
      </w:tabs>
      <w:ind w:leftChars="400" w:left="840"/>
    </w:pPr>
  </w:style>
  <w:style w:type="paragraph" w:styleId="a5">
    <w:name w:val="Balloon Text"/>
    <w:basedOn w:val="a"/>
    <w:link w:val="Char0"/>
    <w:uiPriority w:val="99"/>
    <w:semiHidden/>
    <w:unhideWhenUsed/>
    <w:qFormat/>
    <w:rsid w:val="00916AAC"/>
    <w:rPr>
      <w:sz w:val="18"/>
      <w:szCs w:val="18"/>
    </w:rPr>
  </w:style>
  <w:style w:type="paragraph" w:styleId="a6">
    <w:name w:val="footer"/>
    <w:basedOn w:val="a"/>
    <w:link w:val="Char1"/>
    <w:uiPriority w:val="99"/>
    <w:qFormat/>
    <w:rsid w:val="00916AAC"/>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rsid w:val="00916AAC"/>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916AAC"/>
    <w:pPr>
      <w:tabs>
        <w:tab w:val="right" w:leader="dot" w:pos="8296"/>
      </w:tabs>
      <w:spacing w:before="93"/>
      <w:jc w:val="center"/>
    </w:pPr>
    <w:rPr>
      <w:rFonts w:ascii="仿宋" w:eastAsia="仿宋" w:hAnsi="仿宋"/>
      <w:sz w:val="28"/>
      <w:szCs w:val="28"/>
    </w:rPr>
  </w:style>
  <w:style w:type="paragraph" w:styleId="a8">
    <w:name w:val="footnote text"/>
    <w:basedOn w:val="a"/>
    <w:next w:val="20"/>
    <w:semiHidden/>
    <w:qFormat/>
    <w:rsid w:val="00916AAC"/>
    <w:pPr>
      <w:snapToGrid w:val="0"/>
      <w:jc w:val="left"/>
    </w:pPr>
    <w:rPr>
      <w:sz w:val="18"/>
      <w:szCs w:val="18"/>
    </w:rPr>
  </w:style>
  <w:style w:type="paragraph" w:styleId="20">
    <w:name w:val="Body Text First Indent 2"/>
    <w:basedOn w:val="a4"/>
    <w:uiPriority w:val="99"/>
    <w:unhideWhenUsed/>
    <w:qFormat/>
    <w:rsid w:val="00916AAC"/>
    <w:pPr>
      <w:ind w:firstLineChars="200" w:firstLine="420"/>
    </w:pPr>
  </w:style>
  <w:style w:type="paragraph" w:styleId="21">
    <w:name w:val="toc 2"/>
    <w:basedOn w:val="a"/>
    <w:next w:val="a"/>
    <w:uiPriority w:val="39"/>
    <w:unhideWhenUsed/>
    <w:qFormat/>
    <w:rsid w:val="00916AAC"/>
    <w:pPr>
      <w:tabs>
        <w:tab w:val="right" w:leader="dot" w:pos="8296"/>
      </w:tabs>
      <w:ind w:leftChars="200" w:left="420"/>
    </w:pPr>
  </w:style>
  <w:style w:type="character" w:styleId="a9">
    <w:name w:val="Strong"/>
    <w:basedOn w:val="a0"/>
    <w:uiPriority w:val="99"/>
    <w:qFormat/>
    <w:rsid w:val="00916AAC"/>
    <w:rPr>
      <w:b/>
    </w:rPr>
  </w:style>
  <w:style w:type="character" w:styleId="aa">
    <w:name w:val="Hyperlink"/>
    <w:basedOn w:val="a0"/>
    <w:uiPriority w:val="99"/>
    <w:unhideWhenUsed/>
    <w:qFormat/>
    <w:rsid w:val="00916AAC"/>
    <w:rPr>
      <w:color w:val="0000FF" w:themeColor="hyperlink"/>
      <w:u w:val="single"/>
    </w:rPr>
  </w:style>
  <w:style w:type="character" w:customStyle="1" w:styleId="HeaderChar">
    <w:name w:val="Header Char"/>
    <w:basedOn w:val="a0"/>
    <w:uiPriority w:val="99"/>
    <w:semiHidden/>
    <w:qFormat/>
    <w:rsid w:val="00916AAC"/>
    <w:rPr>
      <w:rFonts w:ascii="Times New Roman" w:hAnsi="Times New Roman"/>
      <w:sz w:val="18"/>
      <w:szCs w:val="18"/>
    </w:rPr>
  </w:style>
  <w:style w:type="character" w:customStyle="1" w:styleId="Char2">
    <w:name w:val="页眉 Char"/>
    <w:link w:val="a7"/>
    <w:uiPriority w:val="99"/>
    <w:semiHidden/>
    <w:qFormat/>
    <w:locked/>
    <w:rsid w:val="00916AAC"/>
    <w:rPr>
      <w:sz w:val="18"/>
    </w:rPr>
  </w:style>
  <w:style w:type="character" w:customStyle="1" w:styleId="FooterChar">
    <w:name w:val="Footer Char"/>
    <w:basedOn w:val="a0"/>
    <w:uiPriority w:val="99"/>
    <w:semiHidden/>
    <w:qFormat/>
    <w:rsid w:val="00916AAC"/>
    <w:rPr>
      <w:rFonts w:ascii="Times New Roman" w:hAnsi="Times New Roman"/>
      <w:sz w:val="18"/>
      <w:szCs w:val="18"/>
    </w:rPr>
  </w:style>
  <w:style w:type="character" w:customStyle="1" w:styleId="Char1">
    <w:name w:val="页脚 Char"/>
    <w:link w:val="a6"/>
    <w:uiPriority w:val="99"/>
    <w:qFormat/>
    <w:locked/>
    <w:rsid w:val="00916AAC"/>
    <w:rPr>
      <w:sz w:val="18"/>
    </w:rPr>
  </w:style>
  <w:style w:type="character" w:customStyle="1" w:styleId="BodyTextChar">
    <w:name w:val="Body Text Char"/>
    <w:basedOn w:val="a0"/>
    <w:uiPriority w:val="99"/>
    <w:semiHidden/>
    <w:qFormat/>
    <w:rsid w:val="00916AAC"/>
    <w:rPr>
      <w:rFonts w:ascii="Times New Roman" w:hAnsi="Times New Roman"/>
      <w:szCs w:val="24"/>
    </w:rPr>
  </w:style>
  <w:style w:type="character" w:customStyle="1" w:styleId="Char">
    <w:name w:val="正文文本 Char"/>
    <w:link w:val="a3"/>
    <w:uiPriority w:val="99"/>
    <w:qFormat/>
    <w:locked/>
    <w:rsid w:val="00916AAC"/>
    <w:rPr>
      <w:rFonts w:ascii="仿宋_GB2312" w:eastAsia="仿宋_GB2312" w:hAnsi="Times New Roman"/>
      <w:sz w:val="24"/>
    </w:rPr>
  </w:style>
  <w:style w:type="paragraph" w:customStyle="1" w:styleId="Default">
    <w:name w:val="Default"/>
    <w:uiPriority w:val="99"/>
    <w:qFormat/>
    <w:rsid w:val="00916AAC"/>
    <w:pPr>
      <w:widowControl w:val="0"/>
      <w:autoSpaceDE w:val="0"/>
      <w:autoSpaceDN w:val="0"/>
      <w:adjustRightInd w:val="0"/>
    </w:pPr>
    <w:rPr>
      <w:rFonts w:ascii="仿宋" w:eastAsia="仿宋" w:hAnsi="Calibri" w:cs="仿宋"/>
      <w:color w:val="000000"/>
      <w:sz w:val="24"/>
      <w:szCs w:val="24"/>
    </w:rPr>
  </w:style>
  <w:style w:type="paragraph" w:styleId="ab">
    <w:name w:val="List Paragraph"/>
    <w:basedOn w:val="a"/>
    <w:uiPriority w:val="34"/>
    <w:qFormat/>
    <w:rsid w:val="00916AAC"/>
    <w:pPr>
      <w:ind w:firstLineChars="200" w:firstLine="420"/>
    </w:pPr>
  </w:style>
  <w:style w:type="character" w:customStyle="1" w:styleId="1Char">
    <w:name w:val="标题 1 Char"/>
    <w:basedOn w:val="a0"/>
    <w:link w:val="1"/>
    <w:uiPriority w:val="9"/>
    <w:qFormat/>
    <w:rsid w:val="00916AAC"/>
    <w:rPr>
      <w:rFonts w:ascii="Times New Roman" w:hAnsi="Times New Roman"/>
      <w:b/>
      <w:bCs/>
      <w:kern w:val="44"/>
      <w:sz w:val="44"/>
      <w:szCs w:val="44"/>
    </w:rPr>
  </w:style>
  <w:style w:type="character" w:customStyle="1" w:styleId="2Char">
    <w:name w:val="标题 2 Char"/>
    <w:basedOn w:val="a0"/>
    <w:link w:val="2"/>
    <w:uiPriority w:val="9"/>
    <w:qFormat/>
    <w:rsid w:val="00916AAC"/>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916A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sid w:val="00916AAC"/>
    <w:rPr>
      <w:rFonts w:ascii="Times New Roman" w:hAnsi="Times New Roman"/>
      <w:kern w:val="2"/>
      <w:sz w:val="18"/>
      <w:szCs w:val="18"/>
    </w:rPr>
  </w:style>
  <w:style w:type="character" w:customStyle="1" w:styleId="3Char">
    <w:name w:val="标题 3 Char"/>
    <w:basedOn w:val="a0"/>
    <w:link w:val="3"/>
    <w:uiPriority w:val="9"/>
    <w:qFormat/>
    <w:rsid w:val="00916AAC"/>
    <w:rPr>
      <w:rFonts w:ascii="Times New Roman" w:hAnsi="Times New Roman"/>
      <w:b/>
      <w:bCs/>
      <w:kern w:val="2"/>
      <w:sz w:val="32"/>
      <w:szCs w:val="32"/>
    </w:rPr>
  </w:style>
  <w:style w:type="paragraph" w:customStyle="1" w:styleId="TOC2">
    <w:name w:val="TOC 标题2"/>
    <w:basedOn w:val="1"/>
    <w:next w:val="a"/>
    <w:uiPriority w:val="39"/>
    <w:unhideWhenUsed/>
    <w:qFormat/>
    <w:rsid w:val="00916A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c">
    <w:name w:val="四号正文"/>
    <w:basedOn w:val="a"/>
    <w:qFormat/>
    <w:rsid w:val="00916AAC"/>
    <w:pPr>
      <w:spacing w:line="360" w:lineRule="auto"/>
    </w:pPr>
    <w:rPr>
      <w:rFonts w:ascii="??" w:hAnsi="??"/>
      <w:color w:val="000000"/>
      <w:kern w:val="0"/>
      <w:sz w:val="28"/>
      <w:szCs w:val="21"/>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6.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home/user/Desktop/2024&#24180;&#20915;&#31639;&#20844;&#24320;&#22270;&#34920;&#21046;&#20316;.et"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ome/user/Desktop/2024&#24180;&#20915;&#31639;&#20844;&#24320;&#22270;&#34920;&#21046;&#20316;.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ome/user/Desktop/2024&#24180;&#20915;&#31639;&#20844;&#24320;&#22270;&#34920;&#21046;&#20316;.et"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ome/user/Desktop/2024&#24180;&#20915;&#31639;&#20844;&#24320;&#22270;&#34920;&#21046;&#20316;.et"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ome/user/Desktop/2024&#24180;&#20915;&#31639;&#20844;&#24320;&#22270;&#34920;&#21046;&#20316;.et"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ome/user/Desktop/2024&#24180;&#20915;&#31639;&#20844;&#24320;&#22270;&#34920;&#21046;&#20316;.et"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ome/user/Desktop/2025&#24180;&#20915;&#31639;&#20844;&#24320;&#22270;&#34920;&#21046;&#20316;.et"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[2024年决算公开图表制作.et]Sheet1!$B$25</c:f>
              <c:strCache>
                <c:ptCount val="1"/>
                <c:pt idx="0">
                  <c:v>2024年（万元）</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[2024年决算公开图表制作.et]Sheet1!$C$24:$E$24</c:f>
              <c:strCache>
                <c:ptCount val="3"/>
                <c:pt idx="0">
                  <c:v>收入</c:v>
                </c:pt>
                <c:pt idx="1">
                  <c:v>支出</c:v>
                </c:pt>
                <c:pt idx="2">
                  <c:v>合计</c:v>
                </c:pt>
              </c:strCache>
            </c:strRef>
          </c:cat>
          <c:val>
            <c:numRef>
              <c:f>[2024年决算公开图表制作.et]Sheet1!$C$25:$E$25</c:f>
              <c:numCache>
                <c:formatCode>General</c:formatCode>
                <c:ptCount val="3"/>
                <c:pt idx="0">
                  <c:v>216.54</c:v>
                </c:pt>
                <c:pt idx="1">
                  <c:v>216.54</c:v>
                </c:pt>
                <c:pt idx="2">
                  <c:v>433.08</c:v>
                </c:pt>
              </c:numCache>
            </c:numRef>
          </c:val>
        </c:ser>
        <c:ser>
          <c:idx val="1"/>
          <c:order val="1"/>
          <c:tx>
            <c:strRef>
              <c:f>[2024年决算公开图表制作.et]Sheet1!$B$26</c:f>
              <c:strCache>
                <c:ptCount val="1"/>
                <c:pt idx="0">
                  <c:v>2025年（万元）</c:v>
                </c:pt>
              </c:strCache>
            </c:strRef>
          </c:tx>
          <c:spPr>
            <a:solidFill>
              <a:schemeClr val="accent2"/>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[2024年决算公开图表制作.et]Sheet1!$C$24:$E$24</c:f>
              <c:strCache>
                <c:ptCount val="3"/>
                <c:pt idx="0">
                  <c:v>收入</c:v>
                </c:pt>
                <c:pt idx="1">
                  <c:v>支出</c:v>
                </c:pt>
                <c:pt idx="2">
                  <c:v>合计</c:v>
                </c:pt>
              </c:strCache>
            </c:strRef>
          </c:cat>
          <c:val>
            <c:numRef>
              <c:f>[2024年决算公开图表制作.et]Sheet1!$C$26:$E$26</c:f>
              <c:numCache>
                <c:formatCode>General</c:formatCode>
                <c:ptCount val="3"/>
                <c:pt idx="0">
                  <c:v>184.38000000000005</c:v>
                </c:pt>
                <c:pt idx="1">
                  <c:v>184.38000000000005</c:v>
                </c:pt>
                <c:pt idx="2">
                  <c:v>368.76</c:v>
                </c:pt>
              </c:numCache>
            </c:numRef>
          </c:val>
        </c:ser>
        <c:dLbls>
          <c:showVal val="1"/>
        </c:dLbls>
        <c:axId val="82017664"/>
        <c:axId val="82028416"/>
      </c:barChart>
      <c:catAx>
        <c:axId val="82017664"/>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2028416"/>
        <c:crosses val="autoZero"/>
        <c:auto val="1"/>
        <c:lblAlgn val="ctr"/>
        <c:lblOffset val="100"/>
      </c:catAx>
      <c:valAx>
        <c:axId val="82028416"/>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2017664"/>
        <c:crosses val="autoZero"/>
        <c:crossBetween val="between"/>
      </c:valAx>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uri="{0b15fc19-7d7d-44ad-8c2d-2c3a37ce22c3}">
        <chartProps xmlns="https://web.wps.cn/et/2018/main" chartId="{d7ae5ce9-9ca1-42a3-92a1-a5a286246f7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000"/>
              <a:t>一般公共预算财政拨款收入（万元）</a:t>
            </a:r>
            <a:endParaRPr sz="10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9731837606837613"/>
          <c:y val="0.87847222222222199"/>
        </c:manualLayout>
      </c:layout>
      <c:spPr>
        <a:noFill/>
        <a:ln>
          <a:noFill/>
        </a:ln>
        <a:effectLst/>
      </c:spPr>
    </c:title>
    <c:plotArea>
      <c:layout/>
      <c:pieChart>
        <c:varyColors val="1"/>
        <c:ser>
          <c:idx val="0"/>
          <c:order val="0"/>
          <c:tx>
            <c:strRef>
              <c:f>[2024年决算公开图表制作.et]Sheet1!$B$9</c:f>
              <c:strCache>
                <c:ptCount val="1"/>
                <c:pt idx="0">
                  <c:v>一般公共预算财政拨款收入（万元）</c:v>
                </c:pt>
              </c:strCache>
            </c:strRef>
          </c:tx>
          <c:dPt>
            <c:idx val="0"/>
            <c:explosion val="1"/>
            <c:spPr>
              <a:solidFill>
                <a:schemeClr val="accent1"/>
              </a:solidFill>
              <a:ln w="19050">
                <a:solidFill>
                  <a:schemeClr val="lt1"/>
                </a:solidFill>
              </a:ln>
              <a:effectLst/>
            </c:spPr>
          </c:dPt>
          <c:dLbls>
            <c:dLbl>
              <c:idx val="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extLst>
                <c:ext xmlns:c15="http://schemas.microsoft.com/office/drawing/2012/chart" uri="{CE6537A1-D6FC-4f65-9D91-7224C49458BB}"/>
              </c:extLst>
            </c:dLbl>
            <c:delete val="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extLst>
              <c:ext xmlns:c15="http://schemas.microsoft.com/office/drawing/2012/chart" uri="{CE6537A1-D6FC-4f65-9D91-7224C49458BB}">
                <c15:layout/>
                <c15:showLeaderLines val="1"/>
                <c15:leaderLines>
                  <c:spPr>
                    <a:ln w="9525" cap="flat" cmpd="sng" algn="ctr">
                      <a:solidFill>
                        <a:srgbClr val="969696">
                          <a:alpha val="100000"/>
                        </a:srgbClr>
                      </a:solidFill>
                      <a:prstDash val="solid"/>
                      <a:round/>
                    </a:ln>
                  </c:spPr>
                </c15:leaderLines>
              </c:ext>
            </c:extLst>
          </c:dLbls>
          <c:cat>
            <c:strRef>
              <c:f>[2024年决算公开图表制作.et]Sheet1!$C$8</c:f>
              <c:strCache>
                <c:ptCount val="1"/>
                <c:pt idx="0">
                  <c:v>2025年度收入</c:v>
                </c:pt>
              </c:strCache>
            </c:strRef>
          </c:cat>
          <c:val>
            <c:numRef>
              <c:f>[2024年决算公开图表制作.et]Sheet1!$C$9</c:f>
              <c:numCache>
                <c:formatCode>General</c:formatCode>
                <c:ptCount val="1"/>
                <c:pt idx="0">
                  <c:v>184.38000000000005</c:v>
                </c:pt>
              </c:numCache>
            </c:numRef>
          </c:val>
        </c:ser>
        <c:firstSliceAng val="0"/>
      </c:pieChart>
      <c:spPr>
        <a:noFill/>
        <a:ln>
          <a:noFill/>
        </a:ln>
        <a:effectLst/>
      </c:spPr>
    </c:plotArea>
    <c:legend>
      <c:legendPos val="b"/>
      <c:layout>
        <c:manualLayout>
          <c:xMode val="edge"/>
          <c:yMode val="edge"/>
          <c:x val="0.38930555555555613"/>
          <c:y val="6.1805555555555607E-2"/>
          <c:w val="0.32597222222222222"/>
          <c:h val="8.9814814814814806E-2"/>
        </c:manualLayout>
      </c:layout>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ce52e0b9-8965-4fed-af63-cb8666544716}"/>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[2024年决算公开图表制作.et]Sheet1!$B$42</c:f>
              <c:strCache>
                <c:ptCount val="1"/>
                <c:pt idx="0">
                  <c:v>基本支出</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[2024年决算公开图表制作.et]Sheet1!$C$41:$D$41</c:f>
              <c:strCache>
                <c:ptCount val="2"/>
                <c:pt idx="0">
                  <c:v>2025年度支出（万元）</c:v>
                </c:pt>
              </c:strCache>
            </c:strRef>
          </c:cat>
          <c:val>
            <c:numRef>
              <c:f>[2024年决算公开图表制作.et]Sheet1!$C$42:$D$42</c:f>
              <c:numCache>
                <c:formatCode>General</c:formatCode>
                <c:ptCount val="2"/>
                <c:pt idx="0">
                  <c:v>184.38000000000005</c:v>
                </c:pt>
              </c:numCache>
            </c:numRef>
          </c:val>
        </c:ser>
        <c:dLbls>
          <c:showVal val="1"/>
        </c:dLbls>
        <c:firstSliceAng val="0"/>
      </c:pieChart>
      <c:spPr>
        <a:noFill/>
        <a:ln>
          <a:noFill/>
        </a:ln>
        <a:effectLst/>
      </c:spPr>
    </c:plotArea>
    <c:legend>
      <c:legendPos val="b"/>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85624fd0-e1ac-4928-9036-2c543c56ade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2411111111111103"/>
          <c:y val="6.8917987594762243E-3"/>
          <c:w val="0.63825000000000021"/>
          <c:h val="0.83882379967838339"/>
        </c:manualLayout>
      </c:layout>
      <c:barChart>
        <c:barDir val="col"/>
        <c:grouping val="clustered"/>
        <c:ser>
          <c:idx val="0"/>
          <c:order val="0"/>
          <c:tx>
            <c:strRef>
              <c:f>[2024年决算公开图表制作.et]Sheet1!$B$25</c:f>
              <c:strCache>
                <c:ptCount val="1"/>
                <c:pt idx="0">
                  <c:v>2024年（万元）</c:v>
                </c:pt>
              </c:strCache>
            </c:strRef>
          </c:tx>
          <c:spPr>
            <a:solidFill>
              <a:schemeClr val="accent1"/>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[2024年决算公开图表制作.et]Sheet1!$C$24:$E$24</c:f>
              <c:strCache>
                <c:ptCount val="3"/>
                <c:pt idx="0">
                  <c:v>收入</c:v>
                </c:pt>
                <c:pt idx="1">
                  <c:v>支出</c:v>
                </c:pt>
                <c:pt idx="2">
                  <c:v>合计</c:v>
                </c:pt>
              </c:strCache>
            </c:strRef>
          </c:cat>
          <c:val>
            <c:numRef>
              <c:f>[2024年决算公开图表制作.et]Sheet1!$C$25:$E$25</c:f>
              <c:numCache>
                <c:formatCode>General</c:formatCode>
                <c:ptCount val="3"/>
                <c:pt idx="0">
                  <c:v>216.54</c:v>
                </c:pt>
                <c:pt idx="1">
                  <c:v>216.54</c:v>
                </c:pt>
                <c:pt idx="2">
                  <c:v>433.08</c:v>
                </c:pt>
              </c:numCache>
            </c:numRef>
          </c:val>
        </c:ser>
        <c:ser>
          <c:idx val="1"/>
          <c:order val="1"/>
          <c:tx>
            <c:strRef>
              <c:f>[2024年决算公开图表制作.et]Sheet1!$B$26</c:f>
              <c:strCache>
                <c:ptCount val="1"/>
                <c:pt idx="0">
                  <c:v>2025年（万元）</c:v>
                </c:pt>
              </c:strCache>
            </c:strRef>
          </c:tx>
          <c:spPr>
            <a:solidFill>
              <a:schemeClr val="accent2"/>
            </a:solidFill>
            <a:ln>
              <a:noFill/>
            </a:ln>
            <a:effectLst/>
          </c:spPr>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outEnd"/>
            <c:showVal val="1"/>
            <c:extLst>
              <c:ext xmlns:c15="http://schemas.microsoft.com/office/drawing/2012/chart" uri="{CE6537A1-D6FC-4f65-9D91-7224C49458BB}">
                <c15:layout/>
                <c15:showLeaderLines val="0"/>
                <c15:leaderLines/>
              </c:ext>
            </c:extLst>
          </c:dLbls>
          <c:cat>
            <c:strRef>
              <c:f>[2024年决算公开图表制作.et]Sheet1!$C$24:$E$24</c:f>
              <c:strCache>
                <c:ptCount val="3"/>
                <c:pt idx="0">
                  <c:v>收入</c:v>
                </c:pt>
                <c:pt idx="1">
                  <c:v>支出</c:v>
                </c:pt>
                <c:pt idx="2">
                  <c:v>合计</c:v>
                </c:pt>
              </c:strCache>
            </c:strRef>
          </c:cat>
          <c:val>
            <c:numRef>
              <c:f>[2024年决算公开图表制作.et]Sheet1!$C$26:$E$26</c:f>
              <c:numCache>
                <c:formatCode>General</c:formatCode>
                <c:ptCount val="3"/>
                <c:pt idx="0">
                  <c:v>184.38000000000005</c:v>
                </c:pt>
                <c:pt idx="1">
                  <c:v>184.38000000000005</c:v>
                </c:pt>
                <c:pt idx="2">
                  <c:v>368.76</c:v>
                </c:pt>
              </c:numCache>
            </c:numRef>
          </c:val>
        </c:ser>
        <c:dLbls>
          <c:showVal val="1"/>
        </c:dLbls>
        <c:axId val="84087552"/>
        <c:axId val="84089088"/>
      </c:barChart>
      <c:catAx>
        <c:axId val="84087552"/>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4089088"/>
        <c:crosses val="autoZero"/>
        <c:auto val="1"/>
        <c:lblAlgn val="ctr"/>
        <c:lblOffset val="100"/>
      </c:catAx>
      <c:valAx>
        <c:axId val="84089088"/>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4087552"/>
        <c:crosses val="autoZero"/>
        <c:crossBetween val="between"/>
      </c:valAx>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extLst>
      <c:ext uri="{0b15fc19-7d7d-44ad-8c2d-2c3a37ce22c3}">
        <chartProps xmlns="https://web.wps.cn/et/2018/main" chartId="{27e221db-da92-444c-a477-2dd1783c08e8}"/>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endParaRPr lang="zh-CN"/>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barChart>
        <c:barDir val="col"/>
        <c:grouping val="clustered"/>
        <c:ser>
          <c:idx val="0"/>
          <c:order val="0"/>
          <c:tx>
            <c:strRef>
              <c:f>[2024年决算公开图表制作.et]Sheet1!$C$61</c:f>
              <c:strCache>
                <c:ptCount val="1"/>
                <c:pt idx="0">
                  <c:v>一般公共预算财政拨款支出（万元）</c:v>
                </c:pt>
              </c:strCache>
            </c:strRef>
          </c:tx>
          <c:spPr>
            <a:solidFill>
              <a:schemeClr val="accent1"/>
            </a:solidFill>
            <a:ln>
              <a:noFill/>
            </a:ln>
            <a:effectLst/>
          </c:spPr>
          <c:cat>
            <c:strRef>
              <c:f>[2024年决算公开图表制作.et]Sheet1!$B$62:$B$63</c:f>
              <c:strCache>
                <c:ptCount val="2"/>
                <c:pt idx="0">
                  <c:v>2024年</c:v>
                </c:pt>
                <c:pt idx="1">
                  <c:v>2025年</c:v>
                </c:pt>
              </c:strCache>
            </c:strRef>
          </c:cat>
          <c:val>
            <c:numRef>
              <c:f>[2024年决算公开图表制作.et]Sheet1!$C$62:$C$63</c:f>
              <c:numCache>
                <c:formatCode>General</c:formatCode>
                <c:ptCount val="2"/>
                <c:pt idx="0">
                  <c:v>216.54</c:v>
                </c:pt>
                <c:pt idx="1">
                  <c:v>184.38000000000005</c:v>
                </c:pt>
              </c:numCache>
            </c:numRef>
          </c:val>
        </c:ser>
        <c:gapWidth val="219"/>
        <c:overlap val="-27"/>
        <c:axId val="84122624"/>
        <c:axId val="84128512"/>
      </c:barChart>
      <c:catAx>
        <c:axId val="84122624"/>
        <c:scaling>
          <c:orientation val="minMax"/>
        </c:scaling>
        <c:axPos val="b"/>
        <c:maj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4128512"/>
        <c:crosses val="autoZero"/>
        <c:auto val="1"/>
        <c:lblAlgn val="ctr"/>
        <c:lblOffset val="100"/>
      </c:catAx>
      <c:valAx>
        <c:axId val="84128512"/>
        <c:scaling>
          <c:orientation val="minMax"/>
        </c:scaling>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crossAx val="84122624"/>
        <c:crosses val="autoZero"/>
        <c:crossBetween val="between"/>
      </c:valAx>
      <c:spPr>
        <a:noFill/>
        <a:ln>
          <a:noFill/>
        </a:ln>
        <a:effectLst/>
      </c:spPr>
    </c:plotArea>
    <c:plotVisOnly val="1"/>
    <c:dispBlanksAs val="gap"/>
    <c:extLst>
      <c:ext uri="{0b15fc19-7d7d-44ad-8c2d-2c3a37ce22c3}">
        <chartProps xmlns="https://web.wps.cn/et/2018/main" chartId="{0e7edb02-3ee0-4a59-84d6-71fe525dfd32}"/>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zh-CN"/>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manualLayout>
          <c:xMode val="edge"/>
          <c:yMode val="edge"/>
          <c:x val="0.24152777777777801"/>
          <c:y val="3.8194444444444399E-2"/>
        </c:manualLayout>
      </c:layout>
      <c:spPr>
        <a:noFill/>
        <a:ln>
          <a:noFill/>
        </a:ln>
        <a:effectLst/>
      </c:spPr>
    </c:title>
    <c:plotArea>
      <c:layout/>
      <c:pieChart>
        <c:varyColors val="1"/>
        <c:ser>
          <c:idx val="0"/>
          <c:order val="0"/>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inEnd"/>
            <c:showCatName val="1"/>
            <c:showPercent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[2024年决算公开图表制作.et]Sheet1!$B$103:$F$103</c:f>
              <c:strCache>
                <c:ptCount val="5"/>
                <c:pt idx="0">
                  <c:v>一般公共预算财政拨款支出</c:v>
                </c:pt>
                <c:pt idx="1">
                  <c:v>社会保障和就业支出</c:v>
                </c:pt>
                <c:pt idx="2">
                  <c:v>卫生健康支出</c:v>
                </c:pt>
                <c:pt idx="3">
                  <c:v>住房保障支出</c:v>
                </c:pt>
                <c:pt idx="4">
                  <c:v>自然资源海洋气象等支出</c:v>
                </c:pt>
              </c:strCache>
            </c:strRef>
          </c:cat>
          <c:val>
            <c:numRef>
              <c:f>[2024年决算公开图表制作.et]Sheet1!$B$104:$F$104</c:f>
              <c:numCache>
                <c:formatCode>General</c:formatCode>
                <c:ptCount val="5"/>
                <c:pt idx="1">
                  <c:v>36.14</c:v>
                </c:pt>
                <c:pt idx="2">
                  <c:v>10.27</c:v>
                </c:pt>
                <c:pt idx="3">
                  <c:v>12.13</c:v>
                </c:pt>
                <c:pt idx="4">
                  <c:v>125.83</c:v>
                </c:pt>
              </c:numCache>
            </c:numRef>
          </c:val>
        </c:ser>
        <c:dLbls>
          <c:showCatName val="1"/>
          <c:showPercent val="1"/>
        </c:dLbls>
        <c:firstSliceAng val="0"/>
      </c:pieChart>
      <c:spPr>
        <a:noFill/>
        <a:ln>
          <a:noFill/>
        </a:ln>
        <a:effectLst/>
      </c:spPr>
    </c:plotArea>
    <c:plotVisOnly val="1"/>
    <c:dispBlanksAs val="zero"/>
    <c:extLst>
      <c:ext uri="{0b15fc19-7d7d-44ad-8c2d-2c3a37ce22c3}">
        <chartProps xmlns="https://web.wps.cn/et/2018/main" chartId="{b9e2ef24-e9a5-4924-914c-4b7b94e5b92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zh-CN"/>
  <c:chart>
    <c:title>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endParaRPr lang="zh-CN"/>
        </a:p>
      </c:txPr>
    </c:title>
    <c:plotArea>
      <c:layout/>
      <c:pieChart>
        <c:varyColors val="1"/>
        <c:ser>
          <c:idx val="0"/>
          <c:order val="0"/>
          <c:tx>
            <c:strRef>
              <c:f>[2025年决算公开图表制作.et]Sheet1!$B$83</c:f>
              <c:strCache>
                <c:ptCount val="1"/>
                <c:pt idx="0">
                  <c:v>“三公”经费财政拨款支出（万元）</c:v>
                </c:pt>
              </c:strCache>
            </c:strRef>
          </c:tx>
          <c:dPt>
            <c:idx val="0"/>
            <c:spPr>
              <a:solidFill>
                <a:schemeClr val="accent1"/>
              </a:solidFill>
              <a:ln w="19050">
                <a:solidFill>
                  <a:schemeClr val="lt1"/>
                </a:solidFill>
              </a:ln>
              <a:effectLst/>
            </c:spPr>
          </c:dPt>
          <c:dPt>
            <c:idx val="1"/>
            <c:explosion val="1"/>
            <c:spPr>
              <a:solidFill>
                <a:schemeClr val="accent2"/>
              </a:solidFill>
              <a:ln w="19050">
                <a:solidFill>
                  <a:schemeClr val="lt1"/>
                </a:solidFill>
              </a:ln>
              <a:effectLst/>
            </c:spPr>
          </c:dPt>
          <c:dPt>
            <c:idx val="2"/>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[2025年决算公开图表制作.et]Sheet1!$C$82:$E$82</c:f>
              <c:strCache>
                <c:ptCount val="3"/>
                <c:pt idx="0">
                  <c:v>因公出国（境）</c:v>
                </c:pt>
                <c:pt idx="1">
                  <c:v>公务用车购置及运行维护费</c:v>
                </c:pt>
                <c:pt idx="2">
                  <c:v>公务接待费</c:v>
                </c:pt>
              </c:strCache>
            </c:strRef>
          </c:cat>
          <c:val>
            <c:numRef>
              <c:f>[2025年决算公开图表制作.et]Sheet1!$C$83:$E$83</c:f>
              <c:numCache>
                <c:formatCode>General</c:formatCode>
                <c:ptCount val="3"/>
                <c:pt idx="0">
                  <c:v>0</c:v>
                </c:pt>
                <c:pt idx="1">
                  <c:v>1.55</c:v>
                </c:pt>
                <c:pt idx="2">
                  <c:v>0</c:v>
                </c:pt>
              </c:numCache>
            </c:numRef>
          </c:val>
        </c:ser>
        <c:dLbls>
          <c:showVal val="1"/>
        </c:dLbls>
        <c:firstSliceAng val="0"/>
      </c:pieChart>
      <c:spPr>
        <a:noFill/>
        <a:ln>
          <a:noFill/>
        </a:ln>
        <a:effectLst/>
      </c:spPr>
    </c:plotArea>
    <c:legend>
      <c:legendPos val="r"/>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legend>
    <c:plotVisOnly val="1"/>
    <c:dispBlanksAs val="zero"/>
    <c:extLst>
      <c:ext uri="{0b15fc19-7d7d-44ad-8c2d-2c3a37ce22c3}">
        <chartProps xmlns="https://web.wps.cn/et/2018/main" chartId="{534ce015-0318-481a-b996-0734a09ee62f}"/>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7C6F1A-683F-4AE0-8D10-842EFBDE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829</Words>
  <Characters>4730</Characters>
  <Application>Microsoft Office Word</Application>
  <DocSecurity>0</DocSecurity>
  <Lines>39</Lines>
  <Paragraphs>11</Paragraphs>
  <ScaleCrop>false</ScaleCrop>
  <Company>四川省财政厅</Company>
  <LinksUpToDate>false</LinksUpToDate>
  <CharactersWithSpaces>5548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王永琴</cp:lastModifiedBy>
  <cp:revision>35</cp:revision>
  <cp:lastPrinted>2026-08-04T17:27:00Z</cp:lastPrinted>
  <dcterms:created xsi:type="dcterms:W3CDTF">2020-08-10T01:49:00Z</dcterms:created>
  <dcterms:modified xsi:type="dcterms:W3CDTF">2026-09-10T07:42:00Z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400D301575C74348A5277D00A7902E06</vt:lpwstr>
  </property>
  <property fmtid="{D5CDD505-2E9C-101B-9397-08002B2CF9AE}" pid="4" name="KSOTemplateDocerSaveRecord">
    <vt:lpwstr>eyJoZGlkIjoiNTg3YjI3Zjc2MzNiOTAzMWQ3ZTE0ODk2ZjQ0ZjFkZmMiLCJ1c2VySWQiOiIzMzE4NzY0OTMifQ==</vt:lpwstr>
  </property>
</Properties>
</file>