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9A8C2">
      <w:pPr>
        <w:pStyle w:val="6"/>
        <w:spacing w:before="93"/>
        <w:rPr>
          <w:rFonts w:ascii="Times New Roman" w:eastAsia="方正小标宋简体"/>
          <w:kern w:val="2"/>
          <w:sz w:val="72"/>
          <w:szCs w:val="72"/>
        </w:rPr>
      </w:pPr>
      <w:bookmarkStart w:id="0" w:name="_Toc15396597"/>
      <w:bookmarkStart w:id="1" w:name="_Toc15306267"/>
      <w:bookmarkStart w:id="2" w:name="_Toc15378441"/>
      <w:bookmarkStart w:id="3" w:name="_Toc15377425"/>
      <w:bookmarkStart w:id="4" w:name="_Toc15396475"/>
      <w:bookmarkStart w:id="5" w:name="_Toc15377193"/>
    </w:p>
    <w:p w14:paraId="1E13F961">
      <w:pPr>
        <w:pStyle w:val="6"/>
        <w:spacing w:before="93"/>
        <w:rPr>
          <w:rFonts w:ascii="Times New Roman" w:eastAsia="方正小标宋简体"/>
          <w:kern w:val="2"/>
          <w:sz w:val="72"/>
          <w:szCs w:val="72"/>
        </w:rPr>
      </w:pPr>
    </w:p>
    <w:p w14:paraId="7F52B0D0">
      <w:pPr>
        <w:pStyle w:val="6"/>
        <w:spacing w:before="93"/>
        <w:rPr>
          <w:rFonts w:ascii="Times New Roman" w:eastAsia="方正小标宋简体"/>
          <w:kern w:val="2"/>
          <w:sz w:val="44"/>
          <w:szCs w:val="44"/>
        </w:rPr>
      </w:pPr>
    </w:p>
    <w:p w14:paraId="22560CB5">
      <w:pPr>
        <w:pStyle w:val="6"/>
        <w:spacing w:before="93"/>
        <w:rPr>
          <w:rFonts w:ascii="Times New Roman" w:eastAsia="方正小标宋简体"/>
          <w:kern w:val="2"/>
          <w:sz w:val="44"/>
          <w:szCs w:val="44"/>
        </w:rPr>
      </w:pPr>
    </w:p>
    <w:p w14:paraId="53E8A97B">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w:t>
      </w:r>
      <w:r>
        <w:rPr>
          <w:rFonts w:hint="eastAsia" w:ascii="Times New Roman" w:eastAsia="方正小标宋简体"/>
          <w:kern w:val="2"/>
          <w:sz w:val="44"/>
          <w:szCs w:val="44"/>
          <w:lang w:val="en-US" w:eastAsia="zh-CN"/>
        </w:rPr>
        <w:t>四川省</w:t>
      </w:r>
      <w:r>
        <w:rPr>
          <w:rFonts w:hint="eastAsia" w:ascii="Times New Roman" w:eastAsia="方正小标宋简体"/>
          <w:kern w:val="2"/>
          <w:sz w:val="44"/>
          <w:szCs w:val="44"/>
        </w:rPr>
        <w:t>攀枝花市土地储备中心</w:t>
      </w:r>
      <w:r>
        <w:rPr>
          <w:rFonts w:hint="eastAsia" w:ascii="Times New Roman" w:eastAsia="方正小标宋简体"/>
          <w:kern w:val="2"/>
          <w:sz w:val="44"/>
          <w:szCs w:val="44"/>
          <w:lang w:val="en-US" w:eastAsia="zh-CN"/>
        </w:rPr>
        <w:t>市级</w:t>
      </w:r>
      <w:r>
        <w:rPr>
          <w:rFonts w:hint="eastAsia" w:ascii="Times New Roman" w:eastAsia="方正小标宋简体"/>
          <w:kern w:val="2"/>
          <w:sz w:val="44"/>
          <w:szCs w:val="44"/>
        </w:rPr>
        <w:t>单位决算公开文字说明</w:t>
      </w:r>
    </w:p>
    <w:p w14:paraId="1FBAC175">
      <w:pPr>
        <w:spacing w:line="600" w:lineRule="exact"/>
        <w:jc w:val="center"/>
        <w:outlineLvl w:val="0"/>
        <w:rPr>
          <w:rFonts w:eastAsia="方正小标宋简体"/>
          <w:sz w:val="72"/>
          <w:szCs w:val="72"/>
        </w:rPr>
      </w:pPr>
    </w:p>
    <w:p w14:paraId="5A9C5CF3">
      <w:pPr>
        <w:pStyle w:val="2"/>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3BA6C000"/>
    <w:p w14:paraId="0720A528">
      <w:pPr>
        <w:pStyle w:val="6"/>
        <w:spacing w:before="93"/>
        <w:jc w:val="center"/>
        <w:rPr>
          <w:rFonts w:ascii="Times New Roman" w:eastAsia="方正小标宋简体"/>
          <w:kern w:val="2"/>
          <w:sz w:val="44"/>
          <w:szCs w:val="44"/>
        </w:rPr>
      </w:pPr>
    </w:p>
    <w:p w14:paraId="0A6CAB41">
      <w:pPr>
        <w:pStyle w:val="6"/>
        <w:spacing w:before="93"/>
        <w:jc w:val="center"/>
        <w:rPr>
          <w:rFonts w:ascii="Times New Roman" w:eastAsia="方正小标宋简体"/>
          <w:kern w:val="2"/>
          <w:sz w:val="44"/>
          <w:szCs w:val="44"/>
        </w:rPr>
      </w:pPr>
    </w:p>
    <w:p w14:paraId="05F2872D">
      <w:pPr>
        <w:pStyle w:val="6"/>
        <w:spacing w:before="93"/>
        <w:jc w:val="center"/>
        <w:rPr>
          <w:rFonts w:ascii="Times New Roman" w:eastAsia="方正小标宋简体"/>
          <w:kern w:val="2"/>
          <w:sz w:val="44"/>
          <w:szCs w:val="44"/>
        </w:rPr>
      </w:pPr>
    </w:p>
    <w:p w14:paraId="4438836B">
      <w:pPr>
        <w:pStyle w:val="6"/>
        <w:spacing w:before="93"/>
        <w:jc w:val="center"/>
        <w:rPr>
          <w:rFonts w:ascii="Times New Roman" w:eastAsia="方正小标宋简体"/>
          <w:kern w:val="2"/>
          <w:sz w:val="44"/>
          <w:szCs w:val="44"/>
        </w:rPr>
      </w:pPr>
    </w:p>
    <w:bookmarkEnd w:id="0"/>
    <w:bookmarkEnd w:id="1"/>
    <w:bookmarkEnd w:id="2"/>
    <w:bookmarkEnd w:id="3"/>
    <w:bookmarkEnd w:id="4"/>
    <w:bookmarkEnd w:id="5"/>
    <w:p w14:paraId="471670F2">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w:t>
      </w:r>
      <w:r>
        <w:rPr>
          <w:rFonts w:hint="eastAsia" w:ascii="Times New Roman" w:eastAsia="方正小标宋简体"/>
          <w:kern w:val="2"/>
          <w:sz w:val="44"/>
          <w:szCs w:val="44"/>
          <w:lang w:val="en-US" w:eastAsia="zh-CN"/>
        </w:rPr>
        <w:t>四川省</w:t>
      </w:r>
      <w:bookmarkStart w:id="80" w:name="_GoBack"/>
      <w:bookmarkEnd w:id="80"/>
      <w:r>
        <w:rPr>
          <w:rFonts w:hint="eastAsia" w:ascii="Times New Roman" w:eastAsia="方正小标宋简体"/>
          <w:kern w:val="2"/>
          <w:sz w:val="44"/>
          <w:szCs w:val="44"/>
        </w:rPr>
        <w:t>攀枝花市土地储备中心</w:t>
      </w:r>
    </w:p>
    <w:p w14:paraId="42F7BBEC">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单位决算</w:t>
      </w:r>
    </w:p>
    <w:p w14:paraId="34F11591">
      <w:pPr>
        <w:pStyle w:val="6"/>
        <w:spacing w:before="93"/>
        <w:jc w:val="center"/>
        <w:rPr>
          <w:rFonts w:ascii="Times New Roman" w:eastAsia="方正小标宋简体"/>
          <w:kern w:val="2"/>
          <w:sz w:val="44"/>
          <w:szCs w:val="44"/>
        </w:rPr>
      </w:pPr>
    </w:p>
    <w:p w14:paraId="1FD5246F">
      <w:pPr>
        <w:widowControl/>
        <w:jc w:val="center"/>
        <w:rPr>
          <w:rFonts w:eastAsia="黑体"/>
          <w:sz w:val="48"/>
          <w:szCs w:val="48"/>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14:paraId="4EE3781C">
      <w:pPr>
        <w:widowControl/>
        <w:jc w:val="center"/>
        <w:outlineLvl w:val="0"/>
        <w:rPr>
          <w:rFonts w:eastAsia="黑体"/>
          <w:sz w:val="48"/>
          <w:szCs w:val="48"/>
        </w:rPr>
      </w:pPr>
      <w:r>
        <w:rPr>
          <w:rFonts w:hint="eastAsia" w:eastAsia="黑体"/>
          <w:sz w:val="48"/>
          <w:szCs w:val="48"/>
        </w:rPr>
        <w:t>目录</w:t>
      </w:r>
    </w:p>
    <w:p w14:paraId="0783B672">
      <w:pPr>
        <w:widowControl/>
        <w:jc w:val="center"/>
        <w:rPr>
          <w:rFonts w:eastAsia="黑体" w:cstheme="minorBidi"/>
          <w:sz w:val="28"/>
          <w:szCs w:val="28"/>
        </w:rPr>
      </w:pPr>
    </w:p>
    <w:p w14:paraId="62FAF8F2">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公开时间：2026年9月 </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 xml:space="preserve"> 日</w:t>
      </w:r>
    </w:p>
    <w:p w14:paraId="512D4B55"/>
    <w:p w14:paraId="51AFD98A">
      <w:pPr>
        <w:pStyle w:val="13"/>
        <w:adjustRightInd w:val="0"/>
        <w:snapToGrid w:val="0"/>
        <w:spacing w:before="0" w:line="560" w:lineRule="exact"/>
        <w:jc w:val="left"/>
        <w:rPr>
          <w:rFonts w:ascii="Times New Roman" w:hAnsi="Times New Roman" w:eastAsia="黑体"/>
          <w:sz w:val="32"/>
          <w:szCs w:val="32"/>
        </w:rPr>
      </w:pPr>
      <w:r>
        <w:rPr>
          <w:rFonts w:hint="eastAsia" w:ascii="Times New Roman" w:hAnsi="Times New Roman" w:eastAsia="黑体" w:cs="黑体"/>
          <w:sz w:val="32"/>
          <w:szCs w:val="32"/>
        </w:rPr>
        <w:t>第一部分 单位概况</w:t>
      </w:r>
      <w:r>
        <w:rPr>
          <w:rFonts w:ascii="Times New Roman" w:hAnsi="Times New Roman"/>
          <w:sz w:val="24"/>
          <w:szCs w:val="24"/>
        </w:rPr>
        <w:tab/>
      </w:r>
      <w:r>
        <w:rPr>
          <w:rFonts w:ascii="Times New Roman" w:hAnsi="Times New Roman"/>
          <w:sz w:val="24"/>
          <w:szCs w:val="24"/>
        </w:rPr>
        <w:t>4</w:t>
      </w:r>
    </w:p>
    <w:p w14:paraId="62395EEB">
      <w:pPr>
        <w:pStyle w:val="15"/>
        <w:adjustRightInd w:val="0"/>
        <w:snapToGrid w:val="0"/>
        <w:spacing w:line="560" w:lineRule="exact"/>
        <w:ind w:left="0" w:leftChars="0" w:firstLine="640" w:firstLineChars="200"/>
        <w:jc w:val="left"/>
        <w:rPr>
          <w:rFonts w:eastAsia="仿宋_GB2312"/>
          <w:sz w:val="32"/>
          <w:szCs w:val="32"/>
        </w:rPr>
      </w:pPr>
      <w:r>
        <w:rPr>
          <w:rFonts w:hint="eastAsia" w:eastAsia="仿宋_GB2312" w:cs="仿宋_GB2312"/>
          <w:sz w:val="32"/>
          <w:szCs w:val="32"/>
        </w:rPr>
        <w:t>一、单位职责</w:t>
      </w:r>
      <w:r>
        <w:rPr>
          <w:sz w:val="24"/>
        </w:rPr>
        <w:tab/>
      </w:r>
      <w:r>
        <w:rPr>
          <w:sz w:val="24"/>
        </w:rPr>
        <w:t>4</w:t>
      </w:r>
    </w:p>
    <w:p w14:paraId="4DFB4AC4">
      <w:pPr>
        <w:pStyle w:val="15"/>
        <w:adjustRightInd w:val="0"/>
        <w:snapToGrid w:val="0"/>
        <w:spacing w:line="560" w:lineRule="exact"/>
        <w:ind w:left="0" w:leftChars="0" w:firstLine="640" w:firstLineChars="200"/>
        <w:jc w:val="left"/>
        <w:rPr>
          <w:rFonts w:eastAsia="仿宋_GB2312"/>
          <w:sz w:val="32"/>
          <w:szCs w:val="32"/>
        </w:rPr>
      </w:pPr>
      <w:r>
        <w:rPr>
          <w:rFonts w:hint="eastAsia" w:eastAsia="仿宋_GB2312" w:cs="仿宋_GB2312"/>
          <w:sz w:val="32"/>
          <w:szCs w:val="32"/>
        </w:rPr>
        <w:t>二、机构设置</w:t>
      </w:r>
      <w:r>
        <w:rPr>
          <w:sz w:val="24"/>
        </w:rPr>
        <w:tab/>
      </w:r>
      <w:r>
        <w:rPr>
          <w:sz w:val="24"/>
        </w:rPr>
        <w:t>4</w:t>
      </w:r>
    </w:p>
    <w:p w14:paraId="3C702289">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2025年度单位决算情况说明</w:t>
      </w:r>
      <w:r>
        <w:rPr>
          <w:rFonts w:ascii="Times New Roman" w:hAnsi="Times New Roman"/>
          <w:sz w:val="24"/>
          <w:szCs w:val="24"/>
        </w:rPr>
        <w:tab/>
      </w:r>
      <w:r>
        <w:rPr>
          <w:rFonts w:hint="eastAsia" w:ascii="Times New Roman" w:hAnsi="Times New Roman"/>
          <w:sz w:val="24"/>
          <w:szCs w:val="24"/>
        </w:rPr>
        <w:t>6</w:t>
      </w:r>
    </w:p>
    <w:p w14:paraId="34E9B9BD">
      <w:pPr>
        <w:pStyle w:val="15"/>
        <w:adjustRightInd w:val="0"/>
        <w:snapToGrid w:val="0"/>
        <w:spacing w:line="560" w:lineRule="exact"/>
        <w:ind w:left="0" w:leftChars="0" w:firstLine="640" w:firstLineChars="200"/>
        <w:jc w:val="left"/>
        <w:rPr>
          <w:sz w:val="32"/>
          <w:szCs w:val="32"/>
        </w:rPr>
      </w:pPr>
      <w:bookmarkStart w:id="6" w:name="_Toc15377196"/>
      <w:bookmarkStart w:id="7" w:name="_Toc15396599"/>
      <w:r>
        <w:rPr>
          <w:rFonts w:eastAsia="仿宋_GB2312"/>
          <w:sz w:val="32"/>
          <w:szCs w:val="32"/>
        </w:rPr>
        <w:t>一、收入支出决算总体情况说明</w:t>
      </w:r>
      <w:r>
        <w:rPr>
          <w:sz w:val="24"/>
        </w:rPr>
        <w:tab/>
      </w:r>
      <w:r>
        <w:rPr>
          <w:rFonts w:hint="eastAsia"/>
          <w:sz w:val="24"/>
        </w:rPr>
        <w:t>6</w:t>
      </w:r>
    </w:p>
    <w:p w14:paraId="05874495">
      <w:pPr>
        <w:pStyle w:val="15"/>
        <w:adjustRightInd w:val="0"/>
        <w:snapToGrid w:val="0"/>
        <w:spacing w:line="560" w:lineRule="exact"/>
        <w:ind w:left="0" w:leftChars="0" w:firstLine="640" w:firstLineChars="200"/>
        <w:jc w:val="left"/>
        <w:rPr>
          <w:sz w:val="32"/>
          <w:szCs w:val="32"/>
        </w:rPr>
      </w:pPr>
      <w:r>
        <w:rPr>
          <w:rFonts w:eastAsia="仿宋_GB2312"/>
          <w:sz w:val="32"/>
          <w:szCs w:val="32"/>
        </w:rPr>
        <w:t>二、收入决算情况说明</w:t>
      </w:r>
      <w:r>
        <w:rPr>
          <w:sz w:val="24"/>
        </w:rPr>
        <w:tab/>
      </w:r>
      <w:r>
        <w:rPr>
          <w:rFonts w:hint="eastAsia"/>
          <w:sz w:val="24"/>
        </w:rPr>
        <w:t>7</w:t>
      </w:r>
    </w:p>
    <w:p w14:paraId="315EAF18">
      <w:pPr>
        <w:pStyle w:val="15"/>
        <w:adjustRightInd w:val="0"/>
        <w:snapToGrid w:val="0"/>
        <w:spacing w:line="560" w:lineRule="exact"/>
        <w:ind w:left="0" w:leftChars="0" w:firstLine="640" w:firstLineChars="200"/>
        <w:jc w:val="left"/>
        <w:rPr>
          <w:sz w:val="32"/>
          <w:szCs w:val="32"/>
        </w:rPr>
      </w:pPr>
      <w:r>
        <w:rPr>
          <w:rFonts w:eastAsia="仿宋_GB2312"/>
          <w:sz w:val="32"/>
          <w:szCs w:val="32"/>
        </w:rPr>
        <w:t>三、支出决算情况说明</w:t>
      </w:r>
      <w:r>
        <w:rPr>
          <w:sz w:val="24"/>
        </w:rPr>
        <w:tab/>
      </w:r>
      <w:r>
        <w:rPr>
          <w:rFonts w:hint="eastAsia"/>
          <w:sz w:val="24"/>
        </w:rPr>
        <w:t>7</w:t>
      </w:r>
    </w:p>
    <w:p w14:paraId="186FF095">
      <w:pPr>
        <w:pStyle w:val="15"/>
        <w:adjustRightInd w:val="0"/>
        <w:snapToGrid w:val="0"/>
        <w:spacing w:line="560" w:lineRule="exact"/>
        <w:ind w:left="0" w:leftChars="0" w:firstLine="640" w:firstLineChars="200"/>
        <w:jc w:val="left"/>
        <w:rPr>
          <w:sz w:val="32"/>
          <w:szCs w:val="32"/>
        </w:rPr>
      </w:pPr>
      <w:r>
        <w:rPr>
          <w:rFonts w:eastAsia="仿宋_GB2312"/>
          <w:sz w:val="32"/>
          <w:szCs w:val="32"/>
        </w:rPr>
        <w:t>四、财政拨款收入支出决算总体情况说明</w:t>
      </w:r>
      <w:r>
        <w:rPr>
          <w:sz w:val="24"/>
        </w:rPr>
        <w:tab/>
      </w:r>
      <w:r>
        <w:rPr>
          <w:rFonts w:hint="eastAsia"/>
          <w:sz w:val="24"/>
        </w:rPr>
        <w:t>8</w:t>
      </w:r>
    </w:p>
    <w:p w14:paraId="196D34D6">
      <w:pPr>
        <w:pStyle w:val="15"/>
        <w:adjustRightInd w:val="0"/>
        <w:snapToGrid w:val="0"/>
        <w:spacing w:line="560" w:lineRule="exact"/>
        <w:ind w:left="0" w:leftChars="0" w:firstLine="640" w:firstLineChars="200"/>
        <w:jc w:val="left"/>
        <w:rPr>
          <w:sz w:val="32"/>
          <w:szCs w:val="32"/>
        </w:rPr>
      </w:pPr>
      <w:r>
        <w:rPr>
          <w:rFonts w:eastAsia="仿宋_GB2312"/>
          <w:sz w:val="32"/>
          <w:szCs w:val="32"/>
        </w:rPr>
        <w:t>五、一般公共预算财政拨款支出决算情况说明</w:t>
      </w:r>
      <w:r>
        <w:rPr>
          <w:sz w:val="24"/>
        </w:rPr>
        <w:tab/>
      </w:r>
      <w:r>
        <w:rPr>
          <w:rFonts w:hint="eastAsia"/>
          <w:sz w:val="24"/>
        </w:rPr>
        <w:t>8</w:t>
      </w:r>
    </w:p>
    <w:p w14:paraId="0D90ABC5">
      <w:pPr>
        <w:pStyle w:val="15"/>
        <w:adjustRightInd w:val="0"/>
        <w:snapToGrid w:val="0"/>
        <w:spacing w:line="560" w:lineRule="exact"/>
        <w:ind w:left="0" w:leftChars="0" w:firstLine="640" w:firstLineChars="200"/>
        <w:jc w:val="left"/>
        <w:rPr>
          <w:sz w:val="32"/>
          <w:szCs w:val="32"/>
        </w:rPr>
      </w:pPr>
      <w:r>
        <w:rPr>
          <w:rFonts w:eastAsia="仿宋_GB2312"/>
          <w:sz w:val="32"/>
          <w:szCs w:val="32"/>
        </w:rPr>
        <w:t>六、一般公共预算财政拨款基本支出决算情况说明</w:t>
      </w:r>
      <w:r>
        <w:rPr>
          <w:sz w:val="24"/>
        </w:rPr>
        <w:tab/>
      </w:r>
      <w:r>
        <w:rPr>
          <w:rFonts w:hint="eastAsia"/>
          <w:sz w:val="24"/>
        </w:rPr>
        <w:t>12</w:t>
      </w:r>
    </w:p>
    <w:p w14:paraId="021A569F">
      <w:pPr>
        <w:pStyle w:val="15"/>
        <w:adjustRightInd w:val="0"/>
        <w:snapToGrid w:val="0"/>
        <w:spacing w:line="560" w:lineRule="exact"/>
        <w:ind w:left="0" w:leftChars="0" w:firstLine="640" w:firstLineChars="200"/>
        <w:jc w:val="left"/>
        <w:rPr>
          <w:sz w:val="32"/>
          <w:szCs w:val="32"/>
        </w:rPr>
      </w:pPr>
      <w:r>
        <w:rPr>
          <w:rFonts w:eastAsia="仿宋_GB2312"/>
          <w:sz w:val="32"/>
          <w:szCs w:val="32"/>
        </w:rPr>
        <w:t>七、财政拨款“三公”经费支出决算情况说明</w:t>
      </w:r>
      <w:r>
        <w:rPr>
          <w:sz w:val="24"/>
        </w:rPr>
        <w:tab/>
      </w:r>
      <w:r>
        <w:rPr>
          <w:rFonts w:hint="eastAsia"/>
          <w:sz w:val="24"/>
        </w:rPr>
        <w:t>12</w:t>
      </w:r>
    </w:p>
    <w:p w14:paraId="4779D220">
      <w:pPr>
        <w:pStyle w:val="15"/>
        <w:adjustRightInd w:val="0"/>
        <w:snapToGrid w:val="0"/>
        <w:spacing w:line="560" w:lineRule="exact"/>
        <w:ind w:left="0" w:leftChars="0" w:firstLine="640" w:firstLineChars="200"/>
        <w:jc w:val="left"/>
        <w:rPr>
          <w:sz w:val="32"/>
          <w:szCs w:val="32"/>
        </w:rPr>
      </w:pPr>
      <w:r>
        <w:rPr>
          <w:rFonts w:eastAsia="仿宋_GB2312"/>
          <w:sz w:val="32"/>
          <w:szCs w:val="32"/>
        </w:rPr>
        <w:t>八、政府性基金预算支出决算情况说明</w:t>
      </w:r>
      <w:r>
        <w:rPr>
          <w:sz w:val="24"/>
        </w:rPr>
        <w:tab/>
      </w:r>
      <w:r>
        <w:rPr>
          <w:rFonts w:hint="eastAsia"/>
          <w:sz w:val="24"/>
        </w:rPr>
        <w:t>14</w:t>
      </w:r>
    </w:p>
    <w:p w14:paraId="277EF098">
      <w:pPr>
        <w:pStyle w:val="15"/>
        <w:adjustRightInd w:val="0"/>
        <w:snapToGrid w:val="0"/>
        <w:spacing w:line="560" w:lineRule="exact"/>
        <w:ind w:left="0" w:leftChars="0" w:firstLine="640" w:firstLineChars="200"/>
        <w:jc w:val="left"/>
        <w:rPr>
          <w:sz w:val="32"/>
          <w:szCs w:val="32"/>
        </w:rPr>
      </w:pPr>
      <w:r>
        <w:rPr>
          <w:rFonts w:eastAsia="仿宋_GB2312"/>
          <w:sz w:val="32"/>
          <w:szCs w:val="32"/>
        </w:rPr>
        <w:t>九、国有资本经营预算支出决算情况说明</w:t>
      </w:r>
      <w:r>
        <w:rPr>
          <w:sz w:val="24"/>
        </w:rPr>
        <w:tab/>
      </w:r>
      <w:r>
        <w:rPr>
          <w:rFonts w:hint="eastAsia"/>
          <w:sz w:val="24"/>
        </w:rPr>
        <w:t>14</w:t>
      </w:r>
    </w:p>
    <w:p w14:paraId="4BE0AEF7">
      <w:pPr>
        <w:pStyle w:val="15"/>
        <w:adjustRightInd w:val="0"/>
        <w:snapToGrid w:val="0"/>
        <w:spacing w:line="560" w:lineRule="exact"/>
        <w:ind w:left="0" w:leftChars="0" w:firstLine="640" w:firstLineChars="200"/>
        <w:jc w:val="left"/>
        <w:rPr>
          <w:sz w:val="32"/>
          <w:szCs w:val="32"/>
        </w:rPr>
      </w:pPr>
      <w:r>
        <w:rPr>
          <w:rFonts w:eastAsia="仿宋_GB2312"/>
          <w:sz w:val="32"/>
          <w:szCs w:val="32"/>
        </w:rPr>
        <w:t>十、其他重要事项的情况说明</w:t>
      </w:r>
      <w:r>
        <w:rPr>
          <w:sz w:val="24"/>
        </w:rPr>
        <w:tab/>
      </w:r>
      <w:r>
        <w:rPr>
          <w:rFonts w:hint="eastAsia"/>
          <w:sz w:val="24"/>
        </w:rPr>
        <w:t>14</w:t>
      </w:r>
    </w:p>
    <w:p w14:paraId="05A518F8">
      <w:pPr>
        <w:pStyle w:val="13"/>
        <w:adjustRightInd w:val="0"/>
        <w:snapToGrid w:val="0"/>
        <w:spacing w:before="0" w:line="560" w:lineRule="exact"/>
        <w:jc w:val="left"/>
        <w:rPr>
          <w:rFonts w:ascii="Times New Roman" w:hAnsi="Times New Roman" w:eastAsia="黑体"/>
          <w:sz w:val="32"/>
          <w:szCs w:val="32"/>
        </w:rPr>
      </w:pPr>
      <w:r>
        <w:rPr>
          <w:rFonts w:ascii="Times New Roman" w:hAnsi="Times New Roman" w:eastAsia="黑体"/>
          <w:sz w:val="32"/>
          <w:szCs w:val="32"/>
        </w:rPr>
        <w:t>第三部分 名词解释</w:t>
      </w:r>
      <w:r>
        <w:rPr>
          <w:rFonts w:ascii="Times New Roman" w:hAnsi="Times New Roman"/>
          <w:sz w:val="24"/>
          <w:szCs w:val="24"/>
        </w:rPr>
        <w:tab/>
      </w:r>
      <w:r>
        <w:rPr>
          <w:rFonts w:hint="eastAsia" w:ascii="Times New Roman" w:hAnsi="Times New Roman"/>
          <w:sz w:val="24"/>
          <w:szCs w:val="24"/>
        </w:rPr>
        <w:t>16</w:t>
      </w:r>
    </w:p>
    <w:p w14:paraId="29BB9067">
      <w:pPr>
        <w:pStyle w:val="13"/>
        <w:adjustRightInd w:val="0"/>
        <w:snapToGrid w:val="0"/>
        <w:spacing w:before="0" w:line="560" w:lineRule="exact"/>
        <w:jc w:val="left"/>
        <w:rPr>
          <w:rFonts w:ascii="Times New Roman" w:hAnsi="Times New Roman"/>
          <w:sz w:val="32"/>
          <w:szCs w:val="32"/>
        </w:rPr>
      </w:pPr>
      <w:r>
        <w:rPr>
          <w:rFonts w:ascii="Times New Roman" w:hAnsi="Times New Roman" w:eastAsia="黑体"/>
          <w:sz w:val="32"/>
          <w:szCs w:val="32"/>
        </w:rPr>
        <w:t>第四部分 附件</w:t>
      </w:r>
      <w:r>
        <w:rPr>
          <w:rFonts w:ascii="Times New Roman" w:hAnsi="Times New Roman"/>
          <w:sz w:val="24"/>
          <w:szCs w:val="24"/>
        </w:rPr>
        <w:tab/>
      </w:r>
      <w:r>
        <w:rPr>
          <w:rFonts w:hint="eastAsia" w:ascii="Times New Roman" w:hAnsi="Times New Roman"/>
          <w:sz w:val="24"/>
          <w:szCs w:val="24"/>
        </w:rPr>
        <w:t>20</w:t>
      </w:r>
    </w:p>
    <w:p w14:paraId="1B9F7CA3">
      <w:pPr>
        <w:pStyle w:val="13"/>
        <w:adjustRightInd w:val="0"/>
        <w:snapToGrid w:val="0"/>
        <w:spacing w:before="0" w:line="560" w:lineRule="exact"/>
        <w:jc w:val="left"/>
        <w:rPr>
          <w:rFonts w:ascii="Times New Roman" w:hAnsi="Times New Roman"/>
          <w:sz w:val="32"/>
          <w:szCs w:val="32"/>
        </w:rPr>
      </w:pPr>
      <w:r>
        <w:rPr>
          <w:rFonts w:ascii="Times New Roman" w:hAnsi="Times New Roman" w:eastAsia="黑体"/>
          <w:sz w:val="32"/>
          <w:szCs w:val="32"/>
        </w:rPr>
        <w:t>第五部分 附表</w:t>
      </w:r>
      <w:r>
        <w:rPr>
          <w:rFonts w:ascii="Times New Roman" w:hAnsi="Times New Roman"/>
          <w:sz w:val="24"/>
          <w:szCs w:val="24"/>
        </w:rPr>
        <w:tab/>
      </w:r>
      <w:r>
        <w:rPr>
          <w:rFonts w:hint="eastAsia" w:ascii="Times New Roman" w:hAnsi="Times New Roman"/>
          <w:sz w:val="24"/>
          <w:szCs w:val="24"/>
        </w:rPr>
        <w:t>21</w:t>
      </w:r>
    </w:p>
    <w:p w14:paraId="507D3C0D">
      <w:pPr>
        <w:pStyle w:val="15"/>
        <w:adjustRightInd w:val="0"/>
        <w:snapToGrid w:val="0"/>
        <w:spacing w:line="560" w:lineRule="exact"/>
        <w:ind w:left="0" w:leftChars="0" w:firstLine="640" w:firstLineChars="200"/>
        <w:jc w:val="left"/>
        <w:rPr>
          <w:sz w:val="32"/>
          <w:szCs w:val="32"/>
        </w:rPr>
      </w:pPr>
      <w:r>
        <w:rPr>
          <w:rFonts w:eastAsia="仿宋_GB2312"/>
          <w:sz w:val="32"/>
          <w:szCs w:val="32"/>
        </w:rPr>
        <w:t>一、收入支出决算总表</w:t>
      </w:r>
      <w:r>
        <w:rPr>
          <w:sz w:val="24"/>
        </w:rPr>
        <w:tab/>
      </w:r>
      <w:r>
        <w:rPr>
          <w:rFonts w:hint="eastAsia"/>
          <w:sz w:val="24"/>
        </w:rPr>
        <w:t>21</w:t>
      </w:r>
    </w:p>
    <w:p w14:paraId="6F759975">
      <w:pPr>
        <w:pStyle w:val="15"/>
        <w:adjustRightInd w:val="0"/>
        <w:snapToGrid w:val="0"/>
        <w:spacing w:line="560" w:lineRule="exact"/>
        <w:ind w:left="0" w:leftChars="0" w:firstLine="640" w:firstLineChars="200"/>
        <w:jc w:val="left"/>
        <w:rPr>
          <w:sz w:val="32"/>
          <w:szCs w:val="32"/>
        </w:rPr>
      </w:pPr>
      <w:r>
        <w:rPr>
          <w:rFonts w:eastAsia="仿宋_GB2312"/>
          <w:sz w:val="32"/>
          <w:szCs w:val="32"/>
        </w:rPr>
        <w:t>二、收入决算表</w:t>
      </w:r>
      <w:r>
        <w:rPr>
          <w:sz w:val="24"/>
        </w:rPr>
        <w:tab/>
      </w:r>
      <w:r>
        <w:rPr>
          <w:rFonts w:hint="eastAsia"/>
          <w:sz w:val="24"/>
        </w:rPr>
        <w:t>21</w:t>
      </w:r>
    </w:p>
    <w:p w14:paraId="0D8D1C70">
      <w:pPr>
        <w:pStyle w:val="15"/>
        <w:adjustRightInd w:val="0"/>
        <w:snapToGrid w:val="0"/>
        <w:spacing w:line="560" w:lineRule="exact"/>
        <w:ind w:left="0" w:leftChars="0" w:firstLine="640" w:firstLineChars="200"/>
        <w:jc w:val="left"/>
        <w:rPr>
          <w:sz w:val="32"/>
          <w:szCs w:val="32"/>
        </w:rPr>
      </w:pPr>
      <w:r>
        <w:rPr>
          <w:rFonts w:eastAsia="仿宋_GB2312"/>
          <w:sz w:val="32"/>
          <w:szCs w:val="32"/>
        </w:rPr>
        <w:t>三、支出决算表</w:t>
      </w:r>
      <w:r>
        <w:rPr>
          <w:sz w:val="24"/>
        </w:rPr>
        <w:tab/>
      </w:r>
      <w:r>
        <w:rPr>
          <w:rFonts w:hint="eastAsia"/>
          <w:sz w:val="24"/>
        </w:rPr>
        <w:t>21</w:t>
      </w:r>
    </w:p>
    <w:p w14:paraId="79889CC5">
      <w:pPr>
        <w:pStyle w:val="15"/>
        <w:adjustRightInd w:val="0"/>
        <w:snapToGrid w:val="0"/>
        <w:spacing w:line="560" w:lineRule="exact"/>
        <w:ind w:left="0" w:leftChars="0" w:firstLine="640" w:firstLineChars="200"/>
        <w:jc w:val="left"/>
        <w:rPr>
          <w:sz w:val="32"/>
          <w:szCs w:val="32"/>
        </w:rPr>
      </w:pPr>
      <w:r>
        <w:rPr>
          <w:rFonts w:eastAsia="仿宋_GB2312"/>
          <w:sz w:val="32"/>
          <w:szCs w:val="32"/>
        </w:rPr>
        <w:t>四、财政拨款收入支出决算总表</w:t>
      </w:r>
      <w:r>
        <w:rPr>
          <w:sz w:val="24"/>
        </w:rPr>
        <w:tab/>
      </w:r>
      <w:r>
        <w:rPr>
          <w:rFonts w:hint="eastAsia"/>
          <w:sz w:val="24"/>
        </w:rPr>
        <w:t>21</w:t>
      </w:r>
    </w:p>
    <w:p w14:paraId="08F33897">
      <w:pPr>
        <w:pStyle w:val="15"/>
        <w:adjustRightInd w:val="0"/>
        <w:snapToGrid w:val="0"/>
        <w:spacing w:line="560" w:lineRule="exact"/>
        <w:ind w:left="0" w:leftChars="0" w:firstLine="640" w:firstLineChars="200"/>
        <w:jc w:val="left"/>
        <w:rPr>
          <w:sz w:val="32"/>
          <w:szCs w:val="32"/>
        </w:rPr>
      </w:pPr>
      <w:r>
        <w:rPr>
          <w:rFonts w:eastAsia="仿宋_GB2312"/>
          <w:sz w:val="32"/>
          <w:szCs w:val="32"/>
        </w:rPr>
        <w:t>五、财政拨款支出决算明细表</w:t>
      </w:r>
      <w:r>
        <w:rPr>
          <w:sz w:val="24"/>
        </w:rPr>
        <w:tab/>
      </w:r>
      <w:r>
        <w:rPr>
          <w:rFonts w:hint="eastAsia"/>
          <w:sz w:val="24"/>
        </w:rPr>
        <w:t>21</w:t>
      </w:r>
    </w:p>
    <w:p w14:paraId="75CEB89E">
      <w:pPr>
        <w:pStyle w:val="15"/>
        <w:adjustRightInd w:val="0"/>
        <w:snapToGrid w:val="0"/>
        <w:spacing w:line="560" w:lineRule="exact"/>
        <w:ind w:left="0" w:leftChars="0" w:firstLine="640" w:firstLineChars="200"/>
        <w:jc w:val="left"/>
        <w:rPr>
          <w:sz w:val="32"/>
          <w:szCs w:val="32"/>
        </w:rPr>
      </w:pPr>
      <w:r>
        <w:rPr>
          <w:rFonts w:eastAsia="仿宋_GB2312"/>
          <w:sz w:val="32"/>
          <w:szCs w:val="32"/>
        </w:rPr>
        <w:t>六、一般公共预算财政拨款支出决算表</w:t>
      </w:r>
      <w:r>
        <w:rPr>
          <w:sz w:val="24"/>
        </w:rPr>
        <w:tab/>
      </w:r>
      <w:r>
        <w:rPr>
          <w:rFonts w:hint="eastAsia"/>
          <w:sz w:val="24"/>
        </w:rPr>
        <w:t>21</w:t>
      </w:r>
    </w:p>
    <w:p w14:paraId="168D7558">
      <w:pPr>
        <w:pStyle w:val="15"/>
        <w:adjustRightInd w:val="0"/>
        <w:snapToGrid w:val="0"/>
        <w:spacing w:line="560" w:lineRule="exact"/>
        <w:ind w:left="0" w:leftChars="0" w:firstLine="640" w:firstLineChars="200"/>
        <w:jc w:val="left"/>
        <w:rPr>
          <w:sz w:val="32"/>
          <w:szCs w:val="32"/>
        </w:rPr>
      </w:pPr>
      <w:r>
        <w:rPr>
          <w:rFonts w:eastAsia="仿宋_GB2312"/>
          <w:sz w:val="32"/>
          <w:szCs w:val="32"/>
        </w:rPr>
        <w:t>七、一般公共预算财政拨款支出决算明细表</w:t>
      </w:r>
      <w:r>
        <w:rPr>
          <w:sz w:val="24"/>
        </w:rPr>
        <w:tab/>
      </w:r>
      <w:r>
        <w:rPr>
          <w:rFonts w:hint="eastAsia"/>
          <w:sz w:val="24"/>
        </w:rPr>
        <w:t>21</w:t>
      </w:r>
    </w:p>
    <w:p w14:paraId="4BDB72D5">
      <w:pPr>
        <w:pStyle w:val="15"/>
        <w:adjustRightInd w:val="0"/>
        <w:snapToGrid w:val="0"/>
        <w:spacing w:line="560" w:lineRule="exact"/>
        <w:ind w:left="0" w:leftChars="0" w:firstLine="640" w:firstLineChars="200"/>
        <w:jc w:val="left"/>
        <w:rPr>
          <w:sz w:val="32"/>
          <w:szCs w:val="32"/>
        </w:rPr>
      </w:pPr>
      <w:r>
        <w:rPr>
          <w:rFonts w:eastAsia="仿宋_GB2312"/>
          <w:sz w:val="32"/>
          <w:szCs w:val="32"/>
        </w:rPr>
        <w:t>八、一般公共预算财政拨款基本支出决算明细表</w:t>
      </w:r>
      <w:r>
        <w:rPr>
          <w:sz w:val="24"/>
        </w:rPr>
        <w:tab/>
      </w:r>
      <w:r>
        <w:rPr>
          <w:rFonts w:hint="eastAsia"/>
          <w:sz w:val="24"/>
        </w:rPr>
        <w:t>21</w:t>
      </w:r>
    </w:p>
    <w:p w14:paraId="3CD12241">
      <w:pPr>
        <w:pStyle w:val="15"/>
        <w:adjustRightInd w:val="0"/>
        <w:snapToGrid w:val="0"/>
        <w:spacing w:line="560" w:lineRule="exact"/>
        <w:ind w:left="0" w:leftChars="0" w:firstLine="640" w:firstLineChars="200"/>
        <w:jc w:val="left"/>
        <w:rPr>
          <w:sz w:val="32"/>
          <w:szCs w:val="32"/>
        </w:rPr>
      </w:pPr>
      <w:r>
        <w:rPr>
          <w:rFonts w:eastAsia="仿宋_GB2312"/>
          <w:sz w:val="32"/>
          <w:szCs w:val="32"/>
        </w:rPr>
        <w:t>九、一般公共预算财政拨款项目支出决算表</w:t>
      </w:r>
      <w:r>
        <w:rPr>
          <w:sz w:val="24"/>
        </w:rPr>
        <w:tab/>
      </w:r>
      <w:r>
        <w:rPr>
          <w:rFonts w:hint="eastAsia"/>
          <w:sz w:val="24"/>
        </w:rPr>
        <w:t>21</w:t>
      </w:r>
    </w:p>
    <w:p w14:paraId="3E1BFF64">
      <w:pPr>
        <w:pStyle w:val="15"/>
        <w:adjustRightInd w:val="0"/>
        <w:snapToGrid w:val="0"/>
        <w:spacing w:line="560" w:lineRule="exact"/>
        <w:ind w:left="0" w:leftChars="0" w:firstLine="640" w:firstLineChars="200"/>
        <w:jc w:val="left"/>
        <w:rPr>
          <w:sz w:val="32"/>
          <w:szCs w:val="32"/>
        </w:rPr>
      </w:pPr>
      <w:r>
        <w:rPr>
          <w:rFonts w:eastAsia="仿宋_GB2312"/>
          <w:sz w:val="32"/>
          <w:szCs w:val="32"/>
        </w:rPr>
        <w:t>十、政府性基金预算财政拨款收入支出决算表</w:t>
      </w:r>
      <w:r>
        <w:rPr>
          <w:sz w:val="24"/>
        </w:rPr>
        <w:tab/>
      </w:r>
      <w:r>
        <w:rPr>
          <w:rFonts w:hint="eastAsia"/>
          <w:sz w:val="24"/>
        </w:rPr>
        <w:t>21</w:t>
      </w:r>
    </w:p>
    <w:p w14:paraId="532168C2">
      <w:pPr>
        <w:pStyle w:val="15"/>
        <w:adjustRightInd w:val="0"/>
        <w:snapToGrid w:val="0"/>
        <w:spacing w:line="560" w:lineRule="exact"/>
        <w:ind w:left="0" w:leftChars="0" w:firstLine="640" w:firstLineChars="200"/>
        <w:jc w:val="left"/>
        <w:rPr>
          <w:sz w:val="32"/>
          <w:szCs w:val="32"/>
        </w:rPr>
      </w:pPr>
      <w:r>
        <w:rPr>
          <w:rFonts w:eastAsia="仿宋_GB2312"/>
          <w:sz w:val="32"/>
          <w:szCs w:val="32"/>
        </w:rPr>
        <w:t>十一、国有资本经营预算财政拨款收入支出决算表</w:t>
      </w:r>
      <w:r>
        <w:rPr>
          <w:sz w:val="24"/>
        </w:rPr>
        <w:tab/>
      </w:r>
      <w:r>
        <w:rPr>
          <w:rFonts w:hint="eastAsia"/>
          <w:sz w:val="24"/>
        </w:rPr>
        <w:t>21</w:t>
      </w:r>
    </w:p>
    <w:p w14:paraId="43BCB49E">
      <w:pPr>
        <w:pStyle w:val="15"/>
        <w:adjustRightInd w:val="0"/>
        <w:snapToGrid w:val="0"/>
        <w:spacing w:line="560" w:lineRule="exact"/>
        <w:ind w:left="0" w:leftChars="0" w:firstLine="640" w:firstLineChars="200"/>
        <w:jc w:val="left"/>
        <w:rPr>
          <w:sz w:val="32"/>
          <w:szCs w:val="32"/>
        </w:rPr>
      </w:pPr>
      <w:r>
        <w:rPr>
          <w:rFonts w:eastAsia="仿宋_GB2312"/>
          <w:sz w:val="32"/>
          <w:szCs w:val="32"/>
        </w:rPr>
        <w:t>十二、国有资本经营预算财政拨款支出决算表</w:t>
      </w:r>
      <w:r>
        <w:rPr>
          <w:sz w:val="24"/>
        </w:rPr>
        <w:tab/>
      </w:r>
      <w:r>
        <w:rPr>
          <w:rFonts w:hint="eastAsia"/>
          <w:sz w:val="24"/>
        </w:rPr>
        <w:t>21</w:t>
      </w:r>
    </w:p>
    <w:p w14:paraId="3969D895">
      <w:pPr>
        <w:pStyle w:val="15"/>
        <w:adjustRightInd w:val="0"/>
        <w:snapToGrid w:val="0"/>
        <w:spacing w:line="560" w:lineRule="exact"/>
        <w:ind w:left="0" w:leftChars="0" w:firstLine="640" w:firstLineChars="200"/>
        <w:jc w:val="left"/>
        <w:rPr>
          <w:sz w:val="32"/>
          <w:szCs w:val="32"/>
        </w:rPr>
      </w:pPr>
      <w:r>
        <w:rPr>
          <w:rFonts w:eastAsia="仿宋_GB2312"/>
          <w:sz w:val="32"/>
          <w:szCs w:val="32"/>
        </w:rPr>
        <w:t>十三、财政拨款“三公”经费支出决算表</w:t>
      </w:r>
      <w:r>
        <w:rPr>
          <w:sz w:val="24"/>
        </w:rPr>
        <w:tab/>
      </w:r>
      <w:r>
        <w:rPr>
          <w:rFonts w:hint="eastAsia"/>
          <w:sz w:val="24"/>
        </w:rPr>
        <w:t>21</w:t>
      </w:r>
    </w:p>
    <w:p w14:paraId="2CA69509">
      <w:pPr>
        <w:widowControl/>
        <w:spacing w:line="560" w:lineRule="exact"/>
        <w:jc w:val="left"/>
        <w:rPr>
          <w:rFonts w:eastAsia="仿宋_GB2312" w:cs="仿宋_GB2312"/>
          <w:bCs/>
          <w:kern w:val="44"/>
          <w:sz w:val="32"/>
          <w:szCs w:val="32"/>
        </w:rPr>
      </w:pPr>
      <w:r>
        <w:rPr>
          <w:rFonts w:hint="eastAsia" w:eastAsia="仿宋_GB2312" w:cs="仿宋_GB2312"/>
          <w:b/>
          <w:sz w:val="32"/>
          <w:szCs w:val="32"/>
        </w:rPr>
        <w:br w:type="page"/>
      </w:r>
    </w:p>
    <w:p w14:paraId="0DB049FF">
      <w:pPr>
        <w:pStyle w:val="3"/>
        <w:jc w:val="center"/>
        <w:rPr>
          <w:rStyle w:val="28"/>
          <w:rFonts w:eastAsia="方正小标宋简体" w:cs="方正小标宋简体"/>
          <w:b/>
          <w:bCs w:val="0"/>
        </w:rPr>
      </w:pPr>
      <w:bookmarkStart w:id="8" w:name="_Toc19080"/>
      <w:r>
        <w:rPr>
          <w:rFonts w:hint="eastAsia" w:eastAsia="方正小标宋简体" w:cs="方正小标宋简体"/>
          <w:b w:val="0"/>
        </w:rPr>
        <w:t>第一部分  单位</w:t>
      </w:r>
      <w:r>
        <w:rPr>
          <w:rStyle w:val="28"/>
          <w:rFonts w:hint="eastAsia" w:eastAsia="方正小标宋简体" w:cs="方正小标宋简体"/>
          <w:b w:val="0"/>
          <w:bCs w:val="0"/>
        </w:rPr>
        <w:t>概况</w:t>
      </w:r>
      <w:bookmarkEnd w:id="6"/>
      <w:bookmarkEnd w:id="7"/>
      <w:bookmarkEnd w:id="8"/>
    </w:p>
    <w:p w14:paraId="3F13794E">
      <w:pPr>
        <w:pStyle w:val="4"/>
        <w:rPr>
          <w:rFonts w:ascii="Times New Roman" w:hAnsi="Times New Roman" w:eastAsia="黑体"/>
          <w:b w:val="0"/>
        </w:rPr>
      </w:pPr>
      <w:bookmarkStart w:id="9" w:name="_Toc15377197"/>
      <w:bookmarkStart w:id="10" w:name="_Toc15396600"/>
      <w:bookmarkStart w:id="11" w:name="_Toc5380"/>
      <w:r>
        <w:rPr>
          <w:rFonts w:hint="eastAsia" w:ascii="Times New Roman" w:hAnsi="Times New Roman" w:eastAsia="黑体"/>
          <w:b w:val="0"/>
        </w:rPr>
        <w:t>一、</w:t>
      </w:r>
      <w:bookmarkEnd w:id="9"/>
      <w:bookmarkEnd w:id="10"/>
      <w:r>
        <w:rPr>
          <w:rFonts w:hint="eastAsia" w:ascii="Times New Roman" w:hAnsi="Times New Roman" w:eastAsia="黑体"/>
          <w:b w:val="0"/>
        </w:rPr>
        <w:t>单位职责</w:t>
      </w:r>
      <w:bookmarkEnd w:id="11"/>
    </w:p>
    <w:p w14:paraId="69216B9E">
      <w:pPr>
        <w:spacing w:line="600" w:lineRule="exact"/>
        <w:ind w:firstLine="640" w:firstLineChars="200"/>
      </w:pPr>
      <w:r>
        <w:rPr>
          <w:rFonts w:eastAsia="仿宋"/>
          <w:sz w:val="32"/>
          <w:szCs w:val="32"/>
        </w:rPr>
        <w:t>攀枝花市土地储备中心是由中共攀枝花市委机构编制委员会批准设立（攀编发〔2006〕5号），为攀枝花市国土资源局所属公益一类事业单位。主要职责：（1）根据土地利用总体规划和城市规划以及市场需求情况，草拟土地储备年度计划。（2）对拟收购土地进行市场调查分析，拟制土地收购方案。（3）拟定储备土地开发整理方案，组织工程招投标和工程进度，质量监督。（4）按规定管理依法收回的违法用地、闲置荒芜土地、无主地和置换土地，并纳入储备土地范围，并对储备土地进行管理。（5）对城市建成区内成片旧城改造块进行开发、加工整理。（6）严格执行土地收购储备资金管理规定，多渠道筹措土地收购储备资金。（7）协助规划部门做好储备土地规划方案的优化，拟制储备土地营销方案，做好储备土地招商引资和投入市场的前期准备工作。（8）完成上级部门交办的其他工作。主管部门：攀枝花市自然资源和规划局。</w:t>
      </w:r>
    </w:p>
    <w:p w14:paraId="422A74C6">
      <w:pPr>
        <w:pStyle w:val="4"/>
        <w:rPr>
          <w:rStyle w:val="29"/>
          <w:rFonts w:ascii="Times New Roman" w:hAnsi="Times New Roman"/>
          <w:b w:val="0"/>
          <w:bCs w:val="0"/>
        </w:rPr>
      </w:pPr>
      <w:bookmarkStart w:id="12" w:name="_Toc15377200"/>
      <w:bookmarkStart w:id="13" w:name="_Toc15396601"/>
      <w:bookmarkStart w:id="14" w:name="_Toc2311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2"/>
      <w:bookmarkEnd w:id="13"/>
      <w:bookmarkEnd w:id="14"/>
    </w:p>
    <w:p w14:paraId="71CEAABD">
      <w:pPr>
        <w:ind w:firstLine="800" w:firstLineChars="250"/>
        <w:rPr>
          <w:rFonts w:eastAsia="仿宋_GB2312"/>
          <w:sz w:val="32"/>
          <w:szCs w:val="32"/>
        </w:rPr>
      </w:pPr>
      <w:r>
        <w:rPr>
          <w:rFonts w:eastAsia="仿宋_GB2312"/>
          <w:sz w:val="32"/>
          <w:szCs w:val="32"/>
        </w:rPr>
        <w:t>攀枝花市土地储备中心</w:t>
      </w:r>
      <w:r>
        <w:rPr>
          <w:rFonts w:eastAsia="仿宋"/>
          <w:sz w:val="32"/>
          <w:szCs w:val="32"/>
        </w:rPr>
        <w:t>根据工作需要及单位实际情况共设置5个科室，分别为办公室、储备科、统征科、工程科、资金科。</w:t>
      </w:r>
      <w:r>
        <w:rPr>
          <w:rFonts w:eastAsia="仿宋_GB2312"/>
          <w:sz w:val="32"/>
          <w:szCs w:val="32"/>
        </w:rPr>
        <w:t>下属二级预算单位0个。</w:t>
      </w:r>
    </w:p>
    <w:p w14:paraId="20791A8F">
      <w:pPr>
        <w:pStyle w:val="3"/>
        <w:jc w:val="center"/>
        <w:rPr>
          <w:rFonts w:eastAsia="方正小标宋简体" w:cs="方正小标宋简体"/>
          <w:b w:val="0"/>
        </w:rPr>
      </w:pPr>
      <w:bookmarkStart w:id="15" w:name="_Toc15377204"/>
      <w:bookmarkStart w:id="16" w:name="_Toc9742"/>
      <w:bookmarkStart w:id="17" w:name="_Toc15396602"/>
      <w:r>
        <w:rPr>
          <w:rFonts w:hint="eastAsia" w:eastAsia="方正小标宋简体" w:cs="方正小标宋简体"/>
          <w:b w:val="0"/>
        </w:rPr>
        <w:t>第二部分  2025年度单位决算情况说明</w:t>
      </w:r>
      <w:bookmarkEnd w:id="15"/>
      <w:bookmarkEnd w:id="16"/>
      <w:bookmarkEnd w:id="17"/>
    </w:p>
    <w:p w14:paraId="60FCAA34">
      <w:pPr>
        <w:pStyle w:val="27"/>
        <w:spacing w:line="600" w:lineRule="exact"/>
        <w:ind w:firstLine="640"/>
        <w:outlineLvl w:val="1"/>
        <w:rPr>
          <w:rStyle w:val="29"/>
          <w:rFonts w:ascii="Times New Roman" w:hAnsi="Times New Roman" w:eastAsia="黑体"/>
          <w:b w:val="0"/>
        </w:rPr>
      </w:pPr>
      <w:bookmarkStart w:id="18" w:name="_Toc15396603"/>
      <w:bookmarkStart w:id="19" w:name="_Toc15377205"/>
      <w:bookmarkStart w:id="20" w:name="_Toc4864"/>
      <w:r>
        <w:rPr>
          <w:rFonts w:hint="eastAsia" w:eastAsia="黑体"/>
          <w:sz w:val="32"/>
          <w:szCs w:val="32"/>
        </w:rPr>
        <w:t>一、收</w:t>
      </w:r>
      <w:r>
        <w:rPr>
          <w:rStyle w:val="29"/>
          <w:rFonts w:hint="eastAsia" w:ascii="Times New Roman" w:hAnsi="Times New Roman" w:eastAsia="黑体"/>
          <w:b w:val="0"/>
        </w:rPr>
        <w:t>入支出决算总体情况说明</w:t>
      </w:r>
      <w:bookmarkEnd w:id="18"/>
      <w:bookmarkEnd w:id="19"/>
      <w:bookmarkEnd w:id="20"/>
    </w:p>
    <w:p w14:paraId="581A66F4">
      <w:pPr>
        <w:pStyle w:val="27"/>
        <w:spacing w:line="600" w:lineRule="exact"/>
        <w:ind w:firstLine="640"/>
        <w:rPr>
          <w:rFonts w:eastAsia="仿宋"/>
          <w:color w:val="000000"/>
          <w:sz w:val="32"/>
          <w:szCs w:val="32"/>
        </w:rPr>
      </w:pPr>
      <w:r>
        <w:rPr>
          <w:rFonts w:hint="eastAsia" w:eastAsia="仿宋_GB2312" w:cs="仿宋_GB2312"/>
          <w:sz w:val="32"/>
          <w:szCs w:val="32"/>
        </w:rPr>
        <w:t>2025年度收入、支出总计均为68557.75万元。与上年度相比，收入、支出总计各增加40224.76万元，增长141.97%。主要变动原因是</w:t>
      </w:r>
      <w:r>
        <w:rPr>
          <w:rFonts w:eastAsia="仿宋"/>
          <w:color w:val="000000"/>
          <w:sz w:val="32"/>
          <w:szCs w:val="32"/>
        </w:rPr>
        <w:t>财政拨款收入增加。</w:t>
      </w:r>
    </w:p>
    <w:p w14:paraId="07EC8539">
      <w:pPr>
        <w:pStyle w:val="27"/>
        <w:spacing w:line="600" w:lineRule="exact"/>
        <w:ind w:firstLine="640"/>
        <w:jc w:val="center"/>
        <w:rPr>
          <w:rFonts w:eastAsia="仿宋"/>
          <w:color w:val="000000"/>
          <w:sz w:val="32"/>
          <w:szCs w:val="32"/>
        </w:rPr>
      </w:pPr>
      <w:r>
        <w:rPr>
          <w:rFonts w:hint="eastAsia" w:eastAsia="仿宋_GB2312" w:cs="仿宋_GB2312"/>
          <w:sz w:val="32"/>
          <w:szCs w:val="32"/>
        </w:rPr>
        <w:t>（图1：收入、支出决算总计变动情况图）</w:t>
      </w:r>
      <w:r>
        <w:rPr>
          <w:rFonts w:eastAsia="仿宋"/>
          <w:color w:val="000000"/>
          <w:sz w:val="32"/>
          <w:szCs w:val="32"/>
        </w:rPr>
        <w:drawing>
          <wp:anchor distT="0" distB="0" distL="114300" distR="114300" simplePos="0" relativeHeight="251666432" behindDoc="0" locked="0" layoutInCell="1" allowOverlap="1">
            <wp:simplePos x="0" y="0"/>
            <wp:positionH relativeFrom="column">
              <wp:posOffset>723265</wp:posOffset>
            </wp:positionH>
            <wp:positionV relativeFrom="paragraph">
              <wp:posOffset>56515</wp:posOffset>
            </wp:positionV>
            <wp:extent cx="4133215" cy="3942715"/>
            <wp:effectExtent l="5080" t="4445" r="14605" b="1524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7BF825F">
      <w:pPr>
        <w:pStyle w:val="27"/>
        <w:spacing w:line="600" w:lineRule="exact"/>
        <w:ind w:firstLine="640"/>
        <w:outlineLvl w:val="1"/>
        <w:rPr>
          <w:rFonts w:eastAsia="黑体"/>
          <w:sz w:val="32"/>
          <w:szCs w:val="32"/>
        </w:rPr>
      </w:pPr>
      <w:bookmarkStart w:id="21" w:name="_Toc15396604"/>
      <w:bookmarkStart w:id="22" w:name="_Toc12918"/>
      <w:bookmarkStart w:id="23" w:name="_Toc15377206"/>
      <w:r>
        <w:rPr>
          <w:rFonts w:hint="eastAsia" w:eastAsia="黑体"/>
          <w:sz w:val="32"/>
          <w:szCs w:val="32"/>
        </w:rPr>
        <w:t>二、收入决算情况说明</w:t>
      </w:r>
      <w:bookmarkEnd w:id="21"/>
      <w:bookmarkEnd w:id="22"/>
      <w:bookmarkEnd w:id="23"/>
    </w:p>
    <w:p w14:paraId="28F945DD">
      <w:pPr>
        <w:pStyle w:val="27"/>
        <w:spacing w:line="600" w:lineRule="exact"/>
        <w:ind w:firstLine="640"/>
        <w:rPr>
          <w:rFonts w:eastAsia="仿宋_GB2312" w:cs="仿宋_GB2312"/>
          <w:sz w:val="32"/>
          <w:szCs w:val="32"/>
        </w:rPr>
      </w:pPr>
      <w:r>
        <w:rPr>
          <w:rFonts w:hint="eastAsia" w:eastAsia="仿宋_GB2312" w:cs="仿宋_GB2312"/>
          <w:sz w:val="32"/>
          <w:szCs w:val="32"/>
        </w:rPr>
        <w:t>2025年度本年收入合计</w:t>
      </w:r>
      <w:r>
        <w:rPr>
          <w:rFonts w:hint="eastAsia" w:ascii="仿宋_GB2312" w:hAnsi="仿宋_GB2312" w:eastAsia="仿宋_GB2312" w:cs="仿宋_GB2312"/>
          <w:sz w:val="32"/>
          <w:szCs w:val="32"/>
        </w:rPr>
        <w:t>40667.14</w:t>
      </w:r>
      <w:r>
        <w:rPr>
          <w:rFonts w:hint="eastAsia" w:eastAsia="仿宋_GB2312" w:cs="仿宋_GB2312"/>
          <w:sz w:val="32"/>
          <w:szCs w:val="32"/>
        </w:rPr>
        <w:t>万元，其中：一般公共预算财政拨款收入</w:t>
      </w:r>
      <w:r>
        <w:rPr>
          <w:rFonts w:hint="eastAsia" w:ascii="仿宋_GB2312" w:hAnsi="仿宋_GB2312" w:eastAsia="仿宋_GB2312" w:cs="仿宋_GB2312"/>
          <w:sz w:val="32"/>
          <w:szCs w:val="32"/>
        </w:rPr>
        <w:t>40397.3</w:t>
      </w:r>
      <w:r>
        <w:rPr>
          <w:rFonts w:hint="eastAsia" w:eastAsia="仿宋_GB2312" w:cs="仿宋_GB2312"/>
          <w:sz w:val="32"/>
          <w:szCs w:val="32"/>
        </w:rPr>
        <w:t>万元，占</w:t>
      </w:r>
      <w:r>
        <w:rPr>
          <w:rFonts w:hint="eastAsia" w:ascii="仿宋_GB2312" w:hAnsi="仿宋_GB2312" w:eastAsia="仿宋_GB2312" w:cs="仿宋_GB2312"/>
          <w:sz w:val="32"/>
          <w:szCs w:val="32"/>
        </w:rPr>
        <w:t>99.33</w:t>
      </w:r>
      <w:r>
        <w:rPr>
          <w:rFonts w:hint="eastAsia" w:eastAsia="仿宋_GB2312" w:cs="仿宋_GB2312"/>
          <w:sz w:val="32"/>
          <w:szCs w:val="32"/>
        </w:rPr>
        <w:t>%；政府性基金预算财政拨款收入</w:t>
      </w:r>
      <w:r>
        <w:rPr>
          <w:rFonts w:hint="eastAsia" w:ascii="仿宋_GB2312" w:hAnsi="仿宋_GB2312" w:eastAsia="仿宋_GB2312" w:cs="仿宋_GB2312"/>
          <w:sz w:val="32"/>
          <w:szCs w:val="32"/>
        </w:rPr>
        <w:t>269.84</w:t>
      </w:r>
      <w:r>
        <w:rPr>
          <w:rFonts w:hint="eastAsia" w:eastAsia="仿宋_GB2312" w:cs="仿宋_GB2312"/>
          <w:sz w:val="32"/>
          <w:szCs w:val="32"/>
        </w:rPr>
        <w:t>万元，占</w:t>
      </w:r>
      <w:r>
        <w:rPr>
          <w:rFonts w:hint="eastAsia" w:ascii="仿宋_GB2312" w:hAnsi="仿宋_GB2312" w:eastAsia="仿宋_GB2312" w:cs="仿宋_GB2312"/>
          <w:sz w:val="32"/>
          <w:szCs w:val="32"/>
        </w:rPr>
        <w:t>0.67</w:t>
      </w:r>
      <w:r>
        <w:rPr>
          <w:rFonts w:hint="eastAsia" w:eastAsia="仿宋_GB2312" w:cs="仿宋_GB2312"/>
          <w:sz w:val="32"/>
          <w:szCs w:val="32"/>
        </w:rPr>
        <w:t>%。</w:t>
      </w:r>
    </w:p>
    <w:p w14:paraId="7DF9F078">
      <w:pPr>
        <w:pStyle w:val="27"/>
        <w:spacing w:line="600" w:lineRule="exact"/>
        <w:ind w:firstLine="640"/>
        <w:jc w:val="center"/>
        <w:rPr>
          <w:rFonts w:eastAsia="仿宋_GB2312" w:cs="仿宋_GB2312"/>
          <w:sz w:val="32"/>
          <w:szCs w:val="32"/>
        </w:rPr>
      </w:pPr>
      <w:r>
        <w:rPr>
          <w:rFonts w:eastAsia="仿宋"/>
          <w:color w:val="000000"/>
          <w:sz w:val="32"/>
          <w:szCs w:val="32"/>
        </w:rPr>
        <w:drawing>
          <wp:anchor distT="0" distB="0" distL="114300" distR="114300" simplePos="0" relativeHeight="251660288" behindDoc="0" locked="0" layoutInCell="1" allowOverlap="1">
            <wp:simplePos x="0" y="0"/>
            <wp:positionH relativeFrom="column">
              <wp:posOffset>838200</wp:posOffset>
            </wp:positionH>
            <wp:positionV relativeFrom="paragraph">
              <wp:posOffset>66040</wp:posOffset>
            </wp:positionV>
            <wp:extent cx="3778250" cy="2445385"/>
            <wp:effectExtent l="4445" t="5080" r="8255" b="698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（图2：收入决算结构图）</w:t>
      </w:r>
    </w:p>
    <w:p w14:paraId="788B2CD8">
      <w:pPr>
        <w:pStyle w:val="27"/>
        <w:spacing w:line="600" w:lineRule="exact"/>
        <w:ind w:firstLine="640"/>
        <w:outlineLvl w:val="1"/>
        <w:rPr>
          <w:rStyle w:val="29"/>
          <w:rFonts w:ascii="Times New Roman" w:hAnsi="Times New Roman" w:eastAsia="黑体"/>
          <w:b w:val="0"/>
        </w:rPr>
      </w:pPr>
      <w:bookmarkStart w:id="24" w:name="_Toc23457"/>
      <w:bookmarkStart w:id="25" w:name="_Toc15396605"/>
      <w:bookmarkStart w:id="26" w:name="_Toc15377207"/>
      <w:r>
        <w:rPr>
          <w:rFonts w:hint="eastAsia" w:eastAsia="黑体"/>
          <w:sz w:val="32"/>
          <w:szCs w:val="32"/>
        </w:rPr>
        <w:t>三、支</w:t>
      </w:r>
      <w:r>
        <w:rPr>
          <w:rStyle w:val="29"/>
          <w:rFonts w:hint="eastAsia" w:ascii="Times New Roman" w:hAnsi="Times New Roman" w:eastAsia="黑体"/>
          <w:b w:val="0"/>
        </w:rPr>
        <w:t>出决算情况说明</w:t>
      </w:r>
      <w:bookmarkEnd w:id="24"/>
      <w:bookmarkEnd w:id="25"/>
      <w:bookmarkEnd w:id="26"/>
    </w:p>
    <w:p w14:paraId="0E44410D">
      <w:pPr>
        <w:pStyle w:val="27"/>
        <w:spacing w:line="600" w:lineRule="exact"/>
        <w:ind w:firstLine="640"/>
        <w:outlineLvl w:val="1"/>
        <w:rPr>
          <w:rFonts w:eastAsia="仿宋_GB2312" w:cs="仿宋_GB2312"/>
          <w:sz w:val="32"/>
          <w:szCs w:val="32"/>
        </w:rPr>
      </w:pPr>
      <w:bookmarkStart w:id="27" w:name="_Toc23082"/>
      <w:r>
        <w:rPr>
          <w:rFonts w:eastAsia="仿宋"/>
          <w:sz w:val="32"/>
          <w:szCs w:val="32"/>
        </w:rPr>
        <w:drawing>
          <wp:anchor distT="0" distB="0" distL="114300" distR="114300" simplePos="0" relativeHeight="251661312" behindDoc="0" locked="0" layoutInCell="1" allowOverlap="1">
            <wp:simplePos x="0" y="0"/>
            <wp:positionH relativeFrom="column">
              <wp:posOffset>802640</wp:posOffset>
            </wp:positionH>
            <wp:positionV relativeFrom="paragraph">
              <wp:posOffset>884555</wp:posOffset>
            </wp:positionV>
            <wp:extent cx="3402330" cy="2382520"/>
            <wp:effectExtent l="4445" t="4445" r="22225" b="1333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eastAsia="仿宋_GB2312" w:cs="仿宋_GB2312"/>
          <w:sz w:val="32"/>
          <w:szCs w:val="32"/>
        </w:rPr>
        <w:t>2025年度本年支出合计</w:t>
      </w:r>
      <w:r>
        <w:rPr>
          <w:rFonts w:hint="eastAsia" w:ascii="仿宋_GB2312" w:hAnsi="仿宋_GB2312" w:eastAsia="仿宋_GB2312" w:cs="仿宋_GB2312"/>
          <w:sz w:val="32"/>
          <w:szCs w:val="32"/>
        </w:rPr>
        <w:t>40667.14</w:t>
      </w:r>
      <w:r>
        <w:rPr>
          <w:rFonts w:hint="eastAsia" w:eastAsia="仿宋_GB2312" w:cs="仿宋_GB2312"/>
          <w:sz w:val="32"/>
          <w:szCs w:val="32"/>
        </w:rPr>
        <w:t>万元，其中：基本支出</w:t>
      </w:r>
      <w:r>
        <w:rPr>
          <w:rFonts w:hint="eastAsia" w:ascii="仿宋_GB2312" w:hAnsi="仿宋_GB2312" w:eastAsia="仿宋_GB2312" w:cs="仿宋_GB2312"/>
          <w:sz w:val="32"/>
          <w:szCs w:val="32"/>
        </w:rPr>
        <w:t>351.31</w:t>
      </w:r>
      <w:r>
        <w:rPr>
          <w:rFonts w:hint="eastAsia" w:eastAsia="仿宋_GB2312" w:cs="仿宋_GB2312"/>
          <w:sz w:val="32"/>
          <w:szCs w:val="32"/>
        </w:rPr>
        <w:t>万元，占</w:t>
      </w:r>
      <w:r>
        <w:rPr>
          <w:rFonts w:hint="eastAsia" w:ascii="仿宋_GB2312" w:hAnsi="仿宋_GB2312" w:eastAsia="仿宋_GB2312" w:cs="仿宋_GB2312"/>
          <w:sz w:val="32"/>
          <w:szCs w:val="32"/>
        </w:rPr>
        <w:t>0.86</w:t>
      </w:r>
      <w:r>
        <w:rPr>
          <w:rFonts w:hint="eastAsia" w:eastAsia="仿宋_GB2312" w:cs="仿宋_GB2312"/>
          <w:sz w:val="32"/>
          <w:szCs w:val="32"/>
        </w:rPr>
        <w:t>%；项目支出</w:t>
      </w:r>
      <w:r>
        <w:rPr>
          <w:rFonts w:hint="eastAsia" w:ascii="仿宋_GB2312" w:hAnsi="仿宋_GB2312" w:eastAsia="仿宋_GB2312" w:cs="仿宋_GB2312"/>
          <w:sz w:val="32"/>
          <w:szCs w:val="32"/>
        </w:rPr>
        <w:t>40315.83</w:t>
      </w:r>
      <w:r>
        <w:rPr>
          <w:rFonts w:hint="eastAsia" w:eastAsia="仿宋_GB2312" w:cs="仿宋_GB2312"/>
          <w:sz w:val="32"/>
          <w:szCs w:val="32"/>
        </w:rPr>
        <w:t>万元，占</w:t>
      </w:r>
      <w:r>
        <w:rPr>
          <w:rFonts w:hint="eastAsia" w:ascii="仿宋_GB2312" w:hAnsi="仿宋_GB2312" w:eastAsia="仿宋_GB2312" w:cs="仿宋_GB2312"/>
          <w:sz w:val="32"/>
          <w:szCs w:val="32"/>
        </w:rPr>
        <w:t>99.14</w:t>
      </w:r>
      <w:r>
        <w:rPr>
          <w:rFonts w:hint="eastAsia" w:eastAsia="仿宋_GB2312" w:cs="仿宋_GB2312"/>
          <w:sz w:val="32"/>
          <w:szCs w:val="32"/>
        </w:rPr>
        <w:t>%。</w:t>
      </w:r>
      <w:bookmarkEnd w:id="27"/>
    </w:p>
    <w:p w14:paraId="6B803675">
      <w:pPr>
        <w:pStyle w:val="27"/>
        <w:spacing w:line="600" w:lineRule="exact"/>
        <w:ind w:firstLine="640"/>
        <w:jc w:val="center"/>
        <w:outlineLvl w:val="1"/>
        <w:rPr>
          <w:rFonts w:eastAsia="仿宋_GB2312" w:cs="仿宋_GB2312"/>
          <w:sz w:val="32"/>
          <w:szCs w:val="32"/>
        </w:rPr>
      </w:pPr>
      <w:bookmarkStart w:id="28" w:name="_Toc32351"/>
      <w:r>
        <w:rPr>
          <w:rFonts w:hint="eastAsia" w:eastAsia="仿宋_GB2312" w:cs="仿宋_GB2312"/>
          <w:sz w:val="32"/>
          <w:szCs w:val="32"/>
        </w:rPr>
        <w:t>（图3：支出决算结构图）</w:t>
      </w:r>
      <w:bookmarkEnd w:id="28"/>
    </w:p>
    <w:p w14:paraId="30B62330">
      <w:pPr>
        <w:spacing w:line="600" w:lineRule="exact"/>
        <w:ind w:firstLine="640" w:firstLineChars="200"/>
        <w:outlineLvl w:val="1"/>
        <w:rPr>
          <w:rStyle w:val="29"/>
          <w:rFonts w:ascii="Times New Roman" w:hAnsi="Times New Roman" w:eastAsia="黑体"/>
          <w:b w:val="0"/>
        </w:rPr>
      </w:pPr>
      <w:bookmarkStart w:id="29" w:name="_Toc15377208"/>
      <w:bookmarkStart w:id="30" w:name="_Toc18563"/>
      <w:bookmarkStart w:id="31"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9"/>
      <w:bookmarkEnd w:id="30"/>
      <w:bookmarkEnd w:id="31"/>
    </w:p>
    <w:p w14:paraId="5670A581">
      <w:pPr>
        <w:spacing w:line="600" w:lineRule="exact"/>
        <w:ind w:firstLine="640"/>
        <w:rPr>
          <w:rFonts w:eastAsia="仿宋"/>
          <w:color w:val="000000"/>
          <w:sz w:val="32"/>
          <w:szCs w:val="32"/>
        </w:rPr>
      </w:pPr>
      <w:r>
        <w:rPr>
          <w:rFonts w:hint="eastAsia" w:eastAsia="仿宋_GB2312" w:cs="仿宋_GB2312"/>
          <w:sz w:val="32"/>
          <w:szCs w:val="32"/>
        </w:rPr>
        <w:t>2025年度财政拨款收入、支出总计均为</w:t>
      </w:r>
      <w:r>
        <w:rPr>
          <w:rFonts w:hint="eastAsia" w:ascii="仿宋_GB2312" w:hAnsi="仿宋_GB2312" w:eastAsia="仿宋_GB2312" w:cs="仿宋_GB2312"/>
          <w:sz w:val="32"/>
          <w:szCs w:val="32"/>
        </w:rPr>
        <w:t>40667.14</w:t>
      </w:r>
      <w:r>
        <w:rPr>
          <w:rFonts w:hint="eastAsia" w:eastAsia="仿宋_GB2312" w:cs="仿宋_GB2312"/>
          <w:sz w:val="32"/>
          <w:szCs w:val="32"/>
        </w:rPr>
        <w:t>万元。与上年度相比，财政拨款收入、支出总计各增加40224.75万元，增长9092.6%。主要变动原因是</w:t>
      </w:r>
      <w:r>
        <w:rPr>
          <w:rFonts w:eastAsia="仿宋"/>
          <w:color w:val="000000"/>
          <w:sz w:val="32"/>
          <w:szCs w:val="32"/>
        </w:rPr>
        <w:t>财政拨款收入增加。</w:t>
      </w:r>
    </w:p>
    <w:p w14:paraId="3A8A2120">
      <w:pPr>
        <w:pStyle w:val="2"/>
        <w:jc w:val="center"/>
        <w:rPr>
          <w:rFonts w:eastAsia="仿宋_GB2312" w:cs="仿宋_GB2312"/>
          <w:b w:val="0"/>
          <w:bCs/>
          <w:sz w:val="32"/>
          <w:szCs w:val="32"/>
        </w:rPr>
      </w:pPr>
      <w:r>
        <w:rPr>
          <w:rFonts w:ascii="Times New Roman" w:hAnsi="Times New Roman" w:eastAsia="仿宋"/>
          <w:b w:val="0"/>
          <w:bCs/>
          <w:color w:val="FF0000"/>
          <w:sz w:val="32"/>
          <w:szCs w:val="32"/>
        </w:rPr>
        <w:drawing>
          <wp:anchor distT="0" distB="0" distL="114300" distR="114300" simplePos="0" relativeHeight="251665408" behindDoc="0" locked="0" layoutInCell="1" allowOverlap="1">
            <wp:simplePos x="0" y="0"/>
            <wp:positionH relativeFrom="column">
              <wp:posOffset>855980</wp:posOffset>
            </wp:positionH>
            <wp:positionV relativeFrom="page">
              <wp:posOffset>3360420</wp:posOffset>
            </wp:positionV>
            <wp:extent cx="3681095" cy="2852420"/>
            <wp:effectExtent l="4445" t="4445" r="10160" b="19685"/>
            <wp:wrapTopAndBottom/>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eastAsia="仿宋_GB2312" w:cs="仿宋_GB2312"/>
          <w:b w:val="0"/>
          <w:bCs/>
          <w:sz w:val="32"/>
          <w:szCs w:val="32"/>
        </w:rPr>
        <w:t>（图4：财政拨款收、支决算总计变动情况）</w:t>
      </w:r>
    </w:p>
    <w:p w14:paraId="6025AB9B">
      <w:pPr>
        <w:spacing w:line="600" w:lineRule="exact"/>
        <w:ind w:firstLine="640" w:firstLineChars="200"/>
        <w:outlineLvl w:val="1"/>
        <w:rPr>
          <w:rStyle w:val="29"/>
          <w:rFonts w:ascii="Times New Roman" w:hAnsi="Times New Roman" w:eastAsia="黑体"/>
          <w:b w:val="0"/>
        </w:rPr>
      </w:pPr>
      <w:bookmarkStart w:id="32" w:name="_Toc15377209"/>
      <w:bookmarkStart w:id="33" w:name="_Toc17220"/>
      <w:bookmarkStart w:id="34"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32"/>
      <w:bookmarkEnd w:id="33"/>
      <w:bookmarkEnd w:id="34"/>
    </w:p>
    <w:p w14:paraId="20353120">
      <w:pPr>
        <w:spacing w:line="600" w:lineRule="exact"/>
        <w:ind w:firstLine="643" w:firstLineChars="200"/>
        <w:outlineLvl w:val="2"/>
        <w:rPr>
          <w:rFonts w:eastAsia="楷体_GB2312" w:cs="楷体_GB2312"/>
          <w:b/>
          <w:sz w:val="32"/>
          <w:szCs w:val="32"/>
        </w:rPr>
      </w:pPr>
      <w:bookmarkStart w:id="35" w:name="_Toc15377210"/>
      <w:r>
        <w:rPr>
          <w:rFonts w:hint="eastAsia" w:eastAsia="楷体_GB2312" w:cs="楷体_GB2312"/>
          <w:b/>
          <w:sz w:val="32"/>
          <w:szCs w:val="32"/>
        </w:rPr>
        <w:t>（一）一般公共预算财政拨款支出决算总体情况</w:t>
      </w:r>
      <w:bookmarkEnd w:id="35"/>
    </w:p>
    <w:p w14:paraId="33AA6DF8">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w:t>
      </w:r>
      <w:r>
        <w:rPr>
          <w:rFonts w:hint="eastAsia" w:ascii="仿宋_GB2312" w:hAnsi="仿宋_GB2312" w:eastAsia="仿宋_GB2312" w:cs="仿宋_GB2312"/>
          <w:sz w:val="32"/>
          <w:szCs w:val="32"/>
        </w:rPr>
        <w:t>40397.3</w:t>
      </w:r>
      <w:r>
        <w:rPr>
          <w:rFonts w:hint="eastAsia" w:eastAsia="仿宋_GB2312" w:cs="仿宋_GB2312"/>
          <w:sz w:val="32"/>
          <w:szCs w:val="32"/>
        </w:rPr>
        <w:t>万元，占本年支出合计的</w:t>
      </w:r>
      <w:r>
        <w:rPr>
          <w:rFonts w:hint="eastAsia" w:ascii="仿宋_GB2312" w:hAnsi="仿宋_GB2312" w:eastAsia="仿宋_GB2312" w:cs="仿宋_GB2312"/>
          <w:sz w:val="32"/>
          <w:szCs w:val="32"/>
        </w:rPr>
        <w:t>99.33</w:t>
      </w:r>
      <w:r>
        <w:rPr>
          <w:rFonts w:hint="eastAsia" w:eastAsia="仿宋_GB2312" w:cs="仿宋_GB2312"/>
          <w:sz w:val="32"/>
          <w:szCs w:val="32"/>
        </w:rPr>
        <w:t>%。与上年度相比，一般公共预算财政拨款支出增加39969.84万元，增长9357.11%。主要变动原因是</w:t>
      </w:r>
      <w:r>
        <w:rPr>
          <w:rFonts w:eastAsia="仿宋"/>
          <w:color w:val="000000"/>
          <w:sz w:val="32"/>
          <w:szCs w:val="32"/>
        </w:rPr>
        <w:t>财政拨款收入增加。</w:t>
      </w:r>
    </w:p>
    <w:p w14:paraId="2C4998AA">
      <w:pPr>
        <w:rPr>
          <w:rFonts w:eastAsia="仿宋_GB2312" w:cs="仿宋_GB2312"/>
          <w:sz w:val="32"/>
          <w:szCs w:val="32"/>
        </w:rPr>
      </w:pPr>
      <w:r>
        <w:rPr>
          <w:rFonts w:hint="eastAsia" w:eastAsia="仿宋_GB2312"/>
          <w:sz w:val="32"/>
          <w:szCs w:val="32"/>
        </w:rPr>
        <w:t xml:space="preserve">         </w:t>
      </w:r>
      <w:r>
        <w:rPr>
          <w:rFonts w:eastAsia="仿宋_GB2312"/>
          <w:sz w:val="32"/>
          <w:szCs w:val="32"/>
        </w:rPr>
        <w:drawing>
          <wp:inline distT="0" distB="0" distL="114300" distR="114300">
            <wp:extent cx="3725545" cy="3171190"/>
            <wp:effectExtent l="5080" t="4445" r="22225" b="5715"/>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7275DF">
      <w:pPr>
        <w:spacing w:line="600" w:lineRule="exact"/>
        <w:jc w:val="center"/>
        <w:rPr>
          <w:rFonts w:eastAsia="仿宋_GB2312" w:cs="仿宋_GB2312"/>
          <w:sz w:val="32"/>
          <w:szCs w:val="32"/>
        </w:rPr>
      </w:pPr>
      <w:r>
        <w:rPr>
          <w:rFonts w:hint="eastAsia" w:eastAsia="仿宋_GB2312" w:cs="仿宋_GB2312"/>
          <w:sz w:val="32"/>
          <w:szCs w:val="32"/>
        </w:rPr>
        <w:t>（图5：一般公共预算财政拨款支出决算变动情况）</w:t>
      </w:r>
    </w:p>
    <w:p w14:paraId="2820A3C3">
      <w:pPr>
        <w:spacing w:line="600" w:lineRule="exact"/>
        <w:ind w:firstLine="643" w:firstLineChars="200"/>
        <w:outlineLvl w:val="2"/>
        <w:rPr>
          <w:rFonts w:eastAsia="楷体_GB2312" w:cs="楷体_GB2312"/>
          <w:b/>
          <w:sz w:val="32"/>
          <w:szCs w:val="32"/>
        </w:rPr>
      </w:pPr>
      <w:bookmarkStart w:id="36" w:name="_Toc15377211"/>
    </w:p>
    <w:p w14:paraId="073728B7">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（二）一般公共预算财政拨款支出决算结构情况</w:t>
      </w:r>
      <w:bookmarkEnd w:id="36"/>
    </w:p>
    <w:p w14:paraId="6A21A2C9">
      <w:pPr>
        <w:spacing w:line="600" w:lineRule="exact"/>
        <w:ind w:firstLine="640"/>
        <w:rPr>
          <w:rFonts w:eastAsia="仿宋_GB2312" w:cs="仿宋_GB2312"/>
          <w:b/>
          <w:bCs/>
          <w:sz w:val="32"/>
          <w:szCs w:val="32"/>
        </w:rPr>
      </w:pPr>
      <w:r>
        <w:rPr>
          <w:rFonts w:hint="eastAsia" w:eastAsia="仿宋_GB2312" w:cs="仿宋_GB2312"/>
          <w:sz w:val="32"/>
          <w:szCs w:val="32"/>
        </w:rPr>
        <w:t>2025年度一般公共预算财政拨款支出</w:t>
      </w:r>
      <w:r>
        <w:rPr>
          <w:rFonts w:hint="eastAsia" w:ascii="仿宋_GB2312" w:hAnsi="仿宋_GB2312" w:eastAsia="仿宋_GB2312" w:cs="仿宋_GB2312"/>
          <w:sz w:val="32"/>
          <w:szCs w:val="32"/>
        </w:rPr>
        <w:t>40397.3</w:t>
      </w:r>
      <w:r>
        <w:rPr>
          <w:rFonts w:hint="eastAsia" w:eastAsia="仿宋_GB2312" w:cs="仿宋_GB2312"/>
          <w:sz w:val="32"/>
          <w:szCs w:val="32"/>
        </w:rPr>
        <w:t>万元，主要用于以下方面：</w:t>
      </w:r>
      <w:r>
        <w:rPr>
          <w:rFonts w:eastAsia="仿宋_GB2312"/>
          <w:sz w:val="32"/>
          <w:szCs w:val="32"/>
        </w:rPr>
        <w:t>社会保障和就业（类）支出86.38万元，占</w:t>
      </w:r>
      <w:r>
        <w:rPr>
          <w:rFonts w:hint="eastAsia" w:eastAsia="仿宋_GB2312"/>
          <w:sz w:val="32"/>
          <w:szCs w:val="32"/>
        </w:rPr>
        <w:t>0.21</w:t>
      </w:r>
      <w:r>
        <w:rPr>
          <w:rFonts w:eastAsia="仿宋_GB2312"/>
          <w:sz w:val="32"/>
          <w:szCs w:val="32"/>
        </w:rPr>
        <w:t>%；卫生健康支出（类）支出</w:t>
      </w:r>
      <w:r>
        <w:rPr>
          <w:rFonts w:hint="eastAsia" w:eastAsia="仿宋_GB2312"/>
          <w:sz w:val="32"/>
          <w:szCs w:val="32"/>
        </w:rPr>
        <w:t>18.4</w:t>
      </w:r>
      <w:r>
        <w:rPr>
          <w:rFonts w:eastAsia="仿宋_GB2312"/>
          <w:sz w:val="32"/>
          <w:szCs w:val="32"/>
        </w:rPr>
        <w:t>万元，占</w:t>
      </w:r>
      <w:r>
        <w:rPr>
          <w:rFonts w:hint="eastAsia" w:eastAsia="仿宋_GB2312"/>
          <w:sz w:val="32"/>
          <w:szCs w:val="32"/>
        </w:rPr>
        <w:t>0.05</w:t>
      </w:r>
      <w:r>
        <w:rPr>
          <w:rFonts w:eastAsia="仿宋_GB2312"/>
          <w:sz w:val="32"/>
          <w:szCs w:val="32"/>
        </w:rPr>
        <w:t>%；农林水</w:t>
      </w:r>
      <w:r>
        <w:rPr>
          <w:rFonts w:hint="eastAsia" w:eastAsia="仿宋_GB2312"/>
          <w:sz w:val="32"/>
          <w:szCs w:val="32"/>
        </w:rPr>
        <w:t>（类）</w:t>
      </w:r>
      <w:r>
        <w:rPr>
          <w:rFonts w:eastAsia="仿宋_GB2312"/>
          <w:sz w:val="32"/>
          <w:szCs w:val="32"/>
        </w:rPr>
        <w:t>支出</w:t>
      </w:r>
      <w:r>
        <w:rPr>
          <w:rFonts w:hint="eastAsia" w:eastAsia="仿宋_GB2312"/>
          <w:sz w:val="32"/>
          <w:szCs w:val="32"/>
        </w:rPr>
        <w:t>万元35000万元，占86.64%，</w:t>
      </w:r>
      <w:r>
        <w:rPr>
          <w:rFonts w:eastAsia="仿宋_GB2312"/>
          <w:sz w:val="32"/>
          <w:szCs w:val="32"/>
        </w:rPr>
        <w:t>自然资源海洋气象等支出（类）支出5270.36万元，占</w:t>
      </w:r>
      <w:r>
        <w:rPr>
          <w:rFonts w:hint="eastAsia" w:eastAsia="仿宋_GB2312"/>
          <w:sz w:val="32"/>
          <w:szCs w:val="32"/>
        </w:rPr>
        <w:t>13.05</w:t>
      </w:r>
      <w:r>
        <w:rPr>
          <w:rFonts w:eastAsia="仿宋_GB2312"/>
          <w:sz w:val="32"/>
          <w:szCs w:val="32"/>
        </w:rPr>
        <w:t>%；住房保障支出（类）支出</w:t>
      </w:r>
      <w:r>
        <w:rPr>
          <w:rFonts w:hint="eastAsia" w:eastAsia="仿宋_GB2312"/>
          <w:sz w:val="32"/>
          <w:szCs w:val="32"/>
        </w:rPr>
        <w:t>22.16</w:t>
      </w:r>
      <w:r>
        <w:rPr>
          <w:rFonts w:eastAsia="仿宋_GB2312"/>
          <w:sz w:val="32"/>
          <w:szCs w:val="32"/>
        </w:rPr>
        <w:t>万元，占</w:t>
      </w:r>
      <w:r>
        <w:rPr>
          <w:rFonts w:hint="eastAsia" w:eastAsia="仿宋_GB2312"/>
          <w:sz w:val="32"/>
          <w:szCs w:val="32"/>
        </w:rPr>
        <w:t>0.05</w:t>
      </w:r>
      <w:r>
        <w:rPr>
          <w:rFonts w:eastAsia="仿宋_GB2312"/>
          <w:sz w:val="32"/>
          <w:szCs w:val="32"/>
        </w:rPr>
        <w:t>%。</w:t>
      </w:r>
    </w:p>
    <w:p w14:paraId="276EDC9A">
      <w:pPr>
        <w:spacing w:line="600" w:lineRule="exact"/>
        <w:jc w:val="center"/>
        <w:rPr>
          <w:rFonts w:eastAsia="仿宋_GB2312" w:cs="仿宋_GB2312"/>
          <w:sz w:val="32"/>
          <w:szCs w:val="32"/>
        </w:rPr>
      </w:pPr>
    </w:p>
    <w:p w14:paraId="6311C2C8">
      <w:pPr>
        <w:spacing w:line="600" w:lineRule="exact"/>
        <w:jc w:val="center"/>
        <w:rPr>
          <w:rFonts w:eastAsia="仿宋_GB2312" w:cs="仿宋_GB2312"/>
          <w:sz w:val="32"/>
          <w:szCs w:val="32"/>
        </w:rPr>
      </w:pPr>
    </w:p>
    <w:p w14:paraId="3B6A4D65">
      <w:pPr>
        <w:spacing w:line="600" w:lineRule="exact"/>
        <w:jc w:val="center"/>
        <w:rPr>
          <w:rFonts w:eastAsia="仿宋_GB2312" w:cs="仿宋_GB2312"/>
          <w:sz w:val="32"/>
          <w:szCs w:val="32"/>
        </w:rPr>
      </w:pPr>
    </w:p>
    <w:p w14:paraId="7827F441">
      <w:pPr>
        <w:spacing w:line="600" w:lineRule="exact"/>
        <w:jc w:val="center"/>
        <w:rPr>
          <w:rFonts w:eastAsia="仿宋_GB2312" w:cs="仿宋_GB2312"/>
          <w:sz w:val="32"/>
          <w:szCs w:val="32"/>
        </w:rPr>
      </w:pPr>
    </w:p>
    <w:p w14:paraId="2FD25647">
      <w:pPr>
        <w:spacing w:line="600" w:lineRule="exact"/>
        <w:jc w:val="center"/>
        <w:rPr>
          <w:rFonts w:eastAsia="仿宋_GB2312" w:cs="仿宋_GB2312"/>
          <w:sz w:val="32"/>
          <w:szCs w:val="32"/>
        </w:rPr>
      </w:pPr>
      <w:r>
        <w:rPr>
          <w:rFonts w:eastAsia="仿宋"/>
          <w:sz w:val="32"/>
          <w:szCs w:val="32"/>
        </w:rPr>
        <w:drawing>
          <wp:anchor distT="0" distB="0" distL="114300" distR="114300" simplePos="0" relativeHeight="251659264" behindDoc="0" locked="0" layoutInCell="1" allowOverlap="1">
            <wp:simplePos x="0" y="0"/>
            <wp:positionH relativeFrom="column">
              <wp:posOffset>921385</wp:posOffset>
            </wp:positionH>
            <wp:positionV relativeFrom="paragraph">
              <wp:posOffset>-146050</wp:posOffset>
            </wp:positionV>
            <wp:extent cx="3706495" cy="2680335"/>
            <wp:effectExtent l="4445" t="4445" r="22860" b="2032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仿宋_GB2312" w:cs="仿宋_GB2312"/>
          <w:sz w:val="32"/>
          <w:szCs w:val="32"/>
        </w:rPr>
        <w:t>（图6：一般公共预算财政拨款支出决算结构）</w:t>
      </w:r>
    </w:p>
    <w:p w14:paraId="3344B497"/>
    <w:p w14:paraId="6DD0D3AD">
      <w:pPr>
        <w:spacing w:line="600" w:lineRule="exact"/>
        <w:ind w:firstLine="643" w:firstLineChars="200"/>
        <w:outlineLvl w:val="0"/>
        <w:rPr>
          <w:rFonts w:eastAsia="楷体_GB2312" w:cs="楷体_GB2312"/>
          <w:b/>
          <w:sz w:val="32"/>
          <w:szCs w:val="32"/>
        </w:rPr>
      </w:pPr>
      <w:bookmarkStart w:id="37" w:name="_Toc3877"/>
      <w:r>
        <w:rPr>
          <w:rFonts w:hint="eastAsia" w:eastAsia="楷体_GB2312" w:cs="楷体_GB2312"/>
          <w:b/>
          <w:sz w:val="32"/>
          <w:szCs w:val="32"/>
        </w:rPr>
        <w:t>（三）一般公共预算财政拨款支出决算具体情况</w:t>
      </w:r>
      <w:bookmarkEnd w:id="37"/>
    </w:p>
    <w:p w14:paraId="7F559758">
      <w:pPr>
        <w:spacing w:line="600" w:lineRule="exact"/>
        <w:ind w:firstLine="640"/>
        <w:rPr>
          <w:rFonts w:eastAsia="仿宋_GB2312" w:cs="仿宋_GB2312"/>
          <w:sz w:val="32"/>
          <w:szCs w:val="32"/>
        </w:rPr>
      </w:pPr>
      <w:bookmarkStart w:id="38" w:name="_Toc15378460"/>
      <w:bookmarkStart w:id="39" w:name="_Toc15377444"/>
      <w:bookmarkStart w:id="40" w:name="_Toc15377213"/>
      <w:r>
        <w:rPr>
          <w:rFonts w:hint="eastAsia" w:eastAsia="仿宋_GB2312" w:cs="仿宋_GB2312"/>
          <w:sz w:val="32"/>
          <w:szCs w:val="32"/>
        </w:rPr>
        <w:t>2025年度一般公共预算支出决算数为</w:t>
      </w:r>
      <w:r>
        <w:rPr>
          <w:rFonts w:hint="eastAsia" w:ascii="仿宋_GB2312" w:hAnsi="仿宋_GB2312" w:eastAsia="仿宋_GB2312" w:cs="仿宋_GB2312"/>
          <w:sz w:val="32"/>
          <w:szCs w:val="32"/>
        </w:rPr>
        <w:t>40397.3万元</w:t>
      </w:r>
      <w:r>
        <w:rPr>
          <w:rFonts w:hint="eastAsia" w:eastAsia="仿宋_GB2312" w:cs="仿宋_GB2312"/>
          <w:sz w:val="32"/>
          <w:szCs w:val="32"/>
        </w:rPr>
        <w:t>，完成预算100%。其中：</w:t>
      </w:r>
      <w:bookmarkEnd w:id="38"/>
      <w:bookmarkEnd w:id="39"/>
      <w:bookmarkEnd w:id="40"/>
    </w:p>
    <w:p w14:paraId="119C02C8">
      <w:pPr>
        <w:spacing w:line="600" w:lineRule="exact"/>
        <w:ind w:firstLine="640" w:firstLineChars="200"/>
        <w:rPr>
          <w:rStyle w:val="18"/>
          <w:rFonts w:eastAsia="仿宋"/>
          <w:b w:val="0"/>
          <w:color w:val="000000"/>
          <w:sz w:val="32"/>
          <w:szCs w:val="32"/>
        </w:rPr>
      </w:pPr>
      <w:r>
        <w:rPr>
          <w:rFonts w:eastAsia="仿宋_GB2312"/>
          <w:sz w:val="32"/>
          <w:szCs w:val="32"/>
        </w:rPr>
        <w:t>1.</w:t>
      </w:r>
      <w:r>
        <w:rPr>
          <w:rStyle w:val="18"/>
          <w:rFonts w:eastAsia="仿宋"/>
          <w:b w:val="0"/>
          <w:sz w:val="32"/>
          <w:szCs w:val="32"/>
        </w:rPr>
        <w:t>社会保障和就业（类）</w:t>
      </w:r>
      <w:r>
        <w:rPr>
          <w:rStyle w:val="18"/>
          <w:rFonts w:eastAsia="仿宋"/>
          <w:b w:val="0"/>
          <w:color w:val="000000"/>
          <w:sz w:val="32"/>
          <w:szCs w:val="32"/>
        </w:rPr>
        <w:t>行政事业单位养老支出</w:t>
      </w:r>
      <w:r>
        <w:rPr>
          <w:rStyle w:val="18"/>
          <w:rFonts w:eastAsia="仿宋"/>
          <w:b w:val="0"/>
          <w:sz w:val="32"/>
          <w:szCs w:val="32"/>
        </w:rPr>
        <w:t>（款）</w:t>
      </w:r>
      <w:r>
        <w:rPr>
          <w:rStyle w:val="18"/>
          <w:rFonts w:eastAsia="仿宋"/>
          <w:b w:val="0"/>
          <w:color w:val="000000"/>
          <w:sz w:val="32"/>
          <w:szCs w:val="32"/>
        </w:rPr>
        <w:t>事业单位离退休支出</w:t>
      </w:r>
      <w:r>
        <w:rPr>
          <w:rStyle w:val="18"/>
          <w:rFonts w:eastAsia="仿宋"/>
          <w:b w:val="0"/>
          <w:sz w:val="32"/>
          <w:szCs w:val="32"/>
        </w:rPr>
        <w:t>（项）：支出决算为2</w:t>
      </w:r>
      <w:r>
        <w:rPr>
          <w:rStyle w:val="18"/>
          <w:rFonts w:hint="eastAsia" w:eastAsia="仿宋"/>
          <w:b w:val="0"/>
          <w:sz w:val="32"/>
          <w:szCs w:val="32"/>
        </w:rPr>
        <w:t>9.2</w:t>
      </w:r>
      <w:r>
        <w:rPr>
          <w:rStyle w:val="18"/>
          <w:rFonts w:eastAsia="仿宋"/>
          <w:b w:val="0"/>
          <w:sz w:val="32"/>
          <w:szCs w:val="32"/>
        </w:rPr>
        <w:t>万元，完成预算100%，决算数等于预算数</w:t>
      </w:r>
      <w:r>
        <w:rPr>
          <w:rStyle w:val="18"/>
          <w:rFonts w:eastAsia="仿宋"/>
          <w:b w:val="0"/>
          <w:color w:val="000000"/>
          <w:sz w:val="32"/>
          <w:szCs w:val="32"/>
        </w:rPr>
        <w:t>。</w:t>
      </w:r>
    </w:p>
    <w:p w14:paraId="29237738">
      <w:pPr>
        <w:spacing w:line="600" w:lineRule="exact"/>
        <w:ind w:firstLine="640" w:firstLineChars="200"/>
        <w:rPr>
          <w:rStyle w:val="18"/>
          <w:rFonts w:eastAsia="仿宋"/>
          <w:b w:val="0"/>
          <w:color w:val="000000"/>
          <w:sz w:val="32"/>
          <w:szCs w:val="32"/>
        </w:rPr>
      </w:pPr>
      <w:r>
        <w:rPr>
          <w:rStyle w:val="18"/>
          <w:rFonts w:eastAsia="仿宋"/>
          <w:b w:val="0"/>
          <w:sz w:val="32"/>
          <w:szCs w:val="32"/>
        </w:rPr>
        <w:t>2.社会保障和就业（类）</w:t>
      </w:r>
      <w:r>
        <w:rPr>
          <w:rStyle w:val="18"/>
          <w:rFonts w:eastAsia="仿宋"/>
          <w:b w:val="0"/>
          <w:color w:val="000000"/>
          <w:sz w:val="32"/>
          <w:szCs w:val="32"/>
        </w:rPr>
        <w:t>行政事业单位养老支出</w:t>
      </w:r>
      <w:r>
        <w:rPr>
          <w:rStyle w:val="18"/>
          <w:rFonts w:eastAsia="仿宋"/>
          <w:b w:val="0"/>
          <w:sz w:val="32"/>
          <w:szCs w:val="32"/>
        </w:rPr>
        <w:t>（款）</w:t>
      </w:r>
      <w:r>
        <w:rPr>
          <w:rStyle w:val="18"/>
          <w:rFonts w:eastAsia="仿宋"/>
          <w:b w:val="0"/>
          <w:color w:val="000000"/>
          <w:sz w:val="32"/>
          <w:szCs w:val="32"/>
        </w:rPr>
        <w:t>机关事业单位基本养老保险缴费支出</w:t>
      </w:r>
      <w:r>
        <w:rPr>
          <w:rStyle w:val="18"/>
          <w:rFonts w:eastAsia="仿宋"/>
          <w:b w:val="0"/>
          <w:sz w:val="32"/>
          <w:szCs w:val="32"/>
        </w:rPr>
        <w:t>（项）：支出决算为</w:t>
      </w:r>
      <w:r>
        <w:rPr>
          <w:rStyle w:val="18"/>
          <w:rFonts w:hint="eastAsia" w:eastAsia="仿宋"/>
          <w:b w:val="0"/>
          <w:sz w:val="32"/>
          <w:szCs w:val="32"/>
        </w:rPr>
        <w:t>30.3</w:t>
      </w:r>
      <w:r>
        <w:rPr>
          <w:rStyle w:val="18"/>
          <w:rFonts w:eastAsia="仿宋"/>
          <w:b w:val="0"/>
          <w:sz w:val="32"/>
          <w:szCs w:val="32"/>
        </w:rPr>
        <w:t>万元，完成预算100%，决算数等于预算数</w:t>
      </w:r>
      <w:r>
        <w:rPr>
          <w:rStyle w:val="18"/>
          <w:rFonts w:eastAsia="仿宋"/>
          <w:b w:val="0"/>
          <w:color w:val="000000"/>
          <w:sz w:val="32"/>
          <w:szCs w:val="32"/>
        </w:rPr>
        <w:t>。</w:t>
      </w:r>
    </w:p>
    <w:p w14:paraId="50A15A89">
      <w:pPr>
        <w:spacing w:line="600" w:lineRule="exact"/>
        <w:ind w:firstLine="640" w:firstLineChars="200"/>
        <w:rPr>
          <w:rStyle w:val="18"/>
          <w:rFonts w:eastAsia="仿宋"/>
          <w:b w:val="0"/>
          <w:sz w:val="32"/>
          <w:szCs w:val="32"/>
        </w:rPr>
      </w:pPr>
      <w:r>
        <w:rPr>
          <w:rStyle w:val="18"/>
          <w:rFonts w:eastAsia="仿宋"/>
          <w:b w:val="0"/>
          <w:sz w:val="32"/>
          <w:szCs w:val="32"/>
        </w:rPr>
        <w:t>3.社会保障和就业（类）</w:t>
      </w:r>
      <w:r>
        <w:rPr>
          <w:rStyle w:val="18"/>
          <w:rFonts w:eastAsia="仿宋"/>
          <w:b w:val="0"/>
          <w:color w:val="000000"/>
          <w:sz w:val="32"/>
          <w:szCs w:val="32"/>
        </w:rPr>
        <w:t>行政事业单位养老支出</w:t>
      </w:r>
      <w:r>
        <w:rPr>
          <w:rStyle w:val="18"/>
          <w:rFonts w:eastAsia="仿宋"/>
          <w:b w:val="0"/>
          <w:sz w:val="32"/>
          <w:szCs w:val="32"/>
        </w:rPr>
        <w:t>（款）</w:t>
      </w:r>
      <w:r>
        <w:rPr>
          <w:rStyle w:val="18"/>
          <w:rFonts w:eastAsia="仿宋"/>
          <w:b w:val="0"/>
          <w:color w:val="000000"/>
          <w:sz w:val="32"/>
          <w:szCs w:val="32"/>
        </w:rPr>
        <w:t>机关事业单位</w:t>
      </w:r>
      <w:r>
        <w:rPr>
          <w:rStyle w:val="18"/>
          <w:rFonts w:hint="eastAsia" w:eastAsia="仿宋"/>
          <w:b w:val="0"/>
          <w:color w:val="000000"/>
          <w:sz w:val="32"/>
          <w:szCs w:val="32"/>
        </w:rPr>
        <w:t>职业年金</w:t>
      </w:r>
      <w:r>
        <w:rPr>
          <w:rStyle w:val="18"/>
          <w:rFonts w:eastAsia="仿宋"/>
          <w:b w:val="0"/>
          <w:color w:val="000000"/>
          <w:sz w:val="32"/>
          <w:szCs w:val="32"/>
        </w:rPr>
        <w:t>缴费支出</w:t>
      </w:r>
      <w:r>
        <w:rPr>
          <w:rStyle w:val="18"/>
          <w:rFonts w:eastAsia="仿宋"/>
          <w:b w:val="0"/>
          <w:sz w:val="32"/>
          <w:szCs w:val="32"/>
        </w:rPr>
        <w:t>（项）：支出决算为</w:t>
      </w:r>
      <w:r>
        <w:rPr>
          <w:rStyle w:val="18"/>
          <w:rFonts w:hint="eastAsia" w:eastAsia="仿宋"/>
          <w:b w:val="0"/>
          <w:sz w:val="32"/>
          <w:szCs w:val="32"/>
        </w:rPr>
        <w:t>26.87</w:t>
      </w:r>
      <w:r>
        <w:rPr>
          <w:rStyle w:val="18"/>
          <w:rFonts w:eastAsia="仿宋"/>
          <w:b w:val="0"/>
          <w:sz w:val="32"/>
          <w:szCs w:val="32"/>
        </w:rPr>
        <w:t>万元，完成预算100%，决算数等于预算数</w:t>
      </w:r>
      <w:r>
        <w:rPr>
          <w:rStyle w:val="18"/>
          <w:rFonts w:eastAsia="仿宋"/>
          <w:b w:val="0"/>
          <w:color w:val="000000"/>
          <w:sz w:val="32"/>
          <w:szCs w:val="32"/>
        </w:rPr>
        <w:t>。</w:t>
      </w:r>
    </w:p>
    <w:p w14:paraId="591B26A4">
      <w:pPr>
        <w:spacing w:line="600" w:lineRule="exact"/>
        <w:ind w:firstLine="640" w:firstLineChars="200"/>
        <w:rPr>
          <w:rStyle w:val="18"/>
          <w:rFonts w:eastAsia="仿宋"/>
          <w:b w:val="0"/>
          <w:color w:val="000000"/>
          <w:sz w:val="32"/>
          <w:szCs w:val="32"/>
        </w:rPr>
      </w:pPr>
      <w:r>
        <w:rPr>
          <w:rStyle w:val="18"/>
          <w:rFonts w:eastAsia="仿宋"/>
          <w:b w:val="0"/>
          <w:sz w:val="32"/>
          <w:szCs w:val="32"/>
        </w:rPr>
        <w:t>4.</w:t>
      </w:r>
      <w:r>
        <w:rPr>
          <w:rFonts w:eastAsia="仿宋"/>
          <w:sz w:val="32"/>
          <w:szCs w:val="32"/>
        </w:rPr>
        <w:t>卫生健康支出（类）</w:t>
      </w:r>
      <w:r>
        <w:rPr>
          <w:rStyle w:val="18"/>
          <w:rFonts w:eastAsia="仿宋"/>
          <w:b w:val="0"/>
          <w:color w:val="000000"/>
          <w:sz w:val="32"/>
          <w:szCs w:val="32"/>
        </w:rPr>
        <w:t>行政事业单位医疗</w:t>
      </w:r>
      <w:r>
        <w:rPr>
          <w:rStyle w:val="18"/>
          <w:rFonts w:eastAsia="仿宋"/>
          <w:b w:val="0"/>
          <w:sz w:val="32"/>
          <w:szCs w:val="32"/>
        </w:rPr>
        <w:t>（款）</w:t>
      </w:r>
      <w:r>
        <w:rPr>
          <w:rStyle w:val="18"/>
          <w:rFonts w:eastAsia="仿宋"/>
          <w:b w:val="0"/>
          <w:color w:val="000000"/>
          <w:sz w:val="32"/>
          <w:szCs w:val="32"/>
        </w:rPr>
        <w:t>事业单位医疗</w:t>
      </w:r>
      <w:r>
        <w:rPr>
          <w:rStyle w:val="18"/>
          <w:rFonts w:eastAsia="仿宋"/>
          <w:b w:val="0"/>
          <w:sz w:val="32"/>
          <w:szCs w:val="32"/>
        </w:rPr>
        <w:t>（项）：支出决算为</w:t>
      </w:r>
      <w:r>
        <w:rPr>
          <w:rStyle w:val="18"/>
          <w:rFonts w:hint="eastAsia" w:eastAsia="仿宋"/>
          <w:b w:val="0"/>
          <w:sz w:val="32"/>
          <w:szCs w:val="32"/>
        </w:rPr>
        <w:t>14.62</w:t>
      </w:r>
      <w:r>
        <w:rPr>
          <w:rStyle w:val="18"/>
          <w:rFonts w:eastAsia="仿宋"/>
          <w:b w:val="0"/>
          <w:sz w:val="32"/>
          <w:szCs w:val="32"/>
        </w:rPr>
        <w:t>万元，完成预算100%，决算数等于预算数</w:t>
      </w:r>
      <w:r>
        <w:rPr>
          <w:rStyle w:val="18"/>
          <w:rFonts w:eastAsia="仿宋"/>
          <w:b w:val="0"/>
          <w:color w:val="000000"/>
          <w:sz w:val="32"/>
          <w:szCs w:val="32"/>
        </w:rPr>
        <w:t>。</w:t>
      </w:r>
    </w:p>
    <w:p w14:paraId="01A63880">
      <w:pPr>
        <w:spacing w:line="600" w:lineRule="exact"/>
        <w:ind w:firstLine="640" w:firstLineChars="200"/>
        <w:rPr>
          <w:rFonts w:eastAsia="仿宋"/>
        </w:rPr>
      </w:pPr>
      <w:r>
        <w:rPr>
          <w:rStyle w:val="18"/>
          <w:rFonts w:eastAsia="仿宋"/>
          <w:b w:val="0"/>
          <w:sz w:val="32"/>
          <w:szCs w:val="32"/>
        </w:rPr>
        <w:t>5.</w:t>
      </w:r>
      <w:r>
        <w:rPr>
          <w:rFonts w:eastAsia="仿宋"/>
          <w:sz w:val="32"/>
          <w:szCs w:val="32"/>
        </w:rPr>
        <w:t>卫生健康支出（类）</w:t>
      </w:r>
      <w:r>
        <w:rPr>
          <w:rStyle w:val="18"/>
          <w:rFonts w:eastAsia="仿宋"/>
          <w:b w:val="0"/>
          <w:color w:val="000000"/>
          <w:sz w:val="32"/>
          <w:szCs w:val="32"/>
        </w:rPr>
        <w:t>行政事业单位医疗</w:t>
      </w:r>
      <w:r>
        <w:rPr>
          <w:rStyle w:val="18"/>
          <w:rFonts w:eastAsia="仿宋"/>
          <w:b w:val="0"/>
          <w:sz w:val="32"/>
          <w:szCs w:val="32"/>
        </w:rPr>
        <w:t>（款）</w:t>
      </w:r>
      <w:r>
        <w:rPr>
          <w:rStyle w:val="18"/>
          <w:rFonts w:eastAsia="仿宋"/>
          <w:b w:val="0"/>
          <w:color w:val="000000"/>
          <w:sz w:val="32"/>
          <w:szCs w:val="32"/>
        </w:rPr>
        <w:t>公务员医疗补助</w:t>
      </w:r>
      <w:r>
        <w:rPr>
          <w:rStyle w:val="18"/>
          <w:rFonts w:eastAsia="仿宋"/>
          <w:b w:val="0"/>
          <w:sz w:val="32"/>
          <w:szCs w:val="32"/>
        </w:rPr>
        <w:t>（项）：支出决算为</w:t>
      </w:r>
      <w:r>
        <w:rPr>
          <w:rStyle w:val="18"/>
          <w:rFonts w:hint="eastAsia" w:eastAsia="仿宋"/>
          <w:b w:val="0"/>
          <w:sz w:val="32"/>
          <w:szCs w:val="32"/>
        </w:rPr>
        <w:t>1.92</w:t>
      </w:r>
      <w:r>
        <w:rPr>
          <w:rStyle w:val="18"/>
          <w:rFonts w:eastAsia="仿宋"/>
          <w:b w:val="0"/>
          <w:sz w:val="32"/>
          <w:szCs w:val="32"/>
        </w:rPr>
        <w:t>万元，完成预算100%，决算数等于预算数</w:t>
      </w:r>
      <w:r>
        <w:rPr>
          <w:rStyle w:val="18"/>
          <w:rFonts w:eastAsia="仿宋"/>
          <w:b w:val="0"/>
          <w:color w:val="000000"/>
          <w:sz w:val="32"/>
          <w:szCs w:val="32"/>
        </w:rPr>
        <w:t>。</w:t>
      </w:r>
    </w:p>
    <w:p w14:paraId="60D22E96">
      <w:pPr>
        <w:spacing w:line="600" w:lineRule="exact"/>
        <w:ind w:firstLine="640" w:firstLineChars="200"/>
        <w:rPr>
          <w:rFonts w:eastAsia="仿宋"/>
        </w:rPr>
      </w:pPr>
      <w:r>
        <w:rPr>
          <w:rStyle w:val="18"/>
          <w:rFonts w:eastAsia="仿宋"/>
          <w:b w:val="0"/>
          <w:sz w:val="32"/>
          <w:szCs w:val="32"/>
        </w:rPr>
        <w:t>6.</w:t>
      </w:r>
      <w:r>
        <w:rPr>
          <w:rFonts w:eastAsia="仿宋"/>
          <w:sz w:val="32"/>
          <w:szCs w:val="32"/>
        </w:rPr>
        <w:t>卫生健康支出（类）</w:t>
      </w:r>
      <w:r>
        <w:rPr>
          <w:rStyle w:val="18"/>
          <w:rFonts w:eastAsia="仿宋"/>
          <w:b w:val="0"/>
          <w:color w:val="000000"/>
          <w:sz w:val="32"/>
          <w:szCs w:val="32"/>
        </w:rPr>
        <w:t>行政事业单位医疗</w:t>
      </w:r>
      <w:r>
        <w:rPr>
          <w:rStyle w:val="18"/>
          <w:rFonts w:eastAsia="仿宋"/>
          <w:b w:val="0"/>
          <w:sz w:val="32"/>
          <w:szCs w:val="32"/>
        </w:rPr>
        <w:t>（款）</w:t>
      </w:r>
      <w:r>
        <w:rPr>
          <w:rStyle w:val="18"/>
          <w:rFonts w:eastAsia="仿宋"/>
          <w:b w:val="0"/>
          <w:color w:val="000000"/>
          <w:sz w:val="32"/>
          <w:szCs w:val="32"/>
        </w:rPr>
        <w:t>其他行政事业单位医疗支出</w:t>
      </w:r>
      <w:r>
        <w:rPr>
          <w:rStyle w:val="18"/>
          <w:rFonts w:eastAsia="仿宋"/>
          <w:b w:val="0"/>
          <w:sz w:val="32"/>
          <w:szCs w:val="32"/>
        </w:rPr>
        <w:t>（项）：支出决算为</w:t>
      </w:r>
      <w:r>
        <w:rPr>
          <w:rStyle w:val="18"/>
          <w:rFonts w:hint="eastAsia" w:eastAsia="仿宋"/>
          <w:b w:val="0"/>
          <w:sz w:val="32"/>
          <w:szCs w:val="32"/>
        </w:rPr>
        <w:t>1.87</w:t>
      </w:r>
      <w:r>
        <w:rPr>
          <w:rStyle w:val="18"/>
          <w:rFonts w:eastAsia="仿宋"/>
          <w:b w:val="0"/>
          <w:sz w:val="32"/>
          <w:szCs w:val="32"/>
        </w:rPr>
        <w:t>万元，完成预算100%，决算数等于预算数</w:t>
      </w:r>
      <w:r>
        <w:rPr>
          <w:rStyle w:val="18"/>
          <w:rFonts w:eastAsia="仿宋"/>
          <w:b w:val="0"/>
          <w:color w:val="000000"/>
          <w:sz w:val="32"/>
          <w:szCs w:val="32"/>
        </w:rPr>
        <w:t>。</w:t>
      </w:r>
    </w:p>
    <w:p w14:paraId="7A521126">
      <w:pPr>
        <w:spacing w:line="600" w:lineRule="exact"/>
        <w:ind w:firstLine="640" w:firstLineChars="200"/>
        <w:rPr>
          <w:rStyle w:val="18"/>
          <w:rFonts w:eastAsia="仿宋"/>
          <w:b w:val="0"/>
          <w:color w:val="000000"/>
          <w:sz w:val="32"/>
          <w:szCs w:val="32"/>
        </w:rPr>
      </w:pPr>
      <w:r>
        <w:rPr>
          <w:rStyle w:val="18"/>
          <w:rFonts w:eastAsia="仿宋"/>
          <w:b w:val="0"/>
          <w:sz w:val="32"/>
          <w:szCs w:val="32"/>
        </w:rPr>
        <w:t>7.</w:t>
      </w:r>
      <w:r>
        <w:rPr>
          <w:rStyle w:val="18"/>
          <w:rFonts w:hint="eastAsia" w:eastAsia="仿宋"/>
          <w:b w:val="0"/>
          <w:sz w:val="32"/>
          <w:szCs w:val="32"/>
        </w:rPr>
        <w:t>农林水</w:t>
      </w:r>
      <w:r>
        <w:rPr>
          <w:rStyle w:val="18"/>
          <w:rFonts w:eastAsia="仿宋"/>
          <w:b w:val="0"/>
          <w:sz w:val="32"/>
          <w:szCs w:val="32"/>
        </w:rPr>
        <w:t>支出（类）</w:t>
      </w:r>
      <w:r>
        <w:rPr>
          <w:rStyle w:val="18"/>
          <w:rFonts w:hint="eastAsia" w:eastAsia="仿宋"/>
          <w:b w:val="0"/>
          <w:sz w:val="32"/>
          <w:szCs w:val="32"/>
        </w:rPr>
        <w:t>农业农村</w:t>
      </w:r>
      <w:r>
        <w:rPr>
          <w:rStyle w:val="18"/>
          <w:rFonts w:eastAsia="仿宋"/>
          <w:b w:val="0"/>
          <w:sz w:val="32"/>
          <w:szCs w:val="32"/>
        </w:rPr>
        <w:t>（款）</w:t>
      </w:r>
      <w:r>
        <w:rPr>
          <w:rStyle w:val="18"/>
          <w:rFonts w:hint="eastAsia" w:eastAsia="仿宋"/>
          <w:b w:val="0"/>
          <w:sz w:val="32"/>
          <w:szCs w:val="32"/>
        </w:rPr>
        <w:t>农村生态资源保护</w:t>
      </w:r>
      <w:r>
        <w:rPr>
          <w:rStyle w:val="18"/>
          <w:rFonts w:eastAsia="仿宋"/>
          <w:b w:val="0"/>
          <w:sz w:val="32"/>
          <w:szCs w:val="32"/>
        </w:rPr>
        <w:t>（项）：支出决算为</w:t>
      </w:r>
      <w:r>
        <w:rPr>
          <w:rStyle w:val="18"/>
          <w:rFonts w:hint="eastAsia" w:eastAsia="仿宋"/>
          <w:b w:val="0"/>
          <w:sz w:val="32"/>
          <w:szCs w:val="32"/>
        </w:rPr>
        <w:t>35000</w:t>
      </w:r>
      <w:r>
        <w:rPr>
          <w:rStyle w:val="18"/>
          <w:rFonts w:eastAsia="仿宋"/>
          <w:b w:val="0"/>
          <w:sz w:val="32"/>
          <w:szCs w:val="32"/>
        </w:rPr>
        <w:t>万元，完成预算100%，决算数等于预算数</w:t>
      </w:r>
      <w:r>
        <w:rPr>
          <w:rStyle w:val="18"/>
          <w:rFonts w:eastAsia="仿宋"/>
          <w:b w:val="0"/>
          <w:color w:val="000000"/>
          <w:sz w:val="32"/>
          <w:szCs w:val="32"/>
        </w:rPr>
        <w:t>。</w:t>
      </w:r>
    </w:p>
    <w:p w14:paraId="3968D03F">
      <w:pPr>
        <w:spacing w:line="600" w:lineRule="exact"/>
        <w:ind w:firstLine="640" w:firstLineChars="200"/>
        <w:rPr>
          <w:rStyle w:val="18"/>
          <w:rFonts w:eastAsia="仿宋"/>
          <w:b w:val="0"/>
          <w:color w:val="000000"/>
          <w:sz w:val="32"/>
          <w:szCs w:val="32"/>
        </w:rPr>
      </w:pPr>
      <w:r>
        <w:rPr>
          <w:rStyle w:val="18"/>
          <w:rFonts w:eastAsia="仿宋"/>
          <w:b w:val="0"/>
          <w:sz w:val="32"/>
          <w:szCs w:val="32"/>
        </w:rPr>
        <w:t>8.</w:t>
      </w:r>
      <w:r>
        <w:rPr>
          <w:rFonts w:eastAsia="仿宋"/>
          <w:color w:val="000000"/>
          <w:sz w:val="32"/>
          <w:szCs w:val="32"/>
        </w:rPr>
        <w:t>自然资源海洋气象等支出（类）自然资源事务</w:t>
      </w:r>
      <w:r>
        <w:rPr>
          <w:rStyle w:val="18"/>
          <w:rFonts w:eastAsia="仿宋"/>
          <w:b w:val="0"/>
          <w:color w:val="000000"/>
          <w:sz w:val="32"/>
          <w:szCs w:val="32"/>
        </w:rPr>
        <w:t>（款）事业运行（项）：</w:t>
      </w:r>
      <w:r>
        <w:rPr>
          <w:rStyle w:val="18"/>
          <w:rFonts w:eastAsia="仿宋"/>
          <w:b w:val="0"/>
          <w:sz w:val="32"/>
          <w:szCs w:val="32"/>
        </w:rPr>
        <w:t>支出决算为</w:t>
      </w:r>
      <w:r>
        <w:rPr>
          <w:rStyle w:val="18"/>
          <w:rFonts w:hint="eastAsia" w:eastAsia="仿宋"/>
          <w:b w:val="0"/>
          <w:sz w:val="32"/>
          <w:szCs w:val="32"/>
        </w:rPr>
        <w:t>224.37</w:t>
      </w:r>
      <w:r>
        <w:rPr>
          <w:rStyle w:val="18"/>
          <w:rFonts w:eastAsia="仿宋"/>
          <w:b w:val="0"/>
          <w:sz w:val="32"/>
          <w:szCs w:val="32"/>
        </w:rPr>
        <w:t>万元，完成预算100%，决算数等于预算数</w:t>
      </w:r>
      <w:r>
        <w:rPr>
          <w:rStyle w:val="18"/>
          <w:rFonts w:eastAsia="仿宋"/>
          <w:b w:val="0"/>
          <w:color w:val="000000"/>
          <w:sz w:val="32"/>
          <w:szCs w:val="32"/>
        </w:rPr>
        <w:t>。</w:t>
      </w:r>
    </w:p>
    <w:p w14:paraId="0509DB08">
      <w:pPr>
        <w:spacing w:line="600" w:lineRule="exact"/>
        <w:ind w:firstLine="640" w:firstLineChars="200"/>
      </w:pPr>
      <w:r>
        <w:rPr>
          <w:rFonts w:eastAsia="仿宋"/>
          <w:color w:val="000000"/>
          <w:sz w:val="32"/>
          <w:szCs w:val="32"/>
        </w:rPr>
        <w:t>9.自然资源海洋气象等支出（类）自然资源事务</w:t>
      </w:r>
      <w:r>
        <w:rPr>
          <w:rStyle w:val="18"/>
          <w:rFonts w:eastAsia="仿宋"/>
          <w:b w:val="0"/>
          <w:color w:val="000000"/>
          <w:sz w:val="32"/>
          <w:szCs w:val="32"/>
        </w:rPr>
        <w:t>（款）其他自然资源事务支出（项）：</w:t>
      </w:r>
      <w:r>
        <w:rPr>
          <w:rStyle w:val="18"/>
          <w:rFonts w:eastAsia="仿宋"/>
          <w:b w:val="0"/>
          <w:sz w:val="32"/>
          <w:szCs w:val="32"/>
        </w:rPr>
        <w:t>支出决算为</w:t>
      </w:r>
      <w:r>
        <w:rPr>
          <w:rStyle w:val="18"/>
          <w:rFonts w:hint="eastAsia" w:eastAsia="仿宋"/>
          <w:b w:val="0"/>
          <w:sz w:val="32"/>
          <w:szCs w:val="32"/>
        </w:rPr>
        <w:t>37.73</w:t>
      </w:r>
      <w:r>
        <w:rPr>
          <w:rStyle w:val="18"/>
          <w:rFonts w:eastAsia="仿宋"/>
          <w:b w:val="0"/>
          <w:sz w:val="32"/>
          <w:szCs w:val="32"/>
        </w:rPr>
        <w:t>万元，完成预算100%，决算数等于预算数</w:t>
      </w:r>
      <w:r>
        <w:rPr>
          <w:rStyle w:val="18"/>
          <w:rFonts w:eastAsia="仿宋"/>
          <w:b w:val="0"/>
          <w:color w:val="000000"/>
          <w:sz w:val="32"/>
          <w:szCs w:val="32"/>
        </w:rPr>
        <w:t>。</w:t>
      </w:r>
    </w:p>
    <w:p w14:paraId="662462B9">
      <w:pPr>
        <w:spacing w:line="600" w:lineRule="exact"/>
        <w:ind w:firstLine="640" w:firstLineChars="200"/>
      </w:pPr>
      <w:r>
        <w:rPr>
          <w:rStyle w:val="18"/>
          <w:rFonts w:eastAsia="仿宋"/>
          <w:b w:val="0"/>
          <w:sz w:val="32"/>
          <w:szCs w:val="32"/>
        </w:rPr>
        <w:t>10.</w:t>
      </w:r>
      <w:r>
        <w:rPr>
          <w:rFonts w:eastAsia="仿宋"/>
          <w:color w:val="000000"/>
          <w:sz w:val="32"/>
          <w:szCs w:val="32"/>
        </w:rPr>
        <w:t>自然资源海洋气象等支出（类）自然资源事务</w:t>
      </w:r>
      <w:r>
        <w:rPr>
          <w:rStyle w:val="18"/>
          <w:rFonts w:eastAsia="仿宋"/>
          <w:b w:val="0"/>
          <w:color w:val="000000"/>
          <w:sz w:val="32"/>
          <w:szCs w:val="32"/>
        </w:rPr>
        <w:t>（款）</w:t>
      </w:r>
      <w:r>
        <w:rPr>
          <w:rStyle w:val="18"/>
          <w:rFonts w:hint="eastAsia" w:eastAsia="仿宋"/>
          <w:b w:val="0"/>
          <w:color w:val="000000"/>
          <w:sz w:val="32"/>
          <w:szCs w:val="32"/>
        </w:rPr>
        <w:t>土地资源储备</w:t>
      </w:r>
      <w:r>
        <w:rPr>
          <w:rStyle w:val="18"/>
          <w:rFonts w:eastAsia="仿宋"/>
          <w:b w:val="0"/>
          <w:color w:val="000000"/>
          <w:sz w:val="32"/>
          <w:szCs w:val="32"/>
        </w:rPr>
        <w:t>支出（项）：</w:t>
      </w:r>
      <w:r>
        <w:rPr>
          <w:rStyle w:val="18"/>
          <w:rFonts w:eastAsia="仿宋"/>
          <w:b w:val="0"/>
          <w:sz w:val="32"/>
          <w:szCs w:val="32"/>
        </w:rPr>
        <w:t>支出决算为</w:t>
      </w:r>
      <w:r>
        <w:rPr>
          <w:rStyle w:val="18"/>
          <w:rFonts w:hint="eastAsia" w:eastAsia="仿宋"/>
          <w:b w:val="0"/>
          <w:sz w:val="32"/>
          <w:szCs w:val="32"/>
        </w:rPr>
        <w:t>8.26</w:t>
      </w:r>
      <w:r>
        <w:rPr>
          <w:rStyle w:val="18"/>
          <w:rFonts w:eastAsia="仿宋"/>
          <w:b w:val="0"/>
          <w:sz w:val="32"/>
          <w:szCs w:val="32"/>
        </w:rPr>
        <w:t>万元，完成预算100%，决算数等于预算数</w:t>
      </w:r>
      <w:r>
        <w:rPr>
          <w:rStyle w:val="18"/>
          <w:rFonts w:eastAsia="仿宋"/>
          <w:b w:val="0"/>
          <w:color w:val="000000"/>
          <w:sz w:val="32"/>
          <w:szCs w:val="32"/>
        </w:rPr>
        <w:t>。</w:t>
      </w:r>
    </w:p>
    <w:p w14:paraId="1CEC427A">
      <w:pPr>
        <w:spacing w:line="600" w:lineRule="exact"/>
        <w:ind w:firstLine="640" w:firstLineChars="200"/>
      </w:pPr>
      <w:r>
        <w:rPr>
          <w:rStyle w:val="18"/>
          <w:rFonts w:eastAsia="仿宋"/>
          <w:b w:val="0"/>
          <w:sz w:val="32"/>
          <w:szCs w:val="32"/>
        </w:rPr>
        <w:t>1</w:t>
      </w:r>
      <w:r>
        <w:rPr>
          <w:rStyle w:val="18"/>
          <w:rFonts w:hint="eastAsia" w:eastAsia="仿宋"/>
          <w:b w:val="0"/>
          <w:sz w:val="32"/>
          <w:szCs w:val="32"/>
        </w:rPr>
        <w:t>1</w:t>
      </w:r>
      <w:r>
        <w:rPr>
          <w:rStyle w:val="18"/>
          <w:rFonts w:eastAsia="仿宋"/>
          <w:b w:val="0"/>
          <w:sz w:val="32"/>
          <w:szCs w:val="32"/>
        </w:rPr>
        <w:t>.</w:t>
      </w:r>
      <w:r>
        <w:rPr>
          <w:rFonts w:eastAsia="仿宋"/>
          <w:color w:val="000000"/>
          <w:sz w:val="32"/>
          <w:szCs w:val="32"/>
        </w:rPr>
        <w:t>自然资源海洋气象等支出（类）自然资源事务</w:t>
      </w:r>
      <w:r>
        <w:rPr>
          <w:rStyle w:val="18"/>
          <w:rFonts w:eastAsia="仿宋"/>
          <w:b w:val="0"/>
          <w:color w:val="000000"/>
          <w:sz w:val="32"/>
          <w:szCs w:val="32"/>
        </w:rPr>
        <w:t>（款）</w:t>
      </w:r>
      <w:r>
        <w:rPr>
          <w:rStyle w:val="18"/>
          <w:rFonts w:hint="eastAsia" w:eastAsia="仿宋"/>
          <w:b w:val="0"/>
          <w:color w:val="000000"/>
          <w:sz w:val="32"/>
          <w:szCs w:val="32"/>
        </w:rPr>
        <w:t>自然资源利用与保护</w:t>
      </w:r>
      <w:r>
        <w:rPr>
          <w:rStyle w:val="18"/>
          <w:rFonts w:eastAsia="仿宋"/>
          <w:b w:val="0"/>
          <w:color w:val="000000"/>
          <w:sz w:val="32"/>
          <w:szCs w:val="32"/>
        </w:rPr>
        <w:t>（项）：</w:t>
      </w:r>
      <w:r>
        <w:rPr>
          <w:rStyle w:val="18"/>
          <w:rFonts w:eastAsia="仿宋"/>
          <w:b w:val="0"/>
          <w:sz w:val="32"/>
          <w:szCs w:val="32"/>
        </w:rPr>
        <w:t>支出决算为</w:t>
      </w:r>
      <w:r>
        <w:rPr>
          <w:rStyle w:val="18"/>
          <w:rFonts w:hint="eastAsia" w:eastAsia="仿宋"/>
          <w:b w:val="0"/>
          <w:sz w:val="32"/>
          <w:szCs w:val="32"/>
        </w:rPr>
        <w:t>5000</w:t>
      </w:r>
      <w:r>
        <w:rPr>
          <w:rStyle w:val="18"/>
          <w:rFonts w:eastAsia="仿宋"/>
          <w:b w:val="0"/>
          <w:sz w:val="32"/>
          <w:szCs w:val="32"/>
        </w:rPr>
        <w:t>万元，完成预算100%，决算数等于预算数</w:t>
      </w:r>
      <w:r>
        <w:rPr>
          <w:rStyle w:val="18"/>
          <w:rFonts w:eastAsia="仿宋"/>
          <w:b w:val="0"/>
          <w:color w:val="000000"/>
          <w:sz w:val="32"/>
          <w:szCs w:val="32"/>
        </w:rPr>
        <w:t>。</w:t>
      </w:r>
    </w:p>
    <w:p w14:paraId="2EBF120C">
      <w:pPr>
        <w:spacing w:line="600" w:lineRule="exact"/>
        <w:ind w:firstLine="640" w:firstLineChars="200"/>
        <w:rPr>
          <w:rFonts w:eastAsia="仿宋"/>
          <w:sz w:val="32"/>
          <w:szCs w:val="32"/>
        </w:rPr>
      </w:pPr>
      <w:r>
        <w:rPr>
          <w:rStyle w:val="18"/>
          <w:rFonts w:eastAsia="仿宋"/>
          <w:b w:val="0"/>
          <w:sz w:val="32"/>
          <w:szCs w:val="32"/>
        </w:rPr>
        <w:t>1</w:t>
      </w:r>
      <w:r>
        <w:rPr>
          <w:rStyle w:val="18"/>
          <w:rFonts w:hint="eastAsia" w:eastAsia="仿宋"/>
          <w:b w:val="0"/>
          <w:sz w:val="32"/>
          <w:szCs w:val="32"/>
        </w:rPr>
        <w:t>2</w:t>
      </w:r>
      <w:r>
        <w:rPr>
          <w:rStyle w:val="18"/>
          <w:rFonts w:eastAsia="仿宋"/>
          <w:b w:val="0"/>
          <w:sz w:val="32"/>
          <w:szCs w:val="32"/>
        </w:rPr>
        <w:t>.</w:t>
      </w:r>
      <w:r>
        <w:rPr>
          <w:rStyle w:val="18"/>
          <w:rFonts w:eastAsia="仿宋"/>
          <w:b w:val="0"/>
          <w:color w:val="000000"/>
          <w:sz w:val="32"/>
          <w:szCs w:val="32"/>
        </w:rPr>
        <w:t>住房保障支出（类）住房改革支出（款）住房公积金（项）：</w:t>
      </w:r>
      <w:r>
        <w:rPr>
          <w:rStyle w:val="18"/>
          <w:rFonts w:eastAsia="仿宋"/>
          <w:b w:val="0"/>
          <w:sz w:val="32"/>
          <w:szCs w:val="32"/>
        </w:rPr>
        <w:t>支出决算为</w:t>
      </w:r>
      <w:r>
        <w:rPr>
          <w:rStyle w:val="18"/>
          <w:rFonts w:eastAsia="仿宋"/>
          <w:b w:val="0"/>
          <w:sz w:val="32"/>
          <w:szCs w:val="32"/>
        </w:rPr>
        <w:tab/>
      </w:r>
      <w:r>
        <w:rPr>
          <w:rStyle w:val="18"/>
          <w:rFonts w:eastAsia="仿宋"/>
          <w:b w:val="0"/>
          <w:sz w:val="32"/>
          <w:szCs w:val="32"/>
        </w:rPr>
        <w:t>2</w:t>
      </w:r>
      <w:r>
        <w:rPr>
          <w:rStyle w:val="18"/>
          <w:rFonts w:hint="eastAsia" w:eastAsia="仿宋"/>
          <w:b w:val="0"/>
          <w:sz w:val="32"/>
          <w:szCs w:val="32"/>
        </w:rPr>
        <w:t>2.16</w:t>
      </w:r>
      <w:r>
        <w:rPr>
          <w:rStyle w:val="18"/>
          <w:rFonts w:eastAsia="仿宋"/>
          <w:b w:val="0"/>
          <w:sz w:val="32"/>
          <w:szCs w:val="32"/>
        </w:rPr>
        <w:t>万元，完成预算100%，决算数等于预算数</w:t>
      </w:r>
      <w:r>
        <w:rPr>
          <w:rStyle w:val="18"/>
          <w:rFonts w:eastAsia="仿宋"/>
          <w:b w:val="0"/>
          <w:color w:val="000000"/>
          <w:sz w:val="32"/>
          <w:szCs w:val="32"/>
        </w:rPr>
        <w:t>。</w:t>
      </w:r>
    </w:p>
    <w:p w14:paraId="73241406">
      <w:pPr>
        <w:tabs>
          <w:tab w:val="right" w:pos="8306"/>
        </w:tabs>
        <w:spacing w:line="600" w:lineRule="exact"/>
        <w:ind w:firstLine="640"/>
        <w:outlineLvl w:val="1"/>
        <w:rPr>
          <w:rStyle w:val="29"/>
          <w:rFonts w:ascii="Times New Roman" w:hAnsi="Times New Roman"/>
        </w:rPr>
      </w:pPr>
      <w:bookmarkStart w:id="41" w:name="_Toc15396608"/>
      <w:bookmarkStart w:id="42" w:name="_Toc15377214"/>
      <w:bookmarkStart w:id="43" w:name="_Toc24577"/>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41"/>
      <w:bookmarkEnd w:id="42"/>
      <w:bookmarkEnd w:id="43"/>
      <w:r>
        <w:rPr>
          <w:rStyle w:val="29"/>
          <w:rFonts w:ascii="Times New Roman" w:hAnsi="Times New Roman" w:eastAsia="黑体"/>
          <w:b w:val="0"/>
        </w:rPr>
        <w:tab/>
      </w:r>
    </w:p>
    <w:p w14:paraId="4A2116D3">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ascii="仿宋_GB2312" w:hAnsi="仿宋_GB2312" w:eastAsia="仿宋_GB2312" w:cs="仿宋_GB2312"/>
          <w:sz w:val="32"/>
          <w:szCs w:val="32"/>
        </w:rPr>
        <w:t>351.31</w:t>
      </w:r>
      <w:r>
        <w:rPr>
          <w:rFonts w:hint="eastAsia" w:eastAsia="仿宋_GB2312" w:cs="仿宋_GB2312"/>
          <w:sz w:val="32"/>
          <w:szCs w:val="32"/>
        </w:rPr>
        <w:t>万元，其中：</w:t>
      </w:r>
    </w:p>
    <w:p w14:paraId="7275852D">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339.66</w:t>
      </w:r>
      <w:r>
        <w:rPr>
          <w:rFonts w:hint="eastAsia" w:eastAsia="仿宋_GB2312" w:cs="仿宋_GB2312"/>
          <w:sz w:val="32"/>
          <w:szCs w:val="32"/>
        </w:rPr>
        <w:t>万元，主要包括：基本工资、津贴补贴、绩效工资、机关事业单位基本养老保险缴费、职业年金缴费、职工基本医疗保险缴费、公务员医疗补助缴费、其他社会保障缴费、住房公积金、其他工资福利支出、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11.65</w:t>
      </w:r>
      <w:r>
        <w:rPr>
          <w:rFonts w:hint="eastAsia" w:eastAsia="仿宋_GB2312" w:cs="仿宋_GB2312"/>
          <w:sz w:val="32"/>
          <w:szCs w:val="32"/>
        </w:rPr>
        <w:t>万元，主要包括：办公费、水费、电费、邮电费、差旅费、培训费、委托业务费、工会经费、福利费、其他交通费等。</w:t>
      </w:r>
    </w:p>
    <w:p w14:paraId="2182F819">
      <w:pPr>
        <w:spacing w:line="600" w:lineRule="exact"/>
        <w:ind w:firstLine="640"/>
        <w:outlineLvl w:val="1"/>
        <w:rPr>
          <w:rStyle w:val="29"/>
          <w:rFonts w:ascii="Times New Roman" w:hAnsi="Times New Roman" w:eastAsia="黑体"/>
          <w:b w:val="0"/>
        </w:rPr>
      </w:pPr>
      <w:bookmarkStart w:id="44" w:name="_Toc21790"/>
      <w:bookmarkStart w:id="45" w:name="_Toc15377215"/>
      <w:bookmarkStart w:id="46"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44"/>
      <w:bookmarkEnd w:id="45"/>
      <w:bookmarkEnd w:id="46"/>
    </w:p>
    <w:p w14:paraId="3874AE86">
      <w:pPr>
        <w:spacing w:line="600" w:lineRule="exact"/>
        <w:ind w:firstLine="643" w:firstLineChars="200"/>
        <w:outlineLvl w:val="2"/>
        <w:rPr>
          <w:rFonts w:eastAsia="楷体_GB2312" w:cs="楷体_GB2312"/>
          <w:b/>
          <w:sz w:val="32"/>
          <w:szCs w:val="32"/>
        </w:rPr>
      </w:pPr>
      <w:bookmarkStart w:id="47" w:name="_Toc15377216"/>
      <w:r>
        <w:rPr>
          <w:rFonts w:hint="eastAsia" w:eastAsia="楷体_GB2312" w:cs="楷体_GB2312"/>
          <w:b/>
          <w:sz w:val="32"/>
          <w:szCs w:val="32"/>
        </w:rPr>
        <w:t>（一）财政拨款“三公”经费支出决算总体情况说明</w:t>
      </w:r>
      <w:bookmarkEnd w:id="47"/>
    </w:p>
    <w:p w14:paraId="6F58238B">
      <w:pPr>
        <w:spacing w:line="600" w:lineRule="exact"/>
        <w:ind w:firstLine="640"/>
        <w:rPr>
          <w:rFonts w:eastAsia="仿宋"/>
          <w:sz w:val="32"/>
          <w:szCs w:val="32"/>
        </w:rPr>
      </w:pPr>
      <w:r>
        <w:rPr>
          <w:rFonts w:hint="eastAsia" w:eastAsia="仿宋_GB2312" w:cs="仿宋_GB2312"/>
          <w:sz w:val="32"/>
          <w:szCs w:val="32"/>
        </w:rPr>
        <w:t>2025年度财政拨款“三公”经费支出决算为0万元，完成预算0%，较上年度增加0万元，增长0%。</w:t>
      </w:r>
      <w:r>
        <w:rPr>
          <w:rFonts w:eastAsia="仿宋_GB2312"/>
          <w:sz w:val="32"/>
          <w:szCs w:val="32"/>
        </w:rPr>
        <w:t>决算数小于预算数的主要原因是</w:t>
      </w:r>
      <w:r>
        <w:rPr>
          <w:rFonts w:eastAsia="仿宋"/>
          <w:sz w:val="32"/>
          <w:szCs w:val="32"/>
        </w:rPr>
        <w:t>严格执行“三公”经费管理制度，厉行节约减少非必要公务开支。</w:t>
      </w:r>
    </w:p>
    <w:p w14:paraId="235875AC">
      <w:pPr>
        <w:spacing w:line="600" w:lineRule="exact"/>
        <w:ind w:firstLine="643" w:firstLineChars="200"/>
        <w:outlineLvl w:val="2"/>
        <w:rPr>
          <w:rFonts w:eastAsia="楷体_GB2312" w:cs="楷体_GB2312"/>
          <w:b/>
          <w:sz w:val="32"/>
          <w:szCs w:val="32"/>
        </w:rPr>
      </w:pPr>
      <w:bookmarkStart w:id="48" w:name="_Toc15377217"/>
      <w:r>
        <w:rPr>
          <w:rFonts w:hint="eastAsia" w:eastAsia="楷体_GB2312" w:cs="楷体_GB2312"/>
          <w:b/>
          <w:sz w:val="32"/>
          <w:szCs w:val="32"/>
        </w:rPr>
        <w:t>（二）财政拨款“三公”经费支出决算具体情况说明</w:t>
      </w:r>
      <w:bookmarkEnd w:id="48"/>
    </w:p>
    <w:p w14:paraId="13A709CD">
      <w:pPr>
        <w:spacing w:line="600" w:lineRule="exact"/>
        <w:ind w:firstLine="640"/>
        <w:rPr>
          <w:rFonts w:eastAsia="仿宋_GB2312" w:cs="仿宋_GB2312"/>
          <w:sz w:val="32"/>
          <w:szCs w:val="32"/>
        </w:rPr>
      </w:pPr>
      <w:r>
        <w:rPr>
          <w:rFonts w:eastAsia="仿宋"/>
          <w:color w:val="000000"/>
          <w:sz w:val="32"/>
          <w:szCs w:val="32"/>
        </w:rPr>
        <w:drawing>
          <wp:anchor distT="0" distB="0" distL="114300" distR="114300" simplePos="0" relativeHeight="251662336" behindDoc="0" locked="0" layoutInCell="1" allowOverlap="1">
            <wp:simplePos x="0" y="0"/>
            <wp:positionH relativeFrom="column">
              <wp:posOffset>913130</wp:posOffset>
            </wp:positionH>
            <wp:positionV relativeFrom="paragraph">
              <wp:posOffset>1567815</wp:posOffset>
            </wp:positionV>
            <wp:extent cx="3102610" cy="2197735"/>
            <wp:effectExtent l="5080" t="4445" r="16510" b="762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eastAsia="仿宋_GB2312" w:cs="仿宋_GB2312"/>
          <w:sz w:val="32"/>
          <w:szCs w:val="32"/>
        </w:rPr>
        <w:t>2025年度财政拨款“三公”经费支出决算中，因公出国（境）费支出决算0万元，占0%；公务用车购置及运行维护费支出决算0万元，占0%；公务接待费支出决算0万元，占0%。具体情况如下：</w:t>
      </w:r>
    </w:p>
    <w:p w14:paraId="0A2FA770">
      <w:pPr>
        <w:spacing w:line="600" w:lineRule="exact"/>
        <w:ind w:firstLine="640"/>
        <w:jc w:val="center"/>
        <w:rPr>
          <w:rFonts w:eastAsia="仿宋_GB2312" w:cs="仿宋_GB2312"/>
          <w:sz w:val="32"/>
          <w:szCs w:val="32"/>
        </w:rPr>
      </w:pPr>
      <w:r>
        <w:rPr>
          <w:rFonts w:hint="eastAsia" w:eastAsia="仿宋_GB2312" w:cs="仿宋_GB2312"/>
          <w:sz w:val="32"/>
          <w:szCs w:val="32"/>
        </w:rPr>
        <w:t>（图7：财政拨款“三公”经费支出结构）</w:t>
      </w:r>
    </w:p>
    <w:p w14:paraId="61371C5F">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全年安排因公出国（境）团组0次，出国（境）0人。因公出国（境）支出决算比上年度增加/减少0万元，增长/下降0%。</w:t>
      </w:r>
    </w:p>
    <w:p w14:paraId="1A485A8E">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2.公务用车购置及运行维护费支出0万元，完成预算0%。</w:t>
      </w:r>
      <w:r>
        <w:rPr>
          <w:rFonts w:hint="eastAsia" w:eastAsia="仿宋_GB2312" w:cs="仿宋_GB2312"/>
          <w:sz w:val="32"/>
          <w:szCs w:val="32"/>
        </w:rPr>
        <w:t>公务用车购置及运行维护费支出决算比上年度增加/减少0万元，增长/下降0%。</w:t>
      </w:r>
    </w:p>
    <w:p w14:paraId="64C6BE98">
      <w:pPr>
        <w:spacing w:line="600" w:lineRule="exact"/>
        <w:ind w:firstLine="640"/>
        <w:rPr>
          <w:rFonts w:eastAsia="仿宋_GB2312" w:cs="仿宋_GB2312"/>
          <w:sz w:val="32"/>
          <w:szCs w:val="32"/>
        </w:rPr>
      </w:pPr>
      <w:r>
        <w:rPr>
          <w:rFonts w:eastAsia="仿宋_GB2312"/>
          <w:sz w:val="32"/>
          <w:szCs w:val="32"/>
        </w:rPr>
        <w:t>其中：公务用车购置支出0万元。全年按规定更新购置公务用车0辆，其中：轿车0辆、金额0万元，越野车0辆、金额0万元，载客汽车0辆、金额0万元。</w:t>
      </w:r>
      <w:r>
        <w:rPr>
          <w:rFonts w:hint="eastAsia" w:eastAsia="仿宋_GB2312" w:cs="仿宋_GB2312"/>
          <w:sz w:val="32"/>
          <w:szCs w:val="32"/>
        </w:rPr>
        <w:t>截至2025年12月31日，单位共有公务用车0辆，其中：轿车0辆、越野车0辆、载客汽车0辆。</w:t>
      </w:r>
    </w:p>
    <w:p w14:paraId="378AB239">
      <w:pPr>
        <w:spacing w:line="600" w:lineRule="exact"/>
        <w:ind w:firstLine="640"/>
        <w:rPr>
          <w:rFonts w:eastAsia="仿宋_GB2312" w:cs="仿宋_GB2312"/>
          <w:sz w:val="32"/>
          <w:szCs w:val="32"/>
        </w:rPr>
      </w:pPr>
      <w:r>
        <w:rPr>
          <w:rFonts w:hint="eastAsia" w:eastAsia="仿宋_GB2312" w:cs="仿宋_GB2312"/>
          <w:sz w:val="32"/>
          <w:szCs w:val="32"/>
        </w:rPr>
        <w:t>公务用车运行维护费支出0万元。</w:t>
      </w:r>
    </w:p>
    <w:p w14:paraId="5EE408DA">
      <w:pPr>
        <w:spacing w:line="600" w:lineRule="exact"/>
        <w:ind w:firstLine="640"/>
        <w:rPr>
          <w:rFonts w:eastAsia="仿宋_GB2312" w:cs="仿宋_GB2312"/>
          <w:sz w:val="32"/>
          <w:szCs w:val="32"/>
        </w:rPr>
      </w:pPr>
      <w:r>
        <w:rPr>
          <w:rFonts w:hint="eastAsia" w:eastAsia="仿宋_GB2312" w:cs="仿宋_GB2312"/>
          <w:b/>
          <w:bCs/>
          <w:sz w:val="32"/>
          <w:szCs w:val="32"/>
        </w:rPr>
        <w:t>3.公务接待费支出0万元，完成预算0%。</w:t>
      </w:r>
      <w:r>
        <w:rPr>
          <w:rFonts w:hint="eastAsia" w:eastAsia="仿宋_GB2312" w:cs="仿宋_GB2312"/>
          <w:sz w:val="32"/>
          <w:szCs w:val="32"/>
        </w:rPr>
        <w:t>公务接待费支出决算比上年度增加/减少0万元，增长/下降0%。主要原因是</w:t>
      </w:r>
      <w:r>
        <w:rPr>
          <w:rFonts w:eastAsia="仿宋_GB2312"/>
          <w:sz w:val="32"/>
          <w:szCs w:val="32"/>
        </w:rPr>
        <w:t>202</w:t>
      </w:r>
      <w:r>
        <w:rPr>
          <w:rFonts w:hint="eastAsia" w:eastAsia="仿宋_GB2312"/>
          <w:sz w:val="32"/>
          <w:szCs w:val="32"/>
        </w:rPr>
        <w:t>5</w:t>
      </w:r>
      <w:r>
        <w:rPr>
          <w:rFonts w:eastAsia="仿宋_GB2312"/>
          <w:sz w:val="32"/>
          <w:szCs w:val="32"/>
        </w:rPr>
        <w:t>年无公务接待。</w:t>
      </w:r>
      <w:r>
        <w:rPr>
          <w:rFonts w:hint="eastAsia" w:eastAsia="仿宋_GB2312" w:cs="仿宋_GB2312"/>
          <w:sz w:val="32"/>
          <w:szCs w:val="32"/>
        </w:rPr>
        <w:t>其中：</w:t>
      </w:r>
    </w:p>
    <w:p w14:paraId="6D346C5C">
      <w:pPr>
        <w:spacing w:line="600" w:lineRule="exact"/>
        <w:ind w:firstLine="640"/>
        <w:rPr>
          <w:rFonts w:eastAsia="仿宋_GB2312" w:cs="仿宋_GB2312"/>
          <w:sz w:val="32"/>
          <w:szCs w:val="32"/>
        </w:rPr>
      </w:pPr>
      <w:r>
        <w:rPr>
          <w:rFonts w:hint="eastAsia" w:eastAsia="仿宋_GB2312" w:cs="仿宋_GB2312"/>
          <w:sz w:val="32"/>
          <w:szCs w:val="32"/>
        </w:rPr>
        <w:t>国内公务接待支出0万元。国内公务接待0批次，0人次（不包括陪同人员），共计支出0万元。</w:t>
      </w:r>
    </w:p>
    <w:p w14:paraId="0F2DE51C">
      <w:pPr>
        <w:spacing w:line="600" w:lineRule="exact"/>
        <w:ind w:firstLine="640"/>
        <w:rPr>
          <w:rFonts w:eastAsia="仿宋_GB2312" w:cs="仿宋_GB2312"/>
          <w:sz w:val="32"/>
          <w:szCs w:val="32"/>
        </w:rPr>
      </w:pPr>
      <w:r>
        <w:rPr>
          <w:rFonts w:hint="eastAsia" w:eastAsia="仿宋_GB2312" w:cs="仿宋_GB2312"/>
          <w:sz w:val="32"/>
          <w:szCs w:val="32"/>
        </w:rPr>
        <w:t>外事接待支出0万元0。外事接待0批次，0人次（不包括陪同人员），共计支出0万元。</w:t>
      </w:r>
    </w:p>
    <w:p w14:paraId="6EBB14FF">
      <w:pPr>
        <w:spacing w:line="600" w:lineRule="exact"/>
        <w:ind w:firstLine="640"/>
        <w:outlineLvl w:val="1"/>
        <w:rPr>
          <w:rStyle w:val="29"/>
          <w:rFonts w:ascii="Times New Roman" w:hAnsi="Times New Roman" w:eastAsia="黑体"/>
        </w:rPr>
      </w:pPr>
      <w:bookmarkStart w:id="49" w:name="_Toc15396610"/>
      <w:bookmarkStart w:id="50" w:name="_Toc15377218"/>
      <w:bookmarkStart w:id="51" w:name="_Toc28452"/>
      <w:r>
        <w:rPr>
          <w:rFonts w:hint="eastAsia" w:eastAsia="黑体"/>
          <w:sz w:val="32"/>
          <w:szCs w:val="32"/>
        </w:rPr>
        <w:t>八、</w:t>
      </w:r>
      <w:r>
        <w:rPr>
          <w:rStyle w:val="29"/>
          <w:rFonts w:hint="eastAsia" w:ascii="Times New Roman" w:hAnsi="Times New Roman" w:eastAsia="黑体"/>
          <w:b w:val="0"/>
        </w:rPr>
        <w:t>政府性基金预算支出决算情况说明</w:t>
      </w:r>
      <w:bookmarkEnd w:id="49"/>
      <w:bookmarkEnd w:id="50"/>
      <w:bookmarkEnd w:id="51"/>
    </w:p>
    <w:p w14:paraId="1A2172D3">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ascii="仿宋_GB2312" w:hAnsi="仿宋_GB2312" w:eastAsia="仿宋_GB2312" w:cs="仿宋_GB2312"/>
          <w:sz w:val="32"/>
          <w:szCs w:val="32"/>
        </w:rPr>
        <w:t>269.84</w:t>
      </w:r>
      <w:r>
        <w:rPr>
          <w:rFonts w:hint="eastAsia" w:eastAsia="仿宋_GB2312" w:cs="仿宋_GB2312"/>
          <w:sz w:val="32"/>
          <w:szCs w:val="32"/>
        </w:rPr>
        <w:t>万元，占本年支出合计的</w:t>
      </w:r>
      <w:r>
        <w:rPr>
          <w:rFonts w:hint="eastAsia" w:ascii="仿宋_GB2312" w:hAnsi="仿宋_GB2312" w:eastAsia="仿宋_GB2312" w:cs="仿宋_GB2312"/>
          <w:sz w:val="32"/>
          <w:szCs w:val="32"/>
        </w:rPr>
        <w:t>0.66</w:t>
      </w:r>
      <w:r>
        <w:rPr>
          <w:rFonts w:hint="eastAsia" w:eastAsia="仿宋_GB2312" w:cs="仿宋_GB2312"/>
          <w:sz w:val="32"/>
          <w:szCs w:val="32"/>
        </w:rPr>
        <w:t>%。与上年度相比，政府性基金预算财政拨款支出增加254.61万元，增长1671.77%。主要变动原因是财政拨款增加。</w:t>
      </w:r>
    </w:p>
    <w:p w14:paraId="103EC99E">
      <w:pPr>
        <w:spacing w:line="600" w:lineRule="exact"/>
        <w:ind w:left="630"/>
        <w:outlineLvl w:val="1"/>
        <w:rPr>
          <w:rStyle w:val="29"/>
          <w:rFonts w:ascii="Times New Roman" w:hAnsi="Times New Roman" w:eastAsia="黑体"/>
          <w:b w:val="0"/>
        </w:rPr>
      </w:pPr>
      <w:bookmarkStart w:id="52" w:name="_Toc15377219"/>
      <w:bookmarkStart w:id="53" w:name="_Toc25520"/>
      <w:bookmarkStart w:id="54" w:name="_Toc15396611"/>
      <w:r>
        <w:rPr>
          <w:rStyle w:val="29"/>
          <w:rFonts w:hint="eastAsia" w:ascii="Times New Roman" w:hAnsi="Times New Roman" w:eastAsia="黑体"/>
          <w:b w:val="0"/>
        </w:rPr>
        <w:t>九、国有资本经营预算支出决算情况说明</w:t>
      </w:r>
      <w:bookmarkEnd w:id="52"/>
      <w:bookmarkEnd w:id="53"/>
      <w:bookmarkEnd w:id="54"/>
    </w:p>
    <w:p w14:paraId="53C97861">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2025年度国有资本经营预算财政拨款支出0万元，占本年支出合计的0%。与上年度相比，国有资本经营预算财政拨款支出增加/减少0万元，增长/下降0%。</w:t>
      </w:r>
    </w:p>
    <w:p w14:paraId="731C141A">
      <w:pPr>
        <w:spacing w:line="600" w:lineRule="exact"/>
        <w:ind w:left="630"/>
        <w:outlineLvl w:val="1"/>
        <w:rPr>
          <w:rStyle w:val="29"/>
          <w:rFonts w:ascii="Times New Roman" w:hAnsi="Times New Roman" w:eastAsia="黑体"/>
          <w:b w:val="0"/>
        </w:rPr>
      </w:pPr>
      <w:bookmarkStart w:id="55" w:name="_Toc29221"/>
      <w:bookmarkStart w:id="56" w:name="_Toc15396612"/>
      <w:bookmarkStart w:id="57" w:name="_Toc15377221"/>
      <w:r>
        <w:rPr>
          <w:rStyle w:val="29"/>
          <w:rFonts w:hint="eastAsia" w:ascii="Times New Roman" w:hAnsi="Times New Roman" w:eastAsia="黑体"/>
          <w:b w:val="0"/>
        </w:rPr>
        <w:t>十、其他重要事项的情况说明</w:t>
      </w:r>
      <w:bookmarkEnd w:id="55"/>
      <w:bookmarkEnd w:id="56"/>
      <w:bookmarkEnd w:id="57"/>
    </w:p>
    <w:p w14:paraId="173C14BF">
      <w:pPr>
        <w:spacing w:line="600" w:lineRule="exact"/>
        <w:ind w:firstLine="643" w:firstLineChars="200"/>
        <w:outlineLvl w:val="2"/>
        <w:rPr>
          <w:rFonts w:eastAsia="楷体_GB2312" w:cs="楷体_GB2312"/>
          <w:b/>
          <w:sz w:val="32"/>
          <w:szCs w:val="32"/>
        </w:rPr>
      </w:pPr>
      <w:bookmarkStart w:id="58" w:name="_Toc15377222"/>
      <w:r>
        <w:rPr>
          <w:rFonts w:hint="eastAsia" w:eastAsia="楷体_GB2312" w:cs="楷体_GB2312"/>
          <w:b/>
          <w:sz w:val="32"/>
          <w:szCs w:val="32"/>
        </w:rPr>
        <w:t>（一）机关运行经费支出情况</w:t>
      </w:r>
      <w:bookmarkEnd w:id="58"/>
    </w:p>
    <w:p w14:paraId="76F49B0E">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攀枝花市土地储备中心</w:t>
      </w:r>
      <w:r>
        <w:rPr>
          <w:rFonts w:hint="eastAsia" w:eastAsia="仿宋_GB2312" w:cs="仿宋_GB2312"/>
          <w:sz w:val="32"/>
          <w:szCs w:val="32"/>
        </w:rPr>
        <w:t>机关运行经费支出</w:t>
      </w:r>
      <w:r>
        <w:rPr>
          <w:rFonts w:hint="eastAsia" w:ascii="仿宋_GB2312" w:hAnsi="仿宋_GB2312" w:eastAsia="仿宋_GB2312" w:cs="仿宋_GB2312"/>
          <w:sz w:val="32"/>
          <w:szCs w:val="32"/>
        </w:rPr>
        <w:t>0</w:t>
      </w:r>
      <w:r>
        <w:rPr>
          <w:rFonts w:hint="eastAsia" w:eastAsia="仿宋_GB2312" w:cs="仿宋_GB2312"/>
          <w:sz w:val="32"/>
          <w:szCs w:val="32"/>
        </w:rPr>
        <w:t>万元，比上年度增加/减少0万元，增长/下降0%。</w:t>
      </w:r>
      <w:bookmarkStart w:id="59" w:name="_Toc15377223"/>
    </w:p>
    <w:p w14:paraId="20ED66B8">
      <w:pPr>
        <w:spacing w:line="600" w:lineRule="exact"/>
        <w:ind w:firstLine="640"/>
        <w:rPr>
          <w:rFonts w:eastAsia="楷体_GB2312" w:cs="楷体_GB2312"/>
          <w:b/>
          <w:sz w:val="32"/>
          <w:szCs w:val="32"/>
        </w:rPr>
      </w:pPr>
      <w:r>
        <w:rPr>
          <w:rFonts w:hint="eastAsia" w:eastAsia="楷体_GB2312" w:cs="楷体_GB2312"/>
          <w:b/>
          <w:sz w:val="32"/>
          <w:szCs w:val="32"/>
        </w:rPr>
        <w:t>（二）政府采购支出情况</w:t>
      </w:r>
      <w:bookmarkEnd w:id="59"/>
    </w:p>
    <w:p w14:paraId="4E8A536B">
      <w:pPr>
        <w:spacing w:line="600" w:lineRule="exact"/>
        <w:ind w:firstLine="640"/>
        <w:rPr>
          <w:rFonts w:eastAsia="仿宋_GB2312" w:cs="仿宋_GB2312"/>
          <w:sz w:val="32"/>
          <w:szCs w:val="32"/>
        </w:rPr>
      </w:pPr>
      <w:r>
        <w:rPr>
          <w:rFonts w:hint="eastAsia" w:eastAsia="仿宋_GB2312" w:cs="仿宋_GB2312"/>
          <w:sz w:val="32"/>
          <w:szCs w:val="32"/>
        </w:rPr>
        <w:t>2025年度，</w:t>
      </w:r>
      <w:r>
        <w:rPr>
          <w:rFonts w:eastAsia="仿宋_GB2312"/>
          <w:sz w:val="32"/>
          <w:szCs w:val="32"/>
        </w:rPr>
        <w:t>攀枝花市土地储备中心</w:t>
      </w:r>
      <w:r>
        <w:rPr>
          <w:rFonts w:hint="eastAsia" w:eastAsia="仿宋_GB2312" w:cs="仿宋_GB2312"/>
          <w:sz w:val="32"/>
          <w:szCs w:val="32"/>
        </w:rPr>
        <w:t>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2BAF2104">
      <w:pPr>
        <w:spacing w:line="600" w:lineRule="exact"/>
        <w:ind w:firstLine="643" w:firstLineChars="200"/>
        <w:outlineLvl w:val="2"/>
        <w:rPr>
          <w:rFonts w:eastAsia="楷体_GB2312" w:cs="楷体_GB2312"/>
          <w:b/>
          <w:sz w:val="32"/>
          <w:szCs w:val="32"/>
        </w:rPr>
      </w:pPr>
      <w:bookmarkStart w:id="60" w:name="_Toc15377224"/>
      <w:r>
        <w:rPr>
          <w:rFonts w:hint="eastAsia" w:eastAsia="楷体_GB2312" w:cs="楷体_GB2312"/>
          <w:b/>
          <w:sz w:val="32"/>
          <w:szCs w:val="32"/>
        </w:rPr>
        <w:t>（三）国有资产占有使用情况</w:t>
      </w:r>
      <w:bookmarkEnd w:id="60"/>
    </w:p>
    <w:p w14:paraId="78925491">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ascii="仿宋_GB2312" w:hAnsi="仿宋_GB2312" w:eastAsia="仿宋_GB2312" w:cs="仿宋_GB2312"/>
          <w:sz w:val="32"/>
          <w:szCs w:val="32"/>
        </w:rPr>
        <w:t>攀枝花市土地储备中心</w:t>
      </w:r>
      <w:r>
        <w:rPr>
          <w:rFonts w:hint="eastAsia" w:eastAsia="仿宋_GB2312" w:cs="仿宋_GB2312"/>
          <w:sz w:val="32"/>
          <w:szCs w:val="32"/>
        </w:rPr>
        <w:t>共有车辆</w:t>
      </w:r>
      <w:r>
        <w:rPr>
          <w:rFonts w:hint="eastAsia" w:ascii="仿宋_GB2312" w:hAnsi="仿宋_GB2312" w:eastAsia="仿宋_GB2312" w:cs="仿宋_GB2312"/>
          <w:sz w:val="32"/>
          <w:szCs w:val="32"/>
        </w:rPr>
        <w:t>0</w:t>
      </w:r>
      <w:r>
        <w:rPr>
          <w:rFonts w:hint="eastAsia" w:eastAsia="仿宋_GB2312" w:cs="仿宋_GB2312"/>
          <w:sz w:val="32"/>
          <w:szCs w:val="32"/>
        </w:rPr>
        <w:t>辆，其中：副部（省）级及以上领导用车</w:t>
      </w:r>
      <w:r>
        <w:rPr>
          <w:rFonts w:hint="eastAsia" w:ascii="仿宋_GB2312" w:hAnsi="仿宋_GB2312" w:eastAsia="仿宋_GB2312" w:cs="仿宋_GB2312"/>
          <w:sz w:val="32"/>
          <w:szCs w:val="32"/>
        </w:rPr>
        <w:t>0</w:t>
      </w:r>
      <w:r>
        <w:rPr>
          <w:rFonts w:hint="eastAsia" w:eastAsia="仿宋_GB2312" w:cs="仿宋_GB2312"/>
          <w:sz w:val="32"/>
          <w:szCs w:val="32"/>
        </w:rPr>
        <w:t>辆、主要负责人用车</w:t>
      </w:r>
      <w:r>
        <w:rPr>
          <w:rFonts w:hint="eastAsia" w:ascii="仿宋_GB2312" w:hAnsi="仿宋_GB2312" w:eastAsia="仿宋_GB2312" w:cs="仿宋_GB2312"/>
          <w:sz w:val="32"/>
          <w:szCs w:val="32"/>
        </w:rPr>
        <w:t>0</w:t>
      </w:r>
      <w:r>
        <w:rPr>
          <w:rFonts w:hint="eastAsia" w:eastAsia="仿宋_GB2312" w:cs="仿宋_GB2312"/>
          <w:sz w:val="32"/>
          <w:szCs w:val="32"/>
        </w:rPr>
        <w:t>辆、机要通信用车</w:t>
      </w:r>
      <w:r>
        <w:rPr>
          <w:rFonts w:hint="eastAsia" w:ascii="仿宋_GB2312" w:hAnsi="仿宋_GB2312" w:eastAsia="仿宋_GB2312" w:cs="仿宋_GB2312"/>
          <w:sz w:val="32"/>
          <w:szCs w:val="32"/>
        </w:rPr>
        <w:t>0</w:t>
      </w:r>
      <w:r>
        <w:rPr>
          <w:rFonts w:hint="eastAsia" w:eastAsia="仿宋_GB2312" w:cs="仿宋_GB2312"/>
          <w:sz w:val="32"/>
          <w:szCs w:val="32"/>
        </w:rPr>
        <w:t>辆、应急保障用车</w:t>
      </w:r>
      <w:r>
        <w:rPr>
          <w:rFonts w:hint="eastAsia" w:ascii="仿宋_GB2312" w:hAnsi="仿宋_GB2312" w:eastAsia="仿宋_GB2312" w:cs="仿宋_GB2312"/>
          <w:sz w:val="32"/>
          <w:szCs w:val="32"/>
        </w:rPr>
        <w:t>0</w:t>
      </w:r>
      <w:r>
        <w:rPr>
          <w:rFonts w:hint="eastAsia" w:eastAsia="仿宋_GB2312" w:cs="仿宋_GB2312"/>
          <w:sz w:val="32"/>
          <w:szCs w:val="32"/>
        </w:rPr>
        <w:t>辆、执法执勤用车</w:t>
      </w:r>
      <w:r>
        <w:rPr>
          <w:rFonts w:hint="eastAsia" w:ascii="仿宋_GB2312" w:hAnsi="仿宋_GB2312" w:eastAsia="仿宋_GB2312" w:cs="仿宋_GB2312"/>
          <w:sz w:val="32"/>
          <w:szCs w:val="32"/>
        </w:rPr>
        <w:t>0</w:t>
      </w:r>
      <w:r>
        <w:rPr>
          <w:rFonts w:hint="eastAsia" w:eastAsia="仿宋_GB2312" w:cs="仿宋_GB2312"/>
          <w:sz w:val="32"/>
          <w:szCs w:val="32"/>
        </w:rPr>
        <w:t>辆、特种专业技术用车</w:t>
      </w:r>
      <w:r>
        <w:rPr>
          <w:rFonts w:hint="eastAsia" w:ascii="仿宋_GB2312" w:hAnsi="仿宋_GB2312" w:eastAsia="仿宋_GB2312" w:cs="仿宋_GB2312"/>
          <w:sz w:val="32"/>
          <w:szCs w:val="32"/>
        </w:rPr>
        <w:t>0</w:t>
      </w:r>
      <w:r>
        <w:rPr>
          <w:rFonts w:hint="eastAsia" w:eastAsia="仿宋_GB2312" w:cs="仿宋_GB2312"/>
          <w:sz w:val="32"/>
          <w:szCs w:val="32"/>
        </w:rPr>
        <w:t>辆、离退休干部服务用车</w:t>
      </w:r>
      <w:r>
        <w:rPr>
          <w:rFonts w:hint="eastAsia" w:ascii="仿宋_GB2312" w:hAnsi="仿宋_GB2312" w:eastAsia="仿宋_GB2312" w:cs="仿宋_GB2312"/>
          <w:sz w:val="32"/>
          <w:szCs w:val="32"/>
        </w:rPr>
        <w:t>0</w:t>
      </w:r>
      <w:r>
        <w:rPr>
          <w:rFonts w:hint="eastAsia" w:eastAsia="仿宋_GB2312" w:cs="仿宋_GB2312"/>
          <w:sz w:val="32"/>
          <w:szCs w:val="32"/>
        </w:rPr>
        <w:t>辆、其他用车</w:t>
      </w:r>
      <w:r>
        <w:rPr>
          <w:rFonts w:hint="eastAsia" w:ascii="仿宋_GB2312" w:hAnsi="仿宋_GB2312" w:eastAsia="仿宋_GB2312" w:cs="仿宋_GB2312"/>
          <w:sz w:val="32"/>
          <w:szCs w:val="32"/>
        </w:rPr>
        <w:t>0</w:t>
      </w:r>
      <w:r>
        <w:rPr>
          <w:rFonts w:hint="eastAsia" w:eastAsia="仿宋_GB2312" w:cs="仿宋_GB2312"/>
          <w:sz w:val="32"/>
          <w:szCs w:val="32"/>
        </w:rPr>
        <w:t>辆。单价100万元（含）以上设备（不含车辆）</w:t>
      </w:r>
      <w:r>
        <w:rPr>
          <w:rFonts w:hint="eastAsia" w:ascii="仿宋_GB2312" w:hAnsi="仿宋_GB2312" w:eastAsia="仿宋_GB2312" w:cs="仿宋_GB2312"/>
          <w:sz w:val="32"/>
          <w:szCs w:val="32"/>
        </w:rPr>
        <w:t>0</w:t>
      </w:r>
      <w:r>
        <w:rPr>
          <w:rFonts w:hint="eastAsia" w:eastAsia="仿宋_GB2312" w:cs="仿宋_GB2312"/>
          <w:sz w:val="32"/>
          <w:szCs w:val="32"/>
        </w:rPr>
        <w:t>台（套）。</w:t>
      </w:r>
    </w:p>
    <w:p w14:paraId="20C32EC5">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7AE60B36">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攀枝花市土地储备中心</w:t>
      </w:r>
      <w:r>
        <w:rPr>
          <w:rFonts w:hint="eastAsia" w:eastAsia="仿宋_GB2312" w:cs="仿宋_GB2312"/>
          <w:sz w:val="32"/>
          <w:szCs w:val="32"/>
        </w:rPr>
        <w:t>在2025年度，组织对储备土地管护（含空置房管护）经费等11个项目涉及金额40315.83万元开展了事前绩效评估，对11个项目编制了绩效目标，在预算执行过程中，选取11个项目开展绩效监控。</w:t>
      </w:r>
    </w:p>
    <w:p w14:paraId="66491A0A">
      <w:pPr>
        <w:spacing w:line="600" w:lineRule="exact"/>
        <w:ind w:firstLine="640"/>
        <w:rPr>
          <w:rFonts w:eastAsia="仿宋_GB2312" w:cs="仿宋_GB2312"/>
          <w:sz w:val="32"/>
          <w:szCs w:val="32"/>
        </w:rPr>
      </w:pPr>
      <w:r>
        <w:rPr>
          <w:rFonts w:hint="eastAsia" w:eastAsia="仿宋_GB2312" w:cs="仿宋_GB2312"/>
          <w:sz w:val="32"/>
          <w:szCs w:val="32"/>
        </w:rPr>
        <w:t>组织对2025年度解决凤凰小区乡情苑11号安置住宅楼遗留问题所需资金开展绩效自评，形成凤凰小区乡情苑11号安置住宅楼遗留问题所需资金专项预算项目绩效自评报告，详见附件。</w:t>
      </w:r>
    </w:p>
    <w:p w14:paraId="1D78E28D">
      <w:pPr>
        <w:spacing w:line="600" w:lineRule="exact"/>
        <w:ind w:firstLine="640"/>
        <w:rPr>
          <w:rFonts w:eastAsia="仿宋_GB2312" w:cs="仿宋_GB2312"/>
          <w:sz w:val="32"/>
          <w:szCs w:val="32"/>
        </w:rPr>
      </w:pPr>
    </w:p>
    <w:p w14:paraId="41980ACC">
      <w:pPr>
        <w:spacing w:line="600" w:lineRule="exact"/>
        <w:jc w:val="center"/>
        <w:outlineLvl w:val="0"/>
        <w:rPr>
          <w:rFonts w:eastAsia="黑体"/>
          <w:sz w:val="44"/>
          <w:szCs w:val="44"/>
        </w:rPr>
      </w:pPr>
      <w:bookmarkStart w:id="61" w:name="_Toc9893"/>
      <w:bookmarkStart w:id="62" w:name="_Toc15396613"/>
      <w:bookmarkStart w:id="63" w:name="_Toc15377225"/>
      <w:r>
        <w:rPr>
          <w:rFonts w:hint="eastAsia" w:eastAsia="黑体"/>
          <w:sz w:val="44"/>
          <w:szCs w:val="44"/>
        </w:rPr>
        <w:t>第三部分  名词解释</w:t>
      </w:r>
      <w:bookmarkEnd w:id="61"/>
      <w:bookmarkEnd w:id="62"/>
      <w:bookmarkEnd w:id="63"/>
    </w:p>
    <w:p w14:paraId="00E30A35">
      <w:pPr>
        <w:spacing w:line="600" w:lineRule="exact"/>
        <w:jc w:val="left"/>
        <w:rPr>
          <w:b/>
          <w:sz w:val="44"/>
          <w:szCs w:val="44"/>
        </w:rPr>
      </w:pPr>
    </w:p>
    <w:p w14:paraId="210B3B6B">
      <w:pPr>
        <w:spacing w:line="600" w:lineRule="exact"/>
        <w:ind w:firstLine="640"/>
        <w:rPr>
          <w:rFonts w:eastAsia="仿宋_GB2312"/>
          <w:sz w:val="32"/>
          <w:szCs w:val="32"/>
        </w:rPr>
      </w:pPr>
      <w:bookmarkStart w:id="64" w:name="_Toc15377226"/>
      <w:r>
        <w:rPr>
          <w:rFonts w:eastAsia="仿宋_GB2312"/>
          <w:sz w:val="32"/>
          <w:szCs w:val="32"/>
        </w:rPr>
        <w:t>1.财政拨款收入：指单位从同级财政部门取得的财政预算资金。</w:t>
      </w:r>
    </w:p>
    <w:p w14:paraId="46F33922">
      <w:pPr>
        <w:spacing w:line="600" w:lineRule="exact"/>
        <w:ind w:firstLine="640"/>
        <w:rPr>
          <w:rFonts w:eastAsia="仿宋_GB2312"/>
          <w:sz w:val="32"/>
          <w:szCs w:val="32"/>
        </w:rPr>
      </w:pPr>
      <w:r>
        <w:rPr>
          <w:rFonts w:eastAsia="仿宋_GB2312"/>
          <w:sz w:val="32"/>
          <w:szCs w:val="32"/>
        </w:rPr>
        <w:t>2.事业收入：指事业单位开展专业业务活动及辅助活动取得的收入。</w:t>
      </w:r>
    </w:p>
    <w:p w14:paraId="7BE3BAB5">
      <w:pPr>
        <w:spacing w:line="600" w:lineRule="exact"/>
        <w:ind w:firstLine="640"/>
        <w:rPr>
          <w:rFonts w:eastAsia="仿宋_GB2312"/>
          <w:sz w:val="32"/>
          <w:szCs w:val="32"/>
        </w:rPr>
      </w:pPr>
      <w:r>
        <w:rPr>
          <w:rFonts w:eastAsia="仿宋_GB2312"/>
          <w:sz w:val="32"/>
          <w:szCs w:val="32"/>
        </w:rPr>
        <w:t>3.经营收入：指事业单位在专业业务活动及其辅助活动之外开展非独立核算经营活动取得的收入。</w:t>
      </w:r>
    </w:p>
    <w:p w14:paraId="6A7EA2BE">
      <w:pPr>
        <w:spacing w:line="600" w:lineRule="exact"/>
        <w:ind w:firstLine="640"/>
        <w:rPr>
          <w:rFonts w:eastAsia="仿宋_GB2312"/>
          <w:sz w:val="32"/>
          <w:szCs w:val="32"/>
        </w:rPr>
      </w:pPr>
      <w:r>
        <w:rPr>
          <w:rFonts w:eastAsia="仿宋_GB2312"/>
          <w:sz w:val="32"/>
          <w:szCs w:val="32"/>
        </w:rPr>
        <w:t xml:space="preserve">4.其他收入：指单位取得的除上述收入以外的各项收入。 </w:t>
      </w:r>
    </w:p>
    <w:p w14:paraId="17364FEF">
      <w:pPr>
        <w:spacing w:line="600" w:lineRule="exact"/>
        <w:ind w:firstLine="640"/>
        <w:rPr>
          <w:rFonts w:eastAsia="仿宋_GB2312"/>
          <w:sz w:val="32"/>
          <w:szCs w:val="32"/>
        </w:rPr>
      </w:pPr>
      <w:r>
        <w:rPr>
          <w:rFonts w:eastAsia="仿宋_GB2312"/>
          <w:sz w:val="32"/>
          <w:szCs w:val="32"/>
        </w:rPr>
        <w:t xml:space="preserve">5.使用非财政拨款结余：指事业单位使用以前年度积累的非财政拨款结余弥补当年收支差额的金额。 </w:t>
      </w:r>
    </w:p>
    <w:p w14:paraId="19A52F6F">
      <w:pPr>
        <w:spacing w:line="600" w:lineRule="exact"/>
        <w:ind w:firstLine="640"/>
        <w:rPr>
          <w:rFonts w:eastAsia="仿宋_GB2312"/>
          <w:sz w:val="32"/>
          <w:szCs w:val="32"/>
        </w:rPr>
      </w:pPr>
      <w:r>
        <w:rPr>
          <w:rFonts w:eastAsia="仿宋_GB2312"/>
          <w:sz w:val="32"/>
          <w:szCs w:val="32"/>
        </w:rPr>
        <w:t xml:space="preserve">6.年初结转和结余：指以前年度尚未完成、结转到本年按有关规定继续使用的资金。 </w:t>
      </w:r>
    </w:p>
    <w:p w14:paraId="71198439">
      <w:pPr>
        <w:spacing w:line="600" w:lineRule="exact"/>
        <w:ind w:firstLine="640"/>
        <w:rPr>
          <w:rFonts w:eastAsia="仿宋_GB2312"/>
          <w:sz w:val="32"/>
          <w:szCs w:val="32"/>
        </w:rPr>
      </w:pPr>
      <w:r>
        <w:rPr>
          <w:rFonts w:eastAsia="仿宋_GB2312"/>
          <w:sz w:val="32"/>
          <w:szCs w:val="32"/>
        </w:rPr>
        <w:t>7.结余分配：指事业单位按照会计制度规定缴纳的所得税、提取的专用结余以及转入非财政拨款结余的金额等。</w:t>
      </w:r>
    </w:p>
    <w:p w14:paraId="7AF262CF">
      <w:pPr>
        <w:spacing w:line="600" w:lineRule="exact"/>
        <w:ind w:firstLine="640"/>
        <w:rPr>
          <w:rFonts w:eastAsia="仿宋_GB2312"/>
          <w:sz w:val="32"/>
          <w:szCs w:val="32"/>
        </w:rPr>
      </w:pPr>
      <w:r>
        <w:rPr>
          <w:rFonts w:eastAsia="仿宋_GB2312"/>
          <w:sz w:val="32"/>
          <w:szCs w:val="32"/>
        </w:rPr>
        <w:t>8.年末结转和结余：指单位按有关规定结转到下年或以后年度继续使用的资金。</w:t>
      </w:r>
    </w:p>
    <w:p w14:paraId="3FC592D0">
      <w:pPr>
        <w:spacing w:line="600" w:lineRule="exact"/>
        <w:ind w:firstLine="640"/>
        <w:rPr>
          <w:rFonts w:eastAsia="仿宋_GB2312"/>
          <w:sz w:val="32"/>
          <w:szCs w:val="32"/>
        </w:rPr>
      </w:pPr>
      <w:r>
        <w:rPr>
          <w:rFonts w:eastAsia="仿宋_GB2312"/>
          <w:sz w:val="32"/>
          <w:szCs w:val="32"/>
        </w:rPr>
        <w:t>9.社会保障和就业（类）行政事业单位养老支出（款）机关事业单位基本养老保险缴费支出（项）：指机关事业单位实施养老保险制度由单位缴纳的基本养老保险费支出。</w:t>
      </w:r>
    </w:p>
    <w:p w14:paraId="199E19E5">
      <w:pPr>
        <w:spacing w:line="600" w:lineRule="exact"/>
        <w:ind w:firstLine="640"/>
        <w:rPr>
          <w:rFonts w:eastAsia="仿宋_GB2312"/>
          <w:sz w:val="32"/>
          <w:szCs w:val="32"/>
        </w:rPr>
      </w:pPr>
      <w:r>
        <w:rPr>
          <w:rFonts w:eastAsia="仿宋_GB2312"/>
          <w:sz w:val="32"/>
          <w:szCs w:val="32"/>
        </w:rPr>
        <w:t>10.社会保障和就业（类）行政事业单位养老支出（款）事业单位离退休支出（项）：指事业单位开支的离退休经费。</w:t>
      </w:r>
    </w:p>
    <w:p w14:paraId="615421FC">
      <w:pPr>
        <w:spacing w:line="600" w:lineRule="exact"/>
        <w:ind w:firstLine="640"/>
        <w:rPr>
          <w:rFonts w:eastAsia="仿宋_GB2312"/>
          <w:sz w:val="32"/>
          <w:szCs w:val="32"/>
        </w:rPr>
      </w:pPr>
      <w:r>
        <w:rPr>
          <w:rFonts w:eastAsia="仿宋_GB2312"/>
          <w:sz w:val="32"/>
          <w:szCs w:val="32"/>
        </w:rPr>
        <w:t>11.社会保障和就业（类）人力资源和社会保障管理事务（款）</w:t>
      </w:r>
      <w:r>
        <w:rPr>
          <w:rFonts w:hint="eastAsia" w:eastAsia="仿宋_GB2312"/>
          <w:sz w:val="32"/>
          <w:szCs w:val="32"/>
        </w:rPr>
        <w:t>机关事业单位职业年金缴费支出</w:t>
      </w:r>
      <w:r>
        <w:rPr>
          <w:rFonts w:eastAsia="仿宋_GB2312"/>
          <w:sz w:val="32"/>
          <w:szCs w:val="32"/>
        </w:rPr>
        <w:t>（项）：指</w:t>
      </w:r>
      <w:r>
        <w:rPr>
          <w:rFonts w:hint="eastAsia" w:eastAsia="仿宋_GB2312"/>
          <w:sz w:val="32"/>
          <w:szCs w:val="32"/>
        </w:rPr>
        <w:t>机关事业单位实施养老保险制度由单位实际缴纳的职业年金支出（含职业年金补记支出）</w:t>
      </w:r>
      <w:r>
        <w:rPr>
          <w:rFonts w:eastAsia="仿宋_GB2312"/>
          <w:sz w:val="32"/>
          <w:szCs w:val="32"/>
        </w:rPr>
        <w:t>。</w:t>
      </w:r>
    </w:p>
    <w:p w14:paraId="73A8986F">
      <w:pPr>
        <w:spacing w:line="600" w:lineRule="exact"/>
        <w:ind w:firstLine="640"/>
        <w:rPr>
          <w:rFonts w:eastAsia="仿宋_GB2312"/>
          <w:sz w:val="32"/>
          <w:szCs w:val="32"/>
        </w:rPr>
      </w:pPr>
      <w:r>
        <w:rPr>
          <w:rFonts w:eastAsia="仿宋_GB2312"/>
          <w:sz w:val="32"/>
          <w:szCs w:val="32"/>
        </w:rPr>
        <w:t>12.卫生健康支出（类）行政事业单位医疗（款）事业单位医疗（项）：指事业单位基本医疗保险缴费经费，未参加医疗保险的事业单位的公费医疗经费，按国家规定享受离休人员待遇的医疗经费。</w:t>
      </w:r>
    </w:p>
    <w:p w14:paraId="25ECDD00">
      <w:pPr>
        <w:spacing w:line="600" w:lineRule="exact"/>
        <w:ind w:firstLine="640"/>
        <w:rPr>
          <w:rFonts w:eastAsia="仿宋_GB2312"/>
          <w:sz w:val="32"/>
          <w:szCs w:val="32"/>
        </w:rPr>
      </w:pPr>
      <w:r>
        <w:rPr>
          <w:rFonts w:eastAsia="仿宋_GB2312"/>
          <w:sz w:val="32"/>
          <w:szCs w:val="32"/>
        </w:rPr>
        <w:t>1</w:t>
      </w:r>
      <w:r>
        <w:rPr>
          <w:rFonts w:hint="eastAsia" w:eastAsia="仿宋_GB2312"/>
          <w:sz w:val="32"/>
          <w:szCs w:val="32"/>
        </w:rPr>
        <w:t>3</w:t>
      </w:r>
      <w:r>
        <w:rPr>
          <w:rFonts w:eastAsia="仿宋_GB2312"/>
          <w:sz w:val="32"/>
          <w:szCs w:val="32"/>
        </w:rPr>
        <w:t>.卫生健康支出（类）行政事业单位医疗（款）公务员医疗补助（项）：指财政部门安排的公务员医疗补助经费。</w:t>
      </w:r>
    </w:p>
    <w:p w14:paraId="0AE71A73">
      <w:pPr>
        <w:spacing w:line="600" w:lineRule="exact"/>
        <w:ind w:firstLine="640"/>
        <w:rPr>
          <w:rFonts w:eastAsia="仿宋_GB2312"/>
          <w:sz w:val="32"/>
          <w:szCs w:val="32"/>
        </w:rPr>
      </w:pPr>
      <w:r>
        <w:rPr>
          <w:rFonts w:eastAsia="仿宋_GB2312"/>
          <w:sz w:val="32"/>
          <w:szCs w:val="32"/>
        </w:rPr>
        <w:t>1</w:t>
      </w:r>
      <w:r>
        <w:rPr>
          <w:rFonts w:hint="eastAsia" w:eastAsia="仿宋_GB2312"/>
          <w:sz w:val="32"/>
          <w:szCs w:val="32"/>
        </w:rPr>
        <w:t>4</w:t>
      </w:r>
      <w:r>
        <w:rPr>
          <w:rFonts w:eastAsia="仿宋_GB2312"/>
          <w:sz w:val="32"/>
          <w:szCs w:val="32"/>
        </w:rPr>
        <w:t>.卫生健康支出（类）行政事业单位医疗（款）其他行政事业单位医疗支出（项）：指其他用于行政事业单位医疗方面的支出。</w:t>
      </w:r>
    </w:p>
    <w:p w14:paraId="5EEE7243">
      <w:pPr>
        <w:spacing w:line="600" w:lineRule="exact"/>
        <w:ind w:firstLine="640"/>
        <w:rPr>
          <w:rFonts w:eastAsia="仿宋_GB2312"/>
          <w:sz w:val="32"/>
          <w:szCs w:val="32"/>
        </w:rPr>
      </w:pPr>
      <w:r>
        <w:rPr>
          <w:rFonts w:hint="eastAsia" w:eastAsia="仿宋_GB2312"/>
          <w:sz w:val="32"/>
          <w:szCs w:val="32"/>
        </w:rPr>
        <w:t>15.农林水支出（类）农业农村（款）农业生态资源保护（项）：指用于草原草场利用，渔业水域资源保护，农业品种改良提升，以及农业生物资源调研收集、鉴定评价、保存利用等方面的支出。</w:t>
      </w:r>
    </w:p>
    <w:p w14:paraId="7CA24EED">
      <w:pPr>
        <w:spacing w:line="600" w:lineRule="exact"/>
        <w:ind w:firstLine="640"/>
        <w:rPr>
          <w:rFonts w:eastAsia="仿宋_GB2312"/>
          <w:sz w:val="32"/>
          <w:szCs w:val="32"/>
        </w:rPr>
      </w:pPr>
      <w:r>
        <w:rPr>
          <w:rFonts w:eastAsia="仿宋_GB2312"/>
          <w:sz w:val="32"/>
          <w:szCs w:val="32"/>
        </w:rPr>
        <w:t>16.自然资源海洋气象等支出（类）自然资源事务（款）</w:t>
      </w:r>
      <w:r>
        <w:rPr>
          <w:rFonts w:hint="eastAsia" w:eastAsia="仿宋_GB2312"/>
          <w:sz w:val="32"/>
          <w:szCs w:val="32"/>
        </w:rPr>
        <w:t>土地资源储备支出</w:t>
      </w:r>
      <w:r>
        <w:rPr>
          <w:rFonts w:eastAsia="仿宋_GB2312"/>
          <w:sz w:val="32"/>
          <w:szCs w:val="32"/>
        </w:rPr>
        <w:t>（项）：</w:t>
      </w:r>
      <w:r>
        <w:rPr>
          <w:rFonts w:hint="eastAsia" w:eastAsia="仿宋_GB2312"/>
          <w:sz w:val="32"/>
          <w:szCs w:val="32"/>
        </w:rPr>
        <w:t>指土地资源储备方面的支出。</w:t>
      </w:r>
    </w:p>
    <w:p w14:paraId="79BACB16">
      <w:pPr>
        <w:spacing w:line="600" w:lineRule="exact"/>
        <w:ind w:firstLine="640"/>
        <w:rPr>
          <w:rFonts w:eastAsia="仿宋_GB2312"/>
          <w:sz w:val="32"/>
          <w:szCs w:val="32"/>
        </w:rPr>
      </w:pPr>
      <w:r>
        <w:rPr>
          <w:rFonts w:eastAsia="仿宋_GB2312"/>
          <w:sz w:val="32"/>
          <w:szCs w:val="32"/>
        </w:rPr>
        <w:t>17.自然资源海洋气象等支出（类）自然资源事务（款）事业运行（项）：其他用于城乡社区方面的支出。</w:t>
      </w:r>
    </w:p>
    <w:p w14:paraId="0E0E07E7">
      <w:pPr>
        <w:spacing w:line="600" w:lineRule="exact"/>
        <w:ind w:firstLine="640"/>
        <w:rPr>
          <w:rFonts w:eastAsia="仿宋_GB2312"/>
          <w:sz w:val="32"/>
          <w:szCs w:val="32"/>
        </w:rPr>
      </w:pPr>
      <w:r>
        <w:rPr>
          <w:rFonts w:eastAsia="仿宋_GB2312"/>
          <w:sz w:val="32"/>
          <w:szCs w:val="32"/>
        </w:rPr>
        <w:t>18.自然资源海洋气象等支出（类）自然资源事务（款）事业运行（项）：指事业单位的基本支出，不包括行政单位（包括实行公务员管理的事业单位）后勤服务中心、医务室等附属事业单位。</w:t>
      </w:r>
    </w:p>
    <w:p w14:paraId="4B51D49A">
      <w:pPr>
        <w:spacing w:line="600" w:lineRule="exact"/>
        <w:ind w:firstLine="640"/>
        <w:rPr>
          <w:rFonts w:eastAsia="仿宋_GB2312"/>
          <w:sz w:val="32"/>
          <w:szCs w:val="32"/>
        </w:rPr>
      </w:pPr>
      <w:r>
        <w:rPr>
          <w:rFonts w:eastAsia="仿宋_GB2312"/>
          <w:sz w:val="32"/>
          <w:szCs w:val="32"/>
        </w:rPr>
        <w:t>19.自然资源海洋气象等支出（类）自然资源事务（款）其他自然资源事务支出（项）：其他用于自然资源事务方面的支出。</w:t>
      </w:r>
    </w:p>
    <w:p w14:paraId="1D55EDD1">
      <w:pPr>
        <w:spacing w:line="600" w:lineRule="exact"/>
        <w:ind w:firstLine="640"/>
        <w:rPr>
          <w:rFonts w:eastAsia="仿宋_GB2312"/>
          <w:sz w:val="32"/>
          <w:szCs w:val="32"/>
        </w:rPr>
      </w:pPr>
      <w:r>
        <w:rPr>
          <w:rFonts w:eastAsia="仿宋_GB2312"/>
          <w:sz w:val="32"/>
          <w:szCs w:val="32"/>
        </w:rPr>
        <w:t>20.住房保障支出（类）住房改革支出（款）住房公积金（项）：指行政事业单位按人力资源和社会保障部、财政部规定的基本工资和津贴补贴以及规定比例为职工缴纳的住房公积金。</w:t>
      </w:r>
    </w:p>
    <w:p w14:paraId="0491248D">
      <w:pPr>
        <w:spacing w:line="600" w:lineRule="exact"/>
        <w:ind w:firstLine="640"/>
        <w:rPr>
          <w:rFonts w:eastAsia="仿宋_GB2312"/>
          <w:sz w:val="32"/>
          <w:szCs w:val="32"/>
        </w:rPr>
      </w:pPr>
      <w:r>
        <w:rPr>
          <w:rFonts w:eastAsia="仿宋_GB2312"/>
          <w:sz w:val="32"/>
          <w:szCs w:val="32"/>
        </w:rPr>
        <w:t>21.基本支出：指为保障机构正常运转、完成日常工作任务而发生的人员支出和公用支出。</w:t>
      </w:r>
    </w:p>
    <w:p w14:paraId="4F33DC7C">
      <w:pPr>
        <w:spacing w:line="600" w:lineRule="exact"/>
        <w:ind w:firstLine="640"/>
        <w:rPr>
          <w:rFonts w:eastAsia="仿宋_GB2312"/>
          <w:sz w:val="32"/>
          <w:szCs w:val="32"/>
        </w:rPr>
      </w:pPr>
      <w:r>
        <w:rPr>
          <w:rFonts w:eastAsia="仿宋_GB2312"/>
          <w:sz w:val="32"/>
          <w:szCs w:val="32"/>
        </w:rPr>
        <w:t xml:space="preserve">22.项目支出：指在基本支出之外为完成特定行政任务和事业发展目标所发生的支出。 </w:t>
      </w:r>
    </w:p>
    <w:p w14:paraId="139E61C8">
      <w:pPr>
        <w:spacing w:line="600" w:lineRule="exact"/>
        <w:ind w:firstLine="640"/>
        <w:rPr>
          <w:rFonts w:eastAsia="仿宋_GB2312"/>
          <w:sz w:val="32"/>
          <w:szCs w:val="32"/>
        </w:rPr>
      </w:pPr>
      <w:r>
        <w:rPr>
          <w:rFonts w:eastAsia="仿宋_GB2312"/>
          <w:sz w:val="32"/>
          <w:szCs w:val="32"/>
        </w:rPr>
        <w:t>23.经营支出：指事业单位在专业业务活动及其辅助活动之外开展非独立核算经营活动发生的支出。</w:t>
      </w:r>
    </w:p>
    <w:p w14:paraId="3E19FC3D">
      <w:pPr>
        <w:spacing w:line="600" w:lineRule="exact"/>
        <w:ind w:firstLine="640"/>
        <w:rPr>
          <w:rFonts w:eastAsia="仿宋_GB2312"/>
          <w:sz w:val="32"/>
          <w:szCs w:val="32"/>
        </w:rPr>
      </w:pPr>
      <w:r>
        <w:rPr>
          <w:rFonts w:eastAsia="仿宋_GB2312"/>
          <w:sz w:val="32"/>
          <w:szCs w:val="32"/>
        </w:rPr>
        <w:t>24.“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5EE8E0D">
      <w:pPr>
        <w:spacing w:line="600" w:lineRule="exact"/>
        <w:ind w:firstLine="640"/>
        <w:jc w:val="center"/>
        <w:rPr>
          <w:rStyle w:val="28"/>
          <w:rFonts w:eastAsia="黑体"/>
          <w:b w:val="0"/>
        </w:rPr>
      </w:pPr>
      <w:r>
        <w:rPr>
          <w:rFonts w:eastAsia="仿宋_GB2312"/>
          <w:sz w:val="32"/>
          <w:szCs w:val="32"/>
        </w:rPr>
        <w:t>25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cs="仿宋_GB2312"/>
          <w:sz w:val="32"/>
          <w:szCs w:val="32"/>
        </w:rPr>
        <w:br w:type="page"/>
      </w:r>
      <w:bookmarkStart w:id="65" w:name="_Toc15396614"/>
      <w:r>
        <w:rPr>
          <w:rFonts w:hint="eastAsia" w:eastAsia="黑体"/>
          <w:sz w:val="44"/>
          <w:szCs w:val="44"/>
        </w:rPr>
        <w:t>第四部分  附件</w:t>
      </w:r>
      <w:bookmarkEnd w:id="65"/>
    </w:p>
    <w:p w14:paraId="2BCC2CB1">
      <w:pPr>
        <w:pStyle w:val="14"/>
      </w:pPr>
    </w:p>
    <w:p w14:paraId="52DB3CF8">
      <w:pPr>
        <w:spacing w:line="600" w:lineRule="exact"/>
        <w:ind w:firstLine="640"/>
        <w:rPr>
          <w:rFonts w:eastAsia="仿宋_GB2312"/>
          <w:sz w:val="32"/>
          <w:szCs w:val="32"/>
        </w:rPr>
      </w:pPr>
      <w:r>
        <w:rPr>
          <w:rFonts w:hint="eastAsia" w:eastAsia="仿宋_GB2312"/>
          <w:sz w:val="32"/>
          <w:szCs w:val="32"/>
        </w:rPr>
        <w:t>单位</w:t>
      </w:r>
      <w:r>
        <w:rPr>
          <w:rFonts w:eastAsia="仿宋_GB2312"/>
          <w:sz w:val="32"/>
          <w:szCs w:val="32"/>
        </w:rPr>
        <w:t>预算项目支出绩效自评表（202</w:t>
      </w:r>
      <w:r>
        <w:rPr>
          <w:rFonts w:hint="eastAsia" w:eastAsia="仿宋_GB2312"/>
          <w:sz w:val="32"/>
          <w:szCs w:val="32"/>
        </w:rPr>
        <w:t>5</w:t>
      </w:r>
      <w:r>
        <w:rPr>
          <w:rFonts w:eastAsia="仿宋_GB2312"/>
          <w:sz w:val="32"/>
          <w:szCs w:val="32"/>
        </w:rPr>
        <w:t>年度）见附件</w:t>
      </w:r>
      <w:r>
        <w:rPr>
          <w:rFonts w:hint="eastAsia" w:eastAsia="仿宋_GB2312"/>
          <w:sz w:val="32"/>
          <w:szCs w:val="32"/>
        </w:rPr>
        <w:t>3</w:t>
      </w:r>
    </w:p>
    <w:p w14:paraId="3FBED88D">
      <w:pPr>
        <w:pStyle w:val="6"/>
        <w:spacing w:before="93"/>
        <w:rPr>
          <w:rFonts w:ascii="Times New Roman" w:eastAsia="黑体" w:cs="黑体"/>
          <w:sz w:val="32"/>
          <w:szCs w:val="32"/>
          <w:shd w:val="clear" w:color="auto" w:fill="FFFFFF"/>
          <w:lang w:val="zh-CN"/>
        </w:rPr>
      </w:pPr>
    </w:p>
    <w:p w14:paraId="178666A0">
      <w:pPr>
        <w:rPr>
          <w:rFonts w:eastAsia="黑体"/>
          <w:sz w:val="44"/>
          <w:szCs w:val="44"/>
        </w:rPr>
      </w:pPr>
      <w:bookmarkStart w:id="66" w:name="_Toc15396618"/>
      <w:r>
        <w:rPr>
          <w:rFonts w:hint="eastAsia" w:eastAsia="黑体"/>
          <w:sz w:val="44"/>
          <w:szCs w:val="44"/>
        </w:rPr>
        <w:br w:type="page"/>
      </w:r>
    </w:p>
    <w:p w14:paraId="1A1BD3F4">
      <w:pPr>
        <w:widowControl/>
        <w:jc w:val="center"/>
        <w:rPr>
          <w:rFonts w:eastAsia="仿宋"/>
        </w:rPr>
      </w:pPr>
      <w:r>
        <w:rPr>
          <w:rFonts w:hint="eastAsia" w:eastAsia="黑体"/>
          <w:sz w:val="44"/>
          <w:szCs w:val="44"/>
        </w:rPr>
        <w:t>第</w:t>
      </w:r>
      <w:r>
        <w:rPr>
          <w:rStyle w:val="28"/>
          <w:rFonts w:hint="eastAsia" w:eastAsia="黑体"/>
          <w:b w:val="0"/>
        </w:rPr>
        <w:t>五部分 附表</w:t>
      </w:r>
      <w:bookmarkEnd w:id="64"/>
      <w:bookmarkEnd w:id="66"/>
      <w:bookmarkStart w:id="67" w:name="_Toc15396619"/>
    </w:p>
    <w:p w14:paraId="389F0A96">
      <w:pPr>
        <w:pStyle w:val="15"/>
        <w:adjustRightInd w:val="0"/>
        <w:snapToGrid w:val="0"/>
        <w:spacing w:line="560" w:lineRule="exact"/>
        <w:jc w:val="left"/>
        <w:rPr>
          <w:rFonts w:eastAsia="仿宋_GB2312" w:cs="仿宋_GB2312"/>
          <w:sz w:val="32"/>
          <w:szCs w:val="32"/>
        </w:rPr>
      </w:pPr>
    </w:p>
    <w:p w14:paraId="4865F941">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67"/>
    </w:p>
    <w:p w14:paraId="0B180783">
      <w:pPr>
        <w:pStyle w:val="15"/>
        <w:adjustRightInd w:val="0"/>
        <w:snapToGrid w:val="0"/>
        <w:spacing w:line="560" w:lineRule="exact"/>
        <w:jc w:val="left"/>
        <w:rPr>
          <w:rFonts w:eastAsia="仿宋_GB2312" w:cs="仿宋_GB2312"/>
          <w:sz w:val="32"/>
          <w:szCs w:val="32"/>
        </w:rPr>
      </w:pPr>
      <w:bookmarkStart w:id="68" w:name="_Toc15396620"/>
      <w:r>
        <w:rPr>
          <w:rFonts w:hint="eastAsia" w:eastAsia="仿宋_GB2312" w:cs="仿宋_GB2312"/>
          <w:sz w:val="32"/>
          <w:szCs w:val="32"/>
        </w:rPr>
        <w:t>二、收入决算表</w:t>
      </w:r>
      <w:bookmarkEnd w:id="68"/>
    </w:p>
    <w:p w14:paraId="33E4D859">
      <w:pPr>
        <w:pStyle w:val="15"/>
        <w:adjustRightInd w:val="0"/>
        <w:snapToGrid w:val="0"/>
        <w:spacing w:line="560" w:lineRule="exact"/>
        <w:jc w:val="left"/>
        <w:rPr>
          <w:rFonts w:eastAsia="仿宋_GB2312" w:cs="仿宋_GB2312"/>
          <w:sz w:val="32"/>
          <w:szCs w:val="32"/>
        </w:rPr>
      </w:pPr>
      <w:bookmarkStart w:id="69" w:name="_Toc15396621"/>
      <w:r>
        <w:rPr>
          <w:rFonts w:hint="eastAsia" w:eastAsia="仿宋_GB2312" w:cs="仿宋_GB2312"/>
          <w:sz w:val="32"/>
          <w:szCs w:val="32"/>
        </w:rPr>
        <w:t>三、支出决算表</w:t>
      </w:r>
      <w:bookmarkEnd w:id="69"/>
    </w:p>
    <w:p w14:paraId="6D4CAB2A">
      <w:pPr>
        <w:pStyle w:val="15"/>
        <w:adjustRightInd w:val="0"/>
        <w:snapToGrid w:val="0"/>
        <w:spacing w:line="560" w:lineRule="exact"/>
        <w:jc w:val="left"/>
        <w:rPr>
          <w:rFonts w:eastAsia="仿宋_GB2312" w:cs="仿宋_GB2312"/>
          <w:sz w:val="32"/>
          <w:szCs w:val="32"/>
        </w:rPr>
      </w:pPr>
      <w:bookmarkStart w:id="70" w:name="_Toc15396622"/>
      <w:r>
        <w:rPr>
          <w:rFonts w:hint="eastAsia" w:eastAsia="仿宋_GB2312" w:cs="仿宋_GB2312"/>
          <w:sz w:val="32"/>
          <w:szCs w:val="32"/>
        </w:rPr>
        <w:t>四、财政拨款收入支出决算总表</w:t>
      </w:r>
      <w:bookmarkEnd w:id="70"/>
    </w:p>
    <w:p w14:paraId="314F6C7C">
      <w:pPr>
        <w:pStyle w:val="15"/>
        <w:adjustRightInd w:val="0"/>
        <w:snapToGrid w:val="0"/>
        <w:spacing w:line="560" w:lineRule="exact"/>
        <w:jc w:val="left"/>
        <w:rPr>
          <w:rFonts w:eastAsia="仿宋_GB2312" w:cs="仿宋_GB2312"/>
          <w:sz w:val="32"/>
          <w:szCs w:val="32"/>
        </w:rPr>
      </w:pPr>
      <w:bookmarkStart w:id="71" w:name="_Toc15396623"/>
      <w:r>
        <w:rPr>
          <w:rFonts w:hint="eastAsia" w:eastAsia="仿宋_GB2312" w:cs="仿宋_GB2312"/>
          <w:sz w:val="32"/>
          <w:szCs w:val="32"/>
        </w:rPr>
        <w:t>五、财政拨款支出决算明细表</w:t>
      </w:r>
      <w:bookmarkEnd w:id="71"/>
      <w:bookmarkStart w:id="72" w:name="_Toc15396624"/>
    </w:p>
    <w:p w14:paraId="4F019F32">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72"/>
    </w:p>
    <w:p w14:paraId="0C452C51">
      <w:pPr>
        <w:pStyle w:val="15"/>
        <w:adjustRightInd w:val="0"/>
        <w:snapToGrid w:val="0"/>
        <w:spacing w:line="560" w:lineRule="exact"/>
        <w:jc w:val="left"/>
        <w:rPr>
          <w:rFonts w:eastAsia="仿宋_GB2312" w:cs="仿宋_GB2312"/>
          <w:sz w:val="32"/>
          <w:szCs w:val="32"/>
        </w:rPr>
      </w:pPr>
      <w:bookmarkStart w:id="73" w:name="_Toc15396625"/>
      <w:r>
        <w:rPr>
          <w:rFonts w:hint="eastAsia" w:eastAsia="仿宋_GB2312" w:cs="仿宋_GB2312"/>
          <w:sz w:val="32"/>
          <w:szCs w:val="32"/>
        </w:rPr>
        <w:t>七、一般公共预算财政拨款支出决算明细表</w:t>
      </w:r>
      <w:bookmarkEnd w:id="73"/>
    </w:p>
    <w:p w14:paraId="54C1C929">
      <w:pPr>
        <w:pStyle w:val="15"/>
        <w:adjustRightInd w:val="0"/>
        <w:snapToGrid w:val="0"/>
        <w:spacing w:line="560" w:lineRule="exact"/>
        <w:jc w:val="left"/>
        <w:rPr>
          <w:rFonts w:eastAsia="仿宋_GB2312" w:cs="仿宋_GB2312"/>
          <w:sz w:val="32"/>
          <w:szCs w:val="32"/>
        </w:rPr>
      </w:pPr>
      <w:bookmarkStart w:id="74" w:name="_Toc15396626"/>
      <w:r>
        <w:rPr>
          <w:rFonts w:hint="eastAsia" w:eastAsia="仿宋_GB2312" w:cs="仿宋_GB2312"/>
          <w:sz w:val="32"/>
          <w:szCs w:val="32"/>
        </w:rPr>
        <w:t>八、一般公共预算财政拨款基本支出决算表</w:t>
      </w:r>
      <w:bookmarkEnd w:id="74"/>
    </w:p>
    <w:p w14:paraId="294F0A67">
      <w:pPr>
        <w:pStyle w:val="15"/>
        <w:adjustRightInd w:val="0"/>
        <w:snapToGrid w:val="0"/>
        <w:spacing w:line="560" w:lineRule="exact"/>
        <w:jc w:val="left"/>
        <w:rPr>
          <w:rFonts w:eastAsia="仿宋_GB2312" w:cs="仿宋_GB2312"/>
          <w:sz w:val="32"/>
          <w:szCs w:val="32"/>
        </w:rPr>
      </w:pPr>
      <w:bookmarkStart w:id="75" w:name="_Toc15396627"/>
      <w:r>
        <w:rPr>
          <w:rFonts w:hint="eastAsia" w:eastAsia="仿宋_GB2312" w:cs="仿宋_GB2312"/>
          <w:sz w:val="32"/>
          <w:szCs w:val="32"/>
        </w:rPr>
        <w:t>九、一般公共预算财政拨款项目支出决算表</w:t>
      </w:r>
      <w:bookmarkEnd w:id="75"/>
    </w:p>
    <w:p w14:paraId="584EE975">
      <w:pPr>
        <w:pStyle w:val="15"/>
        <w:adjustRightInd w:val="0"/>
        <w:snapToGrid w:val="0"/>
        <w:spacing w:line="560" w:lineRule="exact"/>
        <w:jc w:val="left"/>
        <w:rPr>
          <w:rFonts w:eastAsia="仿宋_GB2312" w:cs="仿宋_GB2312"/>
          <w:sz w:val="32"/>
          <w:szCs w:val="32"/>
        </w:rPr>
      </w:pPr>
      <w:bookmarkStart w:id="76" w:name="_Toc15396628"/>
      <w:r>
        <w:rPr>
          <w:rFonts w:hint="eastAsia" w:eastAsia="仿宋_GB2312" w:cs="仿宋_GB2312"/>
          <w:sz w:val="32"/>
          <w:szCs w:val="32"/>
        </w:rPr>
        <w:t>十、</w:t>
      </w:r>
      <w:bookmarkEnd w:id="76"/>
      <w:r>
        <w:rPr>
          <w:rFonts w:hint="eastAsia" w:eastAsia="仿宋_GB2312" w:cs="仿宋_GB2312"/>
          <w:sz w:val="32"/>
          <w:szCs w:val="32"/>
        </w:rPr>
        <w:t>政府性基金预算财政拨款收入支出决算表</w:t>
      </w:r>
    </w:p>
    <w:p w14:paraId="665F17C0">
      <w:pPr>
        <w:pStyle w:val="15"/>
        <w:adjustRightInd w:val="0"/>
        <w:snapToGrid w:val="0"/>
        <w:spacing w:line="560" w:lineRule="exact"/>
        <w:jc w:val="left"/>
        <w:rPr>
          <w:rFonts w:eastAsia="仿宋_GB2312" w:cs="仿宋_GB2312"/>
          <w:sz w:val="32"/>
          <w:szCs w:val="32"/>
        </w:rPr>
      </w:pPr>
      <w:bookmarkStart w:id="77" w:name="_Toc15396629"/>
      <w:r>
        <w:rPr>
          <w:rFonts w:hint="eastAsia" w:eastAsia="仿宋_GB2312" w:cs="仿宋_GB2312"/>
          <w:sz w:val="32"/>
          <w:szCs w:val="32"/>
        </w:rPr>
        <w:t>十一、</w:t>
      </w:r>
      <w:bookmarkEnd w:id="77"/>
      <w:r>
        <w:rPr>
          <w:rFonts w:hint="eastAsia" w:eastAsia="仿宋_GB2312" w:cs="仿宋_GB2312"/>
          <w:sz w:val="32"/>
          <w:szCs w:val="32"/>
        </w:rPr>
        <w:t>国有资本经营预算财政拨款收入支出决算表</w:t>
      </w:r>
    </w:p>
    <w:p w14:paraId="691F1051">
      <w:pPr>
        <w:pStyle w:val="15"/>
        <w:adjustRightInd w:val="0"/>
        <w:snapToGrid w:val="0"/>
        <w:spacing w:line="560" w:lineRule="exact"/>
        <w:jc w:val="left"/>
        <w:rPr>
          <w:rFonts w:eastAsia="仿宋_GB2312" w:cs="仿宋_GB2312"/>
          <w:sz w:val="32"/>
          <w:szCs w:val="32"/>
        </w:rPr>
      </w:pPr>
      <w:bookmarkStart w:id="78" w:name="_Toc15396630"/>
      <w:r>
        <w:rPr>
          <w:rFonts w:hint="eastAsia" w:eastAsia="仿宋_GB2312" w:cs="仿宋_GB2312"/>
          <w:sz w:val="32"/>
          <w:szCs w:val="32"/>
        </w:rPr>
        <w:t>十二、</w:t>
      </w:r>
      <w:bookmarkEnd w:id="78"/>
      <w:r>
        <w:rPr>
          <w:rFonts w:hint="eastAsia" w:eastAsia="仿宋_GB2312" w:cs="仿宋_GB2312"/>
          <w:sz w:val="32"/>
          <w:szCs w:val="32"/>
        </w:rPr>
        <w:t>国有资本经营预算财政拨款支出决算表</w:t>
      </w:r>
    </w:p>
    <w:p w14:paraId="67C1DF05">
      <w:pPr>
        <w:pStyle w:val="15"/>
        <w:adjustRightInd w:val="0"/>
        <w:snapToGrid w:val="0"/>
        <w:spacing w:line="560" w:lineRule="exact"/>
        <w:jc w:val="left"/>
        <w:rPr>
          <w:rFonts w:eastAsia="仿宋_GB2312" w:cs="仿宋_GB2312"/>
          <w:sz w:val="32"/>
          <w:szCs w:val="32"/>
        </w:rPr>
      </w:pPr>
      <w:bookmarkStart w:id="79" w:name="_Toc15396631"/>
      <w:r>
        <w:rPr>
          <w:rFonts w:hint="eastAsia" w:eastAsia="仿宋_GB2312" w:cs="仿宋_GB2312"/>
          <w:sz w:val="32"/>
          <w:szCs w:val="32"/>
        </w:rPr>
        <w:t>十三、</w:t>
      </w:r>
      <w:bookmarkEnd w:id="79"/>
      <w:r>
        <w:rPr>
          <w:rFonts w:hint="eastAsia" w:eastAsia="仿宋_GB2312" w:cs="仿宋_GB2312"/>
          <w:sz w:val="32"/>
          <w:szCs w:val="32"/>
        </w:rPr>
        <w:t>财政拨款“三公”经费支出决算表</w:t>
      </w:r>
    </w:p>
    <w:p w14:paraId="1395BCBA"/>
    <w:sectPr>
      <w:footerReference r:id="rId8" w:type="first"/>
      <w:footerReference r:id="rId7" w:type="default"/>
      <w:pgSz w:w="11906" w:h="16838"/>
      <w:pgMar w:top="2098" w:right="1474" w:bottom="1984" w:left="1587" w:header="851" w:footer="992" w:gutter="0"/>
      <w:pgNumType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F94DA7-899F-43E3-B9FD-FA52376E3E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2" w:fontKey="{77395DBC-02A5-4DF2-BE7A-46FECB1E84E5}"/>
  </w:font>
  <w:font w:name="仿宋">
    <w:panose1 w:val="02010609060101010101"/>
    <w:charset w:val="86"/>
    <w:family w:val="modern"/>
    <w:pitch w:val="default"/>
    <w:sig w:usb0="800002BF" w:usb1="38CF7CFA" w:usb2="00000016" w:usb3="00000000" w:csb0="00040001" w:csb1="00000000"/>
    <w:embedRegular r:id="rId3" w:fontKey="{634A9E4D-963E-492E-8C1C-8F398B880377}"/>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4" w:fontKey="{89C532D5-A991-4248-987A-0F8EC31EEDF0}"/>
  </w:font>
  <w:font w:name="楷体_GB2312">
    <w:altName w:val="楷体"/>
    <w:panose1 w:val="02010609030101010101"/>
    <w:charset w:val="86"/>
    <w:family w:val="modern"/>
    <w:pitch w:val="default"/>
    <w:sig w:usb0="00000000" w:usb1="00000000" w:usb2="00000010" w:usb3="00000000" w:csb0="00040000" w:csb1="00000000"/>
    <w:embedRegular r:id="rId5" w:fontKey="{A46921BC-49C7-44A0-9793-C27978041657}"/>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34A14">
    <w:pPr>
      <w:pStyle w:val="11"/>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990B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02990B1">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6A9DA646">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D6678">
    <w:pPr>
      <w:pStyle w:val="11"/>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35D3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7E35D3F">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0BD0E2C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75902">
    <w:pPr>
      <w:pStyle w:val="11"/>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42EF9">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D142EF9">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81300">
    <w:pPr>
      <w:pStyle w:val="11"/>
      <w:jc w:val="cente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EA946">
                          <w:pPr>
                            <w:pStyle w:val="11"/>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4C6EA946">
                    <w:pPr>
                      <w:pStyle w:val="11"/>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t>-</w:t>
                    </w:r>
                  </w:p>
                </w:txbxContent>
              </v:textbox>
            </v:shape>
          </w:pict>
        </mc:Fallback>
      </mc:AlternateContent>
    </w:r>
  </w:p>
  <w:p w14:paraId="6D9DAC9B">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50235">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62E6E">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CB62E6E">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665C5">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2A27"/>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7237C"/>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50FC"/>
    <w:rsid w:val="00505A47"/>
    <w:rsid w:val="00512FDA"/>
    <w:rsid w:val="00520DA0"/>
    <w:rsid w:val="005664BB"/>
    <w:rsid w:val="00566FFA"/>
    <w:rsid w:val="0057481D"/>
    <w:rsid w:val="00575C6A"/>
    <w:rsid w:val="0058486E"/>
    <w:rsid w:val="00585B33"/>
    <w:rsid w:val="00586597"/>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D06AE"/>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533E7"/>
    <w:rsid w:val="02317B1B"/>
    <w:rsid w:val="02FEBE30"/>
    <w:rsid w:val="0315487F"/>
    <w:rsid w:val="03BC71E5"/>
    <w:rsid w:val="061E35DE"/>
    <w:rsid w:val="066E0107"/>
    <w:rsid w:val="06840B3B"/>
    <w:rsid w:val="0694782D"/>
    <w:rsid w:val="07536155"/>
    <w:rsid w:val="07996F6E"/>
    <w:rsid w:val="07DFD8BA"/>
    <w:rsid w:val="08DB07E4"/>
    <w:rsid w:val="09867E8F"/>
    <w:rsid w:val="0A2032A3"/>
    <w:rsid w:val="0C6C4794"/>
    <w:rsid w:val="0C912DE3"/>
    <w:rsid w:val="0CA8290A"/>
    <w:rsid w:val="0CBD6B55"/>
    <w:rsid w:val="0D35B1ED"/>
    <w:rsid w:val="0DE07E2B"/>
    <w:rsid w:val="0F98263C"/>
    <w:rsid w:val="101860EC"/>
    <w:rsid w:val="10C055FF"/>
    <w:rsid w:val="115B4B8E"/>
    <w:rsid w:val="11772AA4"/>
    <w:rsid w:val="118107EC"/>
    <w:rsid w:val="13D50BC4"/>
    <w:rsid w:val="14022904"/>
    <w:rsid w:val="152F2A07"/>
    <w:rsid w:val="165E0673"/>
    <w:rsid w:val="16BB723D"/>
    <w:rsid w:val="186504BB"/>
    <w:rsid w:val="1938089F"/>
    <w:rsid w:val="199B03D2"/>
    <w:rsid w:val="19A445FC"/>
    <w:rsid w:val="1AB52A1E"/>
    <w:rsid w:val="1B7D550C"/>
    <w:rsid w:val="1BE8440E"/>
    <w:rsid w:val="1D155CEE"/>
    <w:rsid w:val="1E740ACF"/>
    <w:rsid w:val="1FF35744"/>
    <w:rsid w:val="1FF6BC77"/>
    <w:rsid w:val="21962A9E"/>
    <w:rsid w:val="21AE7C77"/>
    <w:rsid w:val="22BC3C41"/>
    <w:rsid w:val="23860B96"/>
    <w:rsid w:val="240371BF"/>
    <w:rsid w:val="260F557C"/>
    <w:rsid w:val="281408E2"/>
    <w:rsid w:val="29FD04D3"/>
    <w:rsid w:val="2B537A13"/>
    <w:rsid w:val="2BFF7BC6"/>
    <w:rsid w:val="2C8A61B5"/>
    <w:rsid w:val="2D2E01CF"/>
    <w:rsid w:val="2DF04E50"/>
    <w:rsid w:val="2E9545B0"/>
    <w:rsid w:val="2F040D46"/>
    <w:rsid w:val="2FAE5751"/>
    <w:rsid w:val="2FB1A395"/>
    <w:rsid w:val="2FD9A7D8"/>
    <w:rsid w:val="319F7F4E"/>
    <w:rsid w:val="321B2544"/>
    <w:rsid w:val="32DB0F7C"/>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19736B"/>
    <w:rsid w:val="3FF4CAE0"/>
    <w:rsid w:val="3FF7B227"/>
    <w:rsid w:val="40E54C45"/>
    <w:rsid w:val="431F7D4B"/>
    <w:rsid w:val="43A407DF"/>
    <w:rsid w:val="44515BEA"/>
    <w:rsid w:val="44E268DA"/>
    <w:rsid w:val="453F7E5B"/>
    <w:rsid w:val="482F471D"/>
    <w:rsid w:val="486A6C7A"/>
    <w:rsid w:val="49176D9B"/>
    <w:rsid w:val="4A627F82"/>
    <w:rsid w:val="4B0E749A"/>
    <w:rsid w:val="4B4F25DA"/>
    <w:rsid w:val="4BDA0CFB"/>
    <w:rsid w:val="4BE068DB"/>
    <w:rsid w:val="4D3C0CCC"/>
    <w:rsid w:val="4D577224"/>
    <w:rsid w:val="4DBF1CEB"/>
    <w:rsid w:val="4EAB630A"/>
    <w:rsid w:val="4ECE2238"/>
    <w:rsid w:val="4F833267"/>
    <w:rsid w:val="4F8847C5"/>
    <w:rsid w:val="4FE9BD67"/>
    <w:rsid w:val="4FFB052F"/>
    <w:rsid w:val="50B22B98"/>
    <w:rsid w:val="52DE64AA"/>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245B8C"/>
    <w:rsid w:val="5F493CB7"/>
    <w:rsid w:val="5FBF9FF3"/>
    <w:rsid w:val="5FCD4E2C"/>
    <w:rsid w:val="5FD15F49"/>
    <w:rsid w:val="5FEF394A"/>
    <w:rsid w:val="5FF67715"/>
    <w:rsid w:val="62BF3928"/>
    <w:rsid w:val="647F5392"/>
    <w:rsid w:val="64E470E2"/>
    <w:rsid w:val="664B1D71"/>
    <w:rsid w:val="67AA3209"/>
    <w:rsid w:val="681C4F0D"/>
    <w:rsid w:val="69046D0F"/>
    <w:rsid w:val="698D0931"/>
    <w:rsid w:val="6A993CED"/>
    <w:rsid w:val="6B053271"/>
    <w:rsid w:val="6BCE6674"/>
    <w:rsid w:val="6C4A05C8"/>
    <w:rsid w:val="6C8742B8"/>
    <w:rsid w:val="6C8A170F"/>
    <w:rsid w:val="6CB54609"/>
    <w:rsid w:val="6CB80178"/>
    <w:rsid w:val="6D604233"/>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72484C"/>
    <w:rsid w:val="74BBD01D"/>
    <w:rsid w:val="74ED5379"/>
    <w:rsid w:val="74FC2395"/>
    <w:rsid w:val="75DEEEC2"/>
    <w:rsid w:val="76057F37"/>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link w:val="35"/>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7"/>
    <w:link w:val="3"/>
    <w:qFormat/>
    <w:uiPriority w:val="9"/>
    <w:rPr>
      <w:rFonts w:ascii="Times New Roman" w:hAnsi="Times New Roman"/>
      <w:b/>
      <w:bCs/>
      <w:kern w:val="44"/>
      <w:sz w:val="44"/>
      <w:szCs w:val="44"/>
    </w:rPr>
  </w:style>
  <w:style w:type="character" w:customStyle="1" w:styleId="29">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7"/>
    <w:link w:val="10"/>
    <w:semiHidden/>
    <w:qFormat/>
    <w:uiPriority w:val="99"/>
    <w:rPr>
      <w:rFonts w:ascii="Times New Roman" w:hAnsi="Times New Roman"/>
      <w:kern w:val="2"/>
      <w:sz w:val="18"/>
      <w:szCs w:val="18"/>
    </w:rPr>
  </w:style>
  <w:style w:type="character" w:customStyle="1" w:styleId="32">
    <w:name w:val="标题 3 字符"/>
    <w:basedOn w:val="17"/>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文本首行缩进 2 字符"/>
    <w:basedOn w:val="17"/>
    <w:link w:val="8"/>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manualLayout>
          <c:layoutTarget val="inner"/>
          <c:xMode val="edge"/>
          <c:yMode val="edge"/>
          <c:x val="0.0999539099708096"/>
          <c:y val="0.0988292011019284"/>
          <c:w val="0.895437087110155"/>
          <c:h val="0.786694778040142"/>
        </c:manualLayout>
      </c:layout>
      <c:barChart>
        <c:barDir val="col"/>
        <c:grouping val="clustered"/>
        <c:varyColors val="0"/>
        <c:ser>
          <c:idx val="0"/>
          <c:order val="0"/>
          <c:tx>
            <c:strRef>
              <c:f>Sheet1!$C$1</c:f>
              <c:strCache>
                <c:ptCount val="1"/>
                <c:pt idx="0">
                  <c:v>2025年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val>
            <c:numRef>
              <c:f>Sheet1!$C$2:$C$3</c:f>
              <c:numCache>
                <c:formatCode>General</c:formatCode>
                <c:ptCount val="2"/>
                <c:pt idx="0">
                  <c:v>68557.75</c:v>
                </c:pt>
                <c:pt idx="1">
                  <c:v>68557.75</c:v>
                </c:pt>
              </c:numCache>
            </c:numRef>
          </c:val>
        </c:ser>
        <c:ser>
          <c:idx val="1"/>
          <c:order val="1"/>
          <c:tx>
            <c:strRef>
              <c:f>Sheet1!$D$1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Sheet1!$D$2:$D$3</c:f>
              <c:numCache>
                <c:formatCode>General</c:formatCode>
                <c:ptCount val="2"/>
                <c:pt idx="0">
                  <c:v>28332.99</c:v>
                </c:pt>
                <c:pt idx="1">
                  <c:v>28332.99</c:v>
                </c:pt>
              </c:numCache>
            </c:numRef>
          </c:val>
        </c:ser>
        <c:dLbls>
          <c:showLegendKey val="0"/>
          <c:showVal val="1"/>
          <c:showCatName val="0"/>
          <c:showSerName val="0"/>
          <c:showPercent val="0"/>
          <c:showBubbleSize val="0"/>
        </c:dLbls>
        <c:gapWidth val="219"/>
        <c:overlap val="-27"/>
        <c:axId val="125815808"/>
        <c:axId val="192204160"/>
      </c:barChart>
      <c:catAx>
        <c:axId val="125815808"/>
        <c:scaling>
          <c:orientation val="minMax"/>
        </c:scaling>
        <c:delete val="1"/>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204160"/>
        <c:crosses val="autoZero"/>
        <c:auto val="1"/>
        <c:lblAlgn val="ctr"/>
        <c:lblOffset val="100"/>
        <c:noMultiLvlLbl val="0"/>
      </c:catAx>
      <c:valAx>
        <c:axId val="192204160"/>
        <c:scaling>
          <c:orientation val="minMax"/>
          <c:max val="350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5815808"/>
        <c:crosses val="autoZero"/>
        <c:crossBetween val="between"/>
        <c:majorUnit val="2000"/>
        <c:minorUnit val="50"/>
      </c:valAx>
      <c:spPr>
        <a:noFill/>
        <a:ln>
          <a:noFill/>
        </a:ln>
        <a:effectLst/>
      </c:spPr>
    </c:plotArea>
    <c:legend>
      <c:legendPos val="b"/>
      <c:layout>
        <c:manualLayout>
          <c:xMode val="edge"/>
          <c:yMode val="edge"/>
          <c:x val="0.409998411586565"/>
          <c:y val="0.02673408075858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29e4ce-5b1d-4958-8f41-d84eb65a6eaa}"/>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96000000000001"/>
          <c:y val="0.0336666666666667"/>
        </c:manualLayout>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图2：收入决算结构图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政府性基金预算收入</c:v>
                </c:pt>
              </c:strCache>
            </c:strRef>
          </c:cat>
          <c:val>
            <c:numRef>
              <c:f>Sheet1!$B$2:$B$3</c:f>
              <c:numCache>
                <c:formatCode>0.00%</c:formatCode>
                <c:ptCount val="2"/>
                <c:pt idx="0">
                  <c:v>0.993364667394855</c:v>
                </c:pt>
                <c:pt idx="1">
                  <c:v>0.00663533260514509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b6d4b785-d7f8-4731-ba7f-a766013b69ea}"/>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Sheet1!$C$1</c:f>
              <c:strCache>
                <c:ptCount val="1"/>
                <c:pt idx="0">
                  <c:v>列1</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Sheet1!$C$2:$C$3</c:f>
              <c:numCache>
                <c:formatCode>0.00%</c:formatCode>
                <c:ptCount val="2"/>
                <c:pt idx="0">
                  <c:v>0.00863866994334984</c:v>
                </c:pt>
                <c:pt idx="1">
                  <c:v>0.99136133005665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e109a1b4-57e3-4a23-83f6-26bac48f33d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07516040329972"/>
          <c:y val="0.129788897576231"/>
          <c:w val="0.884112435074855"/>
          <c:h val="0.773534010946052"/>
        </c:manualLayout>
      </c:layout>
      <c:barChart>
        <c:barDir val="col"/>
        <c:grouping val="clustered"/>
        <c:varyColors val="0"/>
        <c:ser>
          <c:idx val="0"/>
          <c:order val="0"/>
          <c:tx>
            <c:strRef>
              <c:f>Sheet1!$B$1</c:f>
              <c:strCache>
                <c:ptCount val="1"/>
                <c:pt idx="0">
                  <c:v>2025年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Sheet1!$E$2:$E$3</c:f>
              <c:strCache>
                <c:ptCount val="2"/>
                <c:pt idx="0">
                  <c:v>收入</c:v>
                </c:pt>
                <c:pt idx="1">
                  <c:v>支出</c:v>
                </c:pt>
              </c:strCache>
            </c:strRef>
          </c:cat>
          <c:val>
            <c:numRef>
              <c:f>Sheet1!$B$2:$B$3</c:f>
              <c:numCache>
                <c:formatCode>General</c:formatCode>
                <c:ptCount val="2"/>
                <c:pt idx="0">
                  <c:v>40667.14</c:v>
                </c:pt>
                <c:pt idx="1">
                  <c:v>40667.14</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Sheet1!$E$2:$E$3</c:f>
              <c:strCache>
                <c:ptCount val="2"/>
                <c:pt idx="0">
                  <c:v>收入</c:v>
                </c:pt>
                <c:pt idx="1">
                  <c:v>支出</c:v>
                </c:pt>
              </c:strCache>
            </c:strRef>
          </c:cat>
          <c:val>
            <c:numRef>
              <c:f>Sheet1!$C$2:$C$3</c:f>
              <c:numCache>
                <c:formatCode>General</c:formatCode>
                <c:ptCount val="2"/>
                <c:pt idx="0">
                  <c:v>442.39</c:v>
                </c:pt>
                <c:pt idx="1">
                  <c:v>442.39</c:v>
                </c:pt>
              </c:numCache>
            </c:numRef>
          </c:val>
        </c:ser>
        <c:dLbls>
          <c:showLegendKey val="0"/>
          <c:showVal val="1"/>
          <c:showCatName val="0"/>
          <c:showSerName val="0"/>
          <c:showPercent val="0"/>
          <c:showBubbleSize val="0"/>
        </c:dLbls>
        <c:gapWidth val="219"/>
        <c:overlap val="-27"/>
        <c:axId val="193025152"/>
        <c:axId val="246272768"/>
      </c:barChart>
      <c:catAx>
        <c:axId val="1930251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6272768"/>
        <c:crosses val="autoZero"/>
        <c:auto val="1"/>
        <c:lblAlgn val="ctr"/>
        <c:lblOffset val="100"/>
        <c:noMultiLvlLbl val="0"/>
      </c:catAx>
      <c:valAx>
        <c:axId val="246272768"/>
        <c:scaling>
          <c:orientation val="minMax"/>
          <c:min val="3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3025152"/>
        <c:crossesAt val="1"/>
        <c:crossBetween val="between"/>
      </c:valAx>
      <c:spPr>
        <a:noFill/>
        <a:ln>
          <a:noFill/>
        </a:ln>
        <a:effectLst/>
      </c:spPr>
    </c:plotArea>
    <c:legend>
      <c:legendPos val="b"/>
      <c:layout>
        <c:manualLayout>
          <c:xMode val="edge"/>
          <c:yMode val="edge"/>
          <c:x val="0.402153987167736"/>
          <c:y val="0.027087191038570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5c7740-d40f-4aec-920a-59fb93bae3b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043254376931"/>
          <c:y val="0.133341732979664"/>
          <c:w val="0.905175000000001"/>
          <c:h val="0.716900000000001"/>
        </c:manualLayout>
      </c:layout>
      <c:barChart>
        <c:barDir val="col"/>
        <c:grouping val="clustered"/>
        <c:varyColors val="0"/>
        <c:ser>
          <c:idx val="0"/>
          <c:order val="0"/>
          <c:tx>
            <c:strRef>
              <c:f>Sheet1!$B$1</c:f>
              <c:strCache>
                <c:ptCount val="1"/>
                <c:pt idx="0">
                  <c:v>2025年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一般公共预算财政拨款支出（万元）</c:v>
                </c:pt>
              </c:strCache>
            </c:strRef>
          </c:cat>
          <c:val>
            <c:numRef>
              <c:f>Sheet1!$B$2</c:f>
              <c:numCache>
                <c:formatCode>General</c:formatCode>
                <c:ptCount val="1"/>
                <c:pt idx="0">
                  <c:v>40397</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一般公共预算财政拨款支出（万元）</c:v>
                </c:pt>
              </c:strCache>
            </c:strRef>
          </c:cat>
          <c:val>
            <c:numRef>
              <c:f>Sheet1!$C$2</c:f>
              <c:numCache>
                <c:formatCode>General</c:formatCode>
                <c:ptCount val="1"/>
                <c:pt idx="0">
                  <c:v>427.16</c:v>
                </c:pt>
              </c:numCache>
            </c:numRef>
          </c:val>
        </c:ser>
        <c:ser>
          <c:idx val="2"/>
          <c:order val="2"/>
          <c:tx>
            <c:strRef>
              <c:f>Sheet1!$D$1</c:f>
              <c:strCache>
                <c:ptCount val="1"/>
                <c:pt idx="0">
                  <c:v>增减值</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一般公共预算财政拨款支出（万元）</c:v>
                </c:pt>
              </c:strCache>
            </c:strRef>
          </c:cat>
          <c:val>
            <c:numRef>
              <c:f>Sheet1!$D$2</c:f>
              <c:numCache>
                <c:formatCode>General</c:formatCode>
                <c:ptCount val="1"/>
                <c:pt idx="0">
                  <c:v>39969.84</c:v>
                </c:pt>
              </c:numCache>
            </c:numRef>
          </c:val>
        </c:ser>
        <c:dLbls>
          <c:showLegendKey val="0"/>
          <c:showVal val="1"/>
          <c:showCatName val="0"/>
          <c:showSerName val="0"/>
          <c:showPercent val="0"/>
          <c:showBubbleSize val="0"/>
        </c:dLbls>
        <c:gapWidth val="219"/>
        <c:overlap val="-27"/>
        <c:axId val="324294912"/>
        <c:axId val="336667392"/>
      </c:barChart>
      <c:catAx>
        <c:axId val="32429491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t" anchorCtr="0"/>
          <a:lstStyle/>
          <a:p>
            <a:pPr>
              <a:defRPr lang="zh-CN" sz="900" b="0" i="0" u="none" strike="noStrike" kern="1200" baseline="0">
                <a:solidFill>
                  <a:schemeClr val="tx1">
                    <a:lumMod val="65000"/>
                    <a:lumOff val="35000"/>
                  </a:schemeClr>
                </a:solidFill>
                <a:latin typeface="+mn-lt"/>
                <a:ea typeface="+mn-ea"/>
                <a:cs typeface="+mn-cs"/>
              </a:defRPr>
            </a:pPr>
          </a:p>
        </c:txPr>
        <c:crossAx val="336667392"/>
        <c:crosses val="autoZero"/>
        <c:auto val="1"/>
        <c:lblAlgn val="ctr"/>
        <c:lblOffset val="100"/>
        <c:noMultiLvlLbl val="0"/>
      </c:catAx>
      <c:valAx>
        <c:axId val="33666739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4294912"/>
        <c:crosses val="autoZero"/>
        <c:crossBetween val="between"/>
      </c:valAx>
      <c:spPr>
        <a:noFill/>
        <a:ln>
          <a:noFill/>
        </a:ln>
        <a:effectLst/>
      </c:spPr>
    </c:plotArea>
    <c:legend>
      <c:legendPos val="b"/>
      <c:layout>
        <c:manualLayout>
          <c:xMode val="edge"/>
          <c:yMode val="edge"/>
          <c:x val="0.270964313386638"/>
          <c:y val="0.925413842606691"/>
          <c:w val="0.458071373226724"/>
          <c:h val="0.07458615739330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e80f29-c29d-4dad-8c1c-2927b9cedd8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社会保障和就业</c:v>
                </c:pt>
                <c:pt idx="1">
                  <c:v>卫生健康支出（类）</c:v>
                </c:pt>
                <c:pt idx="2">
                  <c:v>农林水支出</c:v>
                </c:pt>
                <c:pt idx="3">
                  <c:v>自然资源海洋气象等支出</c:v>
                </c:pt>
                <c:pt idx="4">
                  <c:v>住房保障支出</c:v>
                </c:pt>
              </c:strCache>
            </c:strRef>
          </c:cat>
          <c:val>
            <c:numRef>
              <c:f>Sheet1!$B$2:$B$6</c:f>
              <c:numCache>
                <c:formatCode>0.00%</c:formatCode>
                <c:ptCount val="5"/>
                <c:pt idx="0">
                  <c:v>0.00213826171551069</c:v>
                </c:pt>
                <c:pt idx="1">
                  <c:v>0.000455475984781161</c:v>
                </c:pt>
                <c:pt idx="2">
                  <c:v>0.866394536268513</c:v>
                </c:pt>
                <c:pt idx="3">
                  <c:v>0.130463174519089</c:v>
                </c:pt>
                <c:pt idx="4">
                  <c:v>0.000548551512106007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1522ad7b-072e-48bd-add5-2052348c648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因公出国（境）支出</c:v>
                </c:pt>
                <c:pt idx="1">
                  <c:v>公务用车购置及运行维护费支出</c:v>
                </c:pt>
                <c:pt idx="2">
                  <c:v>公务接待费支出</c:v>
                </c:pt>
              </c:strCache>
            </c:strRef>
          </c:cat>
          <c:val>
            <c:numRef>
              <c:f>Sheet1!$B$2:$B$4</c:f>
              <c:numCache>
                <c:formatCode>0.00%</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08ecddc-ff27-4771-9580-85eb2fe34055}"/>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daf11df3-1dcd-454b-83ab-46aae33b5c0b</errorID>
      <errorWord>拟定</errorWord>
      <group>L1_Word</group>
      <groupName>字词问题</groupName>
      <ability>L2_Typo</ability>
      <abilityName>字词错误</abilityName>
      <candidateList>
        <item>拟订</item>
      </candidateList>
      <explain>存在发音相同字词的误用。</explain>
      <paraID>  EA0402</paraID>
      <start>138</start>
      <end>140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F49422-8ACE-4DE5-B0D1-6465CC76689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255</Words>
  <Characters>272</Characters>
  <Lines>46</Lines>
  <Paragraphs>12</Paragraphs>
  <TotalTime>6</TotalTime>
  <ScaleCrop>false</ScaleCrop>
  <LinksUpToDate>false</LinksUpToDate>
  <CharactersWithSpaces>289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ying ying Z </cp:lastModifiedBy>
  <cp:lastPrinted>2026-08-27T00:27:00Z</cp:lastPrinted>
  <dcterms:modified xsi:type="dcterms:W3CDTF">2026-09-10T07:03:48Z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D3CAB65B5EEC43CC954B6729BF337728_13</vt:lpwstr>
  </property>
  <property fmtid="{D5CDD505-2E9C-101B-9397-08002B2CF9AE}" pid="4" name="KSOTemplateDocerSaveRecord">
    <vt:lpwstr>eyJoZGlkIjoiNTg3YjI3Zjc2MzNiOTAzMWQ3ZTE0ODk2ZjQ0ZjFkZmMiLCJ1c2VySWQiOiIzMzE4NzY0OTMifQ==</vt:lpwstr>
  </property>
</Properties>
</file>