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一、规划范围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本次《片区策划（城市设计）》范围位于东区炳草岗街道，包括大梯道区域及周边2个重点城市更新片区（望江片区、二街坊片区），总面积约17公顷。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4004945"/>
            <wp:effectExtent l="0" t="0" r="10795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二、规划定位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片区总体定位为“花城集锦，文旅中轴”，致力于打造引领未来风潮的滨水文旅目的地，成为“老城有机更新的示范、山水城市的特色地标、新兴的时尚活力磁场”。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335655"/>
            <wp:effectExtent l="0" t="0" r="9525" b="17145"/>
            <wp:docPr id="16" name="图片 16" descr="大梯道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大梯道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规划定位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三、规划主要内容</w:t>
      </w:r>
    </w:p>
    <w:p>
      <w:pPr>
        <w:ind w:firstLine="640" w:firstLineChars="200"/>
        <w:jc w:val="left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（一）更新策略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提出“新人群、新文旅、新场景”三大更新策略：“新人群”聚焦本地青年和外来旅居客，为片区注入持续活力；“新人群”聚焦本地青年和外来旅居客，为片区持续注入活力；“新文旅”围绕文旅产业，构建以文化创意为驱动、以文旅消费为引领、以文旅配套为支撑的产业体系；“新场景”立足场地空间条件，塑造彰显山水融城特色的“花城六景”——花都、花桥、花梯、花厅、花坊、花居，分别依托水岸、天桥、梯道、广场、厂区、社区形成六大新场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546600" cy="2878455"/>
            <wp:effectExtent l="0" t="0" r="6350" b="0"/>
            <wp:docPr id="1133353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3644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672" cy="28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521200" cy="2862580"/>
            <wp:effectExtent l="0" t="0" r="0" b="0"/>
            <wp:docPr id="657944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446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73" cy="28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495800" cy="2846070"/>
            <wp:effectExtent l="0" t="0" r="0" b="0"/>
            <wp:docPr id="20146800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80054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55" cy="28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更新策略</w:t>
      </w:r>
    </w:p>
    <w:p>
      <w:pPr>
        <w:ind w:firstLine="640" w:firstLineChars="200"/>
        <w:jc w:val="left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（二）空间结构与功能布局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总体结构“一轴六景”。以大梯道的历史空间轴线串联六大主题：“花都”依托滨水空间，汇聚丰富的综合体验；“花桥”打造网红打卡桥，既是通山达水的空间载体，也是观光摄影的最佳点位；“花梯”“花厅”作为创意设计的重要载体，瞄准时尚潮流，打造文旅爆款场景；“花坊”推动现状服饰百货业态向高附加值的定制品牌方向升级；“花居”则为老城区提供独一无二的康养好房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960" cy="3343910"/>
            <wp:effectExtent l="0" t="0" r="8890" b="8890"/>
            <wp:docPr id="1864699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9992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总体更新结构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335655"/>
            <wp:effectExtent l="0" t="0" r="9525" b="17145"/>
            <wp:docPr id="12" name="图片 12" descr="大梯道_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梯道_0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总平面图</w:t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1135" cy="3337560"/>
            <wp:effectExtent l="0" t="0" r="5715" b="15240"/>
            <wp:docPr id="1" name="图片 1" descr="de5cc7828e0c95bc5ab8ce4c1cf8d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5cc7828e0c95bc5ab8ce4c1cf8d4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鸟瞰效果</w:t>
      </w:r>
      <w:r>
        <w:rPr>
          <w:rFonts w:hint="eastAsia" w:eastAsia="仿宋"/>
          <w:lang w:eastAsia="zh-CN"/>
        </w:rPr>
        <w:t>图</w:t>
      </w:r>
    </w:p>
    <w:p>
      <w:pPr>
        <w:jc w:val="both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drawing>
          <wp:inline distT="0" distB="0" distL="0" distR="0">
            <wp:extent cx="5265420" cy="3342005"/>
            <wp:effectExtent l="0" t="0" r="0" b="0"/>
            <wp:docPr id="767331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31608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特色节点示意</w:t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2880" cy="3308985"/>
            <wp:effectExtent l="0" t="0" r="13970" b="5715"/>
            <wp:docPr id="2" name="图片 2" descr="49da2c45a9edada3944484ff1865a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da2c45a9edada3944484ff1865a3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t>特色节点示意</w:t>
      </w:r>
      <w:bookmarkStart w:id="2" w:name="_GoBack"/>
      <w:bookmarkEnd w:id="2"/>
    </w:p>
    <w:p>
      <w:pPr>
        <w:rPr>
          <w:rFonts w:hint="eastAsia"/>
        </w:rPr>
      </w:pPr>
      <w:r>
        <w:drawing>
          <wp:inline distT="0" distB="0" distL="0" distR="0">
            <wp:extent cx="5265420" cy="3342005"/>
            <wp:effectExtent l="0" t="0" r="0" b="0"/>
            <wp:docPr id="810395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9531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val="en-US" w:eastAsia="zh-CN"/>
        </w:rPr>
      </w:pPr>
      <w:r>
        <w:rPr>
          <w:rFonts w:hint="eastAsia"/>
        </w:rPr>
        <w:t>特色节点</w:t>
      </w:r>
      <w:r>
        <w:rPr>
          <w:rFonts w:hint="eastAsia"/>
          <w:lang w:val="en-US" w:eastAsia="zh-CN"/>
        </w:rPr>
        <w:t>示意</w:t>
      </w:r>
    </w:p>
    <w:p>
      <w:pPr>
        <w:rPr>
          <w:rFonts w:hint="eastAsia"/>
        </w:rPr>
      </w:pPr>
      <w:r>
        <w:drawing>
          <wp:inline distT="0" distB="0" distL="0" distR="0">
            <wp:extent cx="5265420" cy="3342005"/>
            <wp:effectExtent l="0" t="0" r="0" b="0"/>
            <wp:docPr id="4272411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41177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特色节点示意</w:t>
      </w:r>
    </w:p>
    <w:p>
      <w:pPr>
        <w:ind w:firstLine="640" w:firstLineChars="200"/>
        <w:jc w:val="left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（三）建筑布局与风貌引导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大梯道保留原有空间格局，对沿街商业建筑进行分类引导。一是既有商业建筑通过雨棚、花箱、店招、外摆进行简单清理和统一美化，并分别对转角界面和沿街界面进行引导，塑造整洁有序、精致新潮的建筑风貌；二是临时商业服务建筑依托景观和地形条件适度增补，采用轻量化设计，打造融形于景、轻巧灵动的特色建筑风貌。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二街坊片区新建居住建筑应顺应地形排布，保留山体视线通廊，营造依山就势、现代雅致的居住风貌；望江片区现状居住建筑实施更新改造，塑造文艺活泼、清新明快的居住风貌，新建商业服务建筑结合地形高差采用退台式布局，充分利用竖向高差打造潮流商业风貌。</w:t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方正仿宋_GBK"/>
          <w:sz w:val="32"/>
          <w:lang w:val="en-US" w:eastAsia="zh-CN"/>
        </w:rPr>
      </w:pPr>
      <w:bookmarkStart w:id="0" w:name="OLE_LINK2"/>
      <w:r>
        <w:rPr>
          <w:rFonts w:ascii="Times New Roman" w:hAnsi="Times New Roman" w:eastAsia="方正仿宋_GBK"/>
          <w:sz w:val="32"/>
        </w:rPr>
        <w:t>景观小品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方面：</w:t>
      </w:r>
      <w:r>
        <w:rPr>
          <w:rFonts w:hint="eastAsia" w:ascii="Times New Roman" w:hAnsi="Times New Roman" w:eastAsia="方正仿宋_GBK"/>
          <w:sz w:val="32"/>
        </w:rPr>
        <w:t>可综合运用雕塑、艺术墙、主题构筑物等多种载体，有机融入“山城融城”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等文化元素</w:t>
      </w:r>
      <w:r>
        <w:rPr>
          <w:rFonts w:hint="eastAsia" w:ascii="Times New Roman" w:hAnsi="Times New Roman" w:eastAsia="方正仿宋_GBK"/>
          <w:sz w:val="32"/>
        </w:rPr>
        <w:t>，强化文化传承与历史延续</w:t>
      </w:r>
      <w:r>
        <w:rPr>
          <w:rFonts w:ascii="Times New Roman" w:hAnsi="Times New Roman" w:eastAsia="方正仿宋_GBK"/>
          <w:sz w:val="32"/>
        </w:rPr>
        <w:t>。</w:t>
      </w:r>
      <w:bookmarkEnd w:id="0"/>
      <w:r>
        <w:rPr>
          <w:rFonts w:ascii="Times New Roman" w:hAnsi="Times New Roman" w:eastAsia="方正仿宋_GBK"/>
          <w:sz w:val="32"/>
        </w:rPr>
        <w:t>街道家具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方面：可采用</w:t>
      </w:r>
      <w:r>
        <w:rPr>
          <w:rFonts w:ascii="Times New Roman" w:hAnsi="Times New Roman" w:eastAsia="方正仿宋_GBK"/>
          <w:sz w:val="32"/>
        </w:rPr>
        <w:t>耐候钢、铸铁、再生木材等工业</w:t>
      </w:r>
      <w:r>
        <w:rPr>
          <w:rFonts w:hint="eastAsia" w:ascii="Times New Roman" w:hAnsi="Times New Roman" w:eastAsia="方正仿宋_GBK"/>
          <w:sz w:val="32"/>
        </w:rPr>
        <w:t>风格</w:t>
      </w:r>
      <w:r>
        <w:rPr>
          <w:rFonts w:ascii="Times New Roman" w:hAnsi="Times New Roman" w:eastAsia="方正仿宋_GBK"/>
          <w:sz w:val="32"/>
        </w:rPr>
        <w:t>材质</w:t>
      </w:r>
      <w:r>
        <w:rPr>
          <w:rFonts w:hint="eastAsia" w:ascii="Times New Roman" w:hAnsi="Times New Roman" w:eastAsia="方正仿宋_GBK"/>
          <w:sz w:val="32"/>
        </w:rPr>
        <w:t>进行设计</w:t>
      </w:r>
      <w:r>
        <w:rPr>
          <w:rFonts w:ascii="Times New Roman" w:hAnsi="Times New Roman" w:eastAsia="方正仿宋_GBK"/>
          <w:sz w:val="32"/>
        </w:rPr>
        <w:t>，展现</w:t>
      </w:r>
      <w:r>
        <w:rPr>
          <w:rFonts w:hint="eastAsia" w:ascii="Times New Roman" w:hAnsi="Times New Roman" w:eastAsia="方正仿宋_GBK"/>
          <w:sz w:val="32"/>
        </w:rPr>
        <w:t>攀枝花的</w:t>
      </w:r>
      <w:r>
        <w:rPr>
          <w:rFonts w:ascii="Times New Roman" w:hAnsi="Times New Roman" w:eastAsia="方正仿宋_GBK"/>
          <w:sz w:val="32"/>
        </w:rPr>
        <w:t>工业基因。植被绿化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方面：在</w:t>
      </w:r>
      <w:r>
        <w:rPr>
          <w:rFonts w:ascii="Times New Roman" w:hAnsi="Times New Roman" w:eastAsia="方正仿宋_GBK"/>
          <w:sz w:val="32"/>
        </w:rPr>
        <w:t>保留原有大型乔木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的基础上</w:t>
      </w:r>
      <w:r>
        <w:rPr>
          <w:rFonts w:ascii="Times New Roman" w:hAnsi="Times New Roman" w:eastAsia="方正仿宋_GBK"/>
          <w:sz w:val="32"/>
        </w:rPr>
        <w:t>，通过适地适树的科学配置，分层搭配四季开花的本土花木，强化“阳光花城”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的</w:t>
      </w:r>
      <w:r>
        <w:rPr>
          <w:rFonts w:ascii="Times New Roman" w:hAnsi="Times New Roman" w:eastAsia="方正仿宋_GBK"/>
          <w:sz w:val="32"/>
        </w:rPr>
        <w:t>花卉主题。</w:t>
      </w:r>
      <w:bookmarkStart w:id="1" w:name="OLE_LINK1"/>
      <w:r>
        <w:rPr>
          <w:rFonts w:hint="eastAsia" w:ascii="Times New Roman" w:hAnsi="Times New Roman" w:eastAsia="方正仿宋_GBK"/>
          <w:sz w:val="32"/>
          <w:lang w:val="en-US" w:eastAsia="zh-CN"/>
        </w:rPr>
        <w:t>灯光亮化方面：商铺应将灯光设计作为店招及店面形象的重要构成要素，灯光设置应整体和谐，且灯光装置须严格限定亮度等级与投射角度，杜绝眩光或强光外溢。</w:t>
      </w:r>
    </w:p>
    <w:bookmarkEnd w:id="1"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662430"/>
            <wp:effectExtent l="0" t="0" r="9525" b="0"/>
            <wp:docPr id="18640678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67829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67325" cy="1662430"/>
            <wp:effectExtent l="0" t="0" r="9525" b="0"/>
            <wp:docPr id="17375985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98592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片区风貌引导</w:t>
      </w:r>
    </w:p>
    <w:p>
      <w:pPr>
        <w:ind w:firstLine="640" w:firstLineChars="200"/>
        <w:jc w:val="left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（四）道路交通组织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重点围绕慢行交通、停车配套、道路管控进行优化提升。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一是完善慢行交通网络，构建外联内达的慢行体系。向北跨金沙江大道增设人行天桥，打通大梯道与御湖花都的慢行通道；炳草岗大街、人民街以红绿灯和创意斑马线，强化过街标识识别度和秩序引导；向南依托现有道路强化动线引导，实现大梯道与攀枝花公园的慢行衔接。</w:t>
      </w:r>
    </w:p>
    <w:p>
      <w:pPr>
        <w:spacing w:line="600" w:lineRule="exact"/>
        <w:ind w:firstLine="640" w:firstLineChars="20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二是增补停车配套，利用新建、改造、共享等方式补充片区停车供给。</w:t>
      </w:r>
    </w:p>
    <w:p>
      <w:pPr>
        <w:spacing w:line="600" w:lineRule="exact"/>
        <w:ind w:firstLine="640" w:firstLineChars="200"/>
        <w:jc w:val="left"/>
        <w:rPr>
          <w:rFonts w:hint="eastAsia"/>
        </w:rPr>
      </w:pPr>
      <w:r>
        <w:rPr>
          <w:rFonts w:hint="eastAsia" w:ascii="Times New Roman" w:hAnsi="Times New Roman" w:eastAsia="方正仿宋_GBK"/>
          <w:sz w:val="32"/>
        </w:rPr>
        <w:t>三是细化活动期间道路管控措施，活动举办期间，对炳草岗大街、人民街实施交通管制，利用街道空间设置路边临时停车，保障人行安全和停车需求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335655"/>
            <wp:effectExtent l="0" t="0" r="9525" b="17145"/>
            <wp:docPr id="9" name="图片 9" descr="大梯道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大梯道_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慢行交通体系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335655"/>
            <wp:effectExtent l="0" t="0" r="9525" b="17145"/>
            <wp:docPr id="10" name="图片 10" descr="大梯道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大梯道_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停车配套及车行交通体系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325" cy="3335655"/>
            <wp:effectExtent l="0" t="0" r="9525" b="17145"/>
            <wp:docPr id="11" name="图片 11" descr="大梯道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梯道_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活动期间道路管控示意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wM2M5MjRhYTFkN2M2ODkyNDk3MWRjMWI4Mzg3YTgifQ=="/>
  </w:docVars>
  <w:rsids>
    <w:rsidRoot w:val="008F27BF"/>
    <w:rsid w:val="000D11D0"/>
    <w:rsid w:val="000F5989"/>
    <w:rsid w:val="001265BB"/>
    <w:rsid w:val="0013334E"/>
    <w:rsid w:val="00157A4A"/>
    <w:rsid w:val="00205F47"/>
    <w:rsid w:val="00237E54"/>
    <w:rsid w:val="002E5D9E"/>
    <w:rsid w:val="003A057B"/>
    <w:rsid w:val="003B0A99"/>
    <w:rsid w:val="003B7D78"/>
    <w:rsid w:val="00461F91"/>
    <w:rsid w:val="00653532"/>
    <w:rsid w:val="00657F39"/>
    <w:rsid w:val="006B0CBC"/>
    <w:rsid w:val="006C32E4"/>
    <w:rsid w:val="00772C24"/>
    <w:rsid w:val="00796FF5"/>
    <w:rsid w:val="007A3C4D"/>
    <w:rsid w:val="00842223"/>
    <w:rsid w:val="00853D6C"/>
    <w:rsid w:val="008911AB"/>
    <w:rsid w:val="008B5667"/>
    <w:rsid w:val="008F27BF"/>
    <w:rsid w:val="009C323E"/>
    <w:rsid w:val="00A3591C"/>
    <w:rsid w:val="00A623AD"/>
    <w:rsid w:val="00AF465C"/>
    <w:rsid w:val="00B05521"/>
    <w:rsid w:val="00B134B5"/>
    <w:rsid w:val="00B766A2"/>
    <w:rsid w:val="00BD1BE1"/>
    <w:rsid w:val="00C64CEF"/>
    <w:rsid w:val="00C655D3"/>
    <w:rsid w:val="00DC07CF"/>
    <w:rsid w:val="00EA7C87"/>
    <w:rsid w:val="00F22127"/>
    <w:rsid w:val="00F96D66"/>
    <w:rsid w:val="046B3792"/>
    <w:rsid w:val="0A0F3741"/>
    <w:rsid w:val="162E0AC3"/>
    <w:rsid w:val="1B797F1F"/>
    <w:rsid w:val="25BD0025"/>
    <w:rsid w:val="2710428A"/>
    <w:rsid w:val="28E64D1E"/>
    <w:rsid w:val="29DB0E25"/>
    <w:rsid w:val="3DC41690"/>
    <w:rsid w:val="42E67EAC"/>
    <w:rsid w:val="4A764A5D"/>
    <w:rsid w:val="4D401408"/>
    <w:rsid w:val="4F953D0F"/>
    <w:rsid w:val="532B0A50"/>
    <w:rsid w:val="54D538DD"/>
    <w:rsid w:val="56BB61BB"/>
    <w:rsid w:val="5BB70B3E"/>
    <w:rsid w:val="5D506D8D"/>
    <w:rsid w:val="5FF26ACB"/>
    <w:rsid w:val="6267561F"/>
    <w:rsid w:val="62B337E3"/>
    <w:rsid w:val="656C203B"/>
    <w:rsid w:val="6A4E27A0"/>
    <w:rsid w:val="6EBB10DE"/>
    <w:rsid w:val="717843AC"/>
    <w:rsid w:val="72D57472"/>
    <w:rsid w:val="78FA5A14"/>
    <w:rsid w:val="7AC1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center"/>
    </w:pPr>
    <w:rPr>
      <w:rFonts w:ascii="仿宋" w:hAnsi="仿宋" w:eastAsia="仿宋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autoRedefine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autoRedefine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autoRedefine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autoRedefine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Subtitle"/>
    <w:basedOn w:val="1"/>
    <w:next w:val="1"/>
    <w:link w:val="27"/>
    <w:autoRedefine/>
    <w:qFormat/>
    <w:uiPriority w:val="11"/>
    <w:pPr>
      <w:spacing w:after="160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autoRedefine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autoRedefine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autoRedefine/>
    <w:qFormat/>
    <w:uiPriority w:val="29"/>
    <w:pPr>
      <w:spacing w:before="160" w:after="160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autoRedefine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autoRedefine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6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autoRedefine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201</Words>
  <Characters>1152</Characters>
  <Lines>9</Lines>
  <Paragraphs>2</Paragraphs>
  <TotalTime>118</TotalTime>
  <ScaleCrop>false</ScaleCrop>
  <LinksUpToDate>false</LinksUpToDate>
  <CharactersWithSpaces>1351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2026-06-26T01:21:00Z</dcterms:created>
  <dc:creator>雷沫</dc:creator>
  <cp:lastModifiedBy>M~</cp:lastModifiedBy>
  <dcterms:modified xsi:type="dcterms:W3CDTF">2026-07-01T10:28:16Z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DD3C5C061D5F417F95F09DAD322E8829_13</vt:lpwstr>
  </property>
  <property fmtid="{D5CDD505-2E9C-101B-9397-08002B2CF9AE}" pid="4" name="KSOTemplateDocerSaveRecord">
    <vt:lpwstr>eyJoZGlkIjoiYTA1NTcyZTRhOGZlODRmZTkwYzY3M2NiMGIwOTI5N2UiLCJ1c2VySWQiOiIyNTE0MjQ4NDIifQ==</vt:lpwstr>
  </property>
</Properties>
</file>