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C9A" w:rsidRDefault="003C4C9A">
      <w:bookmarkStart w:id="0" w:name="_Toc15396475"/>
      <w:bookmarkStart w:id="1" w:name="_Toc15377425"/>
      <w:bookmarkStart w:id="2" w:name="_Toc15378441"/>
      <w:bookmarkStart w:id="3" w:name="_Toc15396597"/>
      <w:bookmarkStart w:id="4" w:name="_Toc15377193"/>
      <w:bookmarkStart w:id="5" w:name="_Toc15306267"/>
    </w:p>
    <w:p w:rsidR="003C4C9A" w:rsidRDefault="003C4C9A">
      <w:pPr>
        <w:pStyle w:val="a0"/>
        <w:spacing w:before="93"/>
        <w:rPr>
          <w:rFonts w:ascii="Times New Roman" w:eastAsia="方正小标宋简体"/>
          <w:kern w:val="2"/>
          <w:sz w:val="72"/>
          <w:szCs w:val="72"/>
        </w:rPr>
      </w:pPr>
    </w:p>
    <w:p w:rsidR="003C4C9A" w:rsidRDefault="003C4C9A">
      <w:pPr>
        <w:pStyle w:val="a0"/>
        <w:spacing w:before="93"/>
        <w:rPr>
          <w:rFonts w:ascii="Times New Roman" w:eastAsia="方正小标宋简体"/>
          <w:kern w:val="2"/>
          <w:sz w:val="72"/>
          <w:szCs w:val="72"/>
        </w:rPr>
      </w:pPr>
    </w:p>
    <w:p w:rsidR="003C4C9A" w:rsidRDefault="003C4C9A">
      <w:pPr>
        <w:pStyle w:val="a0"/>
        <w:spacing w:before="93"/>
        <w:rPr>
          <w:rFonts w:ascii="Times New Roman" w:eastAsia="方正小标宋简体"/>
          <w:kern w:val="2"/>
          <w:sz w:val="72"/>
          <w:szCs w:val="72"/>
        </w:rPr>
      </w:pPr>
    </w:p>
    <w:p w:rsidR="003C4C9A" w:rsidRDefault="00000000">
      <w:pPr>
        <w:pStyle w:val="a0"/>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年度四川省攀枝花市自然资源和规划局西区分局</w:t>
      </w:r>
    </w:p>
    <w:p w:rsidR="003C4C9A" w:rsidRDefault="00000000">
      <w:pPr>
        <w:pStyle w:val="a0"/>
        <w:spacing w:before="93"/>
        <w:jc w:val="center"/>
        <w:rPr>
          <w:rFonts w:ascii="Times New Roman" w:eastAsia="方正小标宋简体"/>
          <w:kern w:val="2"/>
          <w:sz w:val="44"/>
          <w:szCs w:val="44"/>
        </w:rPr>
      </w:pPr>
      <w:r>
        <w:rPr>
          <w:rFonts w:ascii="Times New Roman" w:eastAsia="方正小标宋简体" w:hint="eastAsia"/>
          <w:kern w:val="2"/>
          <w:sz w:val="44"/>
          <w:szCs w:val="44"/>
        </w:rPr>
        <w:t>单位决算公开文字说明</w:t>
      </w: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rPr>
          <w:rFonts w:ascii="Times New Roman"/>
        </w:rPr>
      </w:pPr>
    </w:p>
    <w:p w:rsidR="003C4C9A" w:rsidRDefault="003C4C9A">
      <w:pPr>
        <w:pStyle w:val="a0"/>
        <w:spacing w:before="93"/>
        <w:jc w:val="center"/>
        <w:rPr>
          <w:rFonts w:ascii="Times New Roman" w:eastAsia="方正小标宋简体"/>
          <w:kern w:val="2"/>
          <w:sz w:val="44"/>
          <w:szCs w:val="44"/>
        </w:rPr>
      </w:pPr>
    </w:p>
    <w:p w:rsidR="003C4C9A" w:rsidRDefault="003C4C9A">
      <w:pPr>
        <w:pStyle w:val="a0"/>
        <w:spacing w:before="93"/>
        <w:jc w:val="center"/>
        <w:rPr>
          <w:rFonts w:ascii="Times New Roman" w:eastAsia="方正小标宋简体"/>
          <w:kern w:val="2"/>
          <w:sz w:val="44"/>
          <w:szCs w:val="44"/>
        </w:rPr>
      </w:pPr>
    </w:p>
    <w:p w:rsidR="003C4C9A" w:rsidRDefault="00000000">
      <w:pPr>
        <w:pStyle w:val="a0"/>
        <w:spacing w:before="93"/>
        <w:jc w:val="center"/>
        <w:rPr>
          <w:rFonts w:ascii="Times New Roman" w:eastAsia="方正小标宋简体"/>
          <w:kern w:val="2"/>
          <w:sz w:val="44"/>
          <w:szCs w:val="44"/>
        </w:rPr>
      </w:pPr>
      <w:bookmarkStart w:id="6" w:name="_Toc15396476"/>
      <w:bookmarkStart w:id="7" w:name="_Toc15377426"/>
      <w:bookmarkStart w:id="8" w:name="_Toc15377194"/>
      <w:bookmarkStart w:id="9" w:name="_Toc15396598"/>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Start w:id="12" w:name="_Toc16778"/>
      <w:bookmarkEnd w:id="5"/>
      <w:r>
        <w:rPr>
          <w:rFonts w:ascii="Times New Roman" w:eastAsia="方正小标宋简体" w:hint="eastAsia"/>
          <w:kern w:val="2"/>
          <w:sz w:val="44"/>
          <w:szCs w:val="44"/>
        </w:rPr>
        <w:t>攀枝花市自然资源和规划局西区分局单位决算</w:t>
      </w:r>
      <w:bookmarkEnd w:id="6"/>
      <w:bookmarkEnd w:id="7"/>
      <w:bookmarkEnd w:id="8"/>
      <w:bookmarkEnd w:id="9"/>
      <w:bookmarkEnd w:id="10"/>
      <w:bookmarkEnd w:id="11"/>
      <w:bookmarkEnd w:id="12"/>
    </w:p>
    <w:p w:rsidR="003C4C9A" w:rsidRDefault="00000000">
      <w:pPr>
        <w:widowControl/>
        <w:jc w:val="center"/>
        <w:rPr>
          <w:rFonts w:eastAsia="SimHei"/>
          <w:sz w:val="48"/>
          <w:szCs w:val="48"/>
        </w:rPr>
      </w:pPr>
      <w:r>
        <w:rPr>
          <w:rFonts w:eastAsia="方正小标宋简体"/>
          <w:sz w:val="36"/>
          <w:szCs w:val="36"/>
        </w:rPr>
        <w:br w:type="page"/>
      </w:r>
      <w:bookmarkStart w:id="13" w:name="_Toc15377196"/>
      <w:bookmarkStart w:id="14" w:name="_Toc15396599"/>
      <w:r>
        <w:rPr>
          <w:rFonts w:eastAsia="SimHei" w:hint="eastAsia"/>
          <w:sz w:val="48"/>
          <w:szCs w:val="48"/>
        </w:rPr>
        <w:lastRenderedPageBreak/>
        <w:t>目录</w:t>
      </w:r>
    </w:p>
    <w:p w:rsidR="003C4C9A" w:rsidRDefault="003C4C9A">
      <w:pPr>
        <w:widowControl/>
        <w:jc w:val="center"/>
        <w:rPr>
          <w:rFonts w:eastAsia="SimHei" w:cstheme="minorBidi"/>
          <w:sz w:val="28"/>
          <w:szCs w:val="28"/>
        </w:rPr>
      </w:pPr>
    </w:p>
    <w:p w:rsidR="003C4C9A" w:rsidRDefault="00000000">
      <w:pPr>
        <w:pStyle w:val="TOC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日</w:t>
      </w:r>
    </w:p>
    <w:p w:rsidR="003C4C9A" w:rsidRDefault="003C4C9A"/>
    <w:p w:rsidR="003C4C9A" w:rsidRDefault="00000000">
      <w:pPr>
        <w:pStyle w:val="TOC1"/>
        <w:adjustRightInd w:val="0"/>
        <w:snapToGrid w:val="0"/>
        <w:spacing w:before="0" w:line="560" w:lineRule="exact"/>
        <w:jc w:val="left"/>
        <w:rPr>
          <w:rFonts w:ascii="Times New Roman" w:hAnsi="Times New Roman" w:cs="SimHei"/>
          <w:sz w:val="32"/>
          <w:szCs w:val="32"/>
        </w:rPr>
      </w:pPr>
      <w:r>
        <w:rPr>
          <w:rFonts w:ascii="Times New Roman" w:eastAsia="SimHei" w:hAnsi="Times New Roman" w:cs="SimHei" w:hint="eastAsia"/>
          <w:sz w:val="32"/>
          <w:szCs w:val="32"/>
        </w:rPr>
        <w:t>第一部分</w:t>
      </w:r>
      <w:r>
        <w:rPr>
          <w:rFonts w:ascii="Times New Roman" w:eastAsia="SimHei" w:hAnsi="Times New Roman" w:cs="SimHei" w:hint="eastAsia"/>
          <w:sz w:val="32"/>
          <w:szCs w:val="32"/>
        </w:rPr>
        <w:t xml:space="preserve"> </w:t>
      </w:r>
      <w:r>
        <w:rPr>
          <w:rFonts w:ascii="Times New Roman" w:eastAsia="SimHei" w:hAnsi="Times New Roman" w:cs="SimHei" w:hint="eastAsia"/>
          <w:sz w:val="32"/>
          <w:szCs w:val="32"/>
        </w:rPr>
        <w:t>部门概况</w:t>
      </w:r>
      <w:r>
        <w:rPr>
          <w:rFonts w:ascii="Times New Roman" w:hAnsi="Times New Roman"/>
          <w:sz w:val="24"/>
        </w:rPr>
        <w:tab/>
      </w:r>
      <w:r>
        <w:rPr>
          <w:rFonts w:ascii="Times New Roman" w:hAnsi="Times New Roman" w:hint="eastAsia"/>
          <w:sz w:val="24"/>
        </w:rPr>
        <w:t>1</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一、部门职责</w:t>
      </w:r>
      <w:r>
        <w:rPr>
          <w:sz w:val="24"/>
        </w:rPr>
        <w:tab/>
      </w:r>
      <w:r>
        <w:rPr>
          <w:rFonts w:hint="eastAsia"/>
          <w:sz w:val="24"/>
        </w:rPr>
        <w:t>1</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二、机构设置</w:t>
      </w:r>
      <w:r>
        <w:rPr>
          <w:sz w:val="24"/>
        </w:rPr>
        <w:tab/>
      </w:r>
      <w:r>
        <w:rPr>
          <w:rFonts w:hint="eastAsia"/>
          <w:sz w:val="24"/>
        </w:rPr>
        <w:t>1</w:t>
      </w:r>
    </w:p>
    <w:p w:rsidR="003C4C9A" w:rsidRDefault="00000000">
      <w:pPr>
        <w:pStyle w:val="TOC1"/>
        <w:adjustRightInd w:val="0"/>
        <w:snapToGrid w:val="0"/>
        <w:spacing w:before="0" w:line="560" w:lineRule="exact"/>
        <w:jc w:val="left"/>
        <w:rPr>
          <w:rFonts w:ascii="Times New Roman" w:hAnsi="Times New Roman" w:cs="SimHei"/>
          <w:sz w:val="32"/>
          <w:szCs w:val="32"/>
        </w:rPr>
      </w:pPr>
      <w:r>
        <w:rPr>
          <w:rFonts w:ascii="Times New Roman" w:eastAsia="SimHei" w:hAnsi="Times New Roman" w:cs="SimHei" w:hint="eastAsia"/>
          <w:sz w:val="32"/>
          <w:szCs w:val="32"/>
        </w:rPr>
        <w:t>第二部分</w:t>
      </w:r>
      <w:r>
        <w:rPr>
          <w:rFonts w:ascii="Times New Roman" w:eastAsia="SimHei" w:hAnsi="Times New Roman" w:cs="SimHei" w:hint="eastAsia"/>
          <w:sz w:val="32"/>
          <w:szCs w:val="32"/>
        </w:rPr>
        <w:t xml:space="preserve"> 2024</w:t>
      </w:r>
      <w:r>
        <w:rPr>
          <w:rFonts w:ascii="Times New Roman" w:eastAsia="SimHei" w:hAnsi="Times New Roman" w:cs="SimHei" w:hint="eastAsia"/>
          <w:sz w:val="32"/>
          <w:szCs w:val="32"/>
        </w:rPr>
        <w:t>年度部门决算情况说明</w:t>
      </w:r>
      <w:r>
        <w:rPr>
          <w:rFonts w:ascii="Times New Roman" w:hAnsi="Times New Roman"/>
          <w:sz w:val="24"/>
        </w:rPr>
        <w:tab/>
      </w:r>
      <w:r>
        <w:rPr>
          <w:rFonts w:ascii="Times New Roman" w:hAnsi="Times New Roman" w:hint="eastAsia"/>
          <w:sz w:val="24"/>
        </w:rPr>
        <w:t>2</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一、收入支出决算总体情况说明</w:t>
      </w:r>
      <w:r>
        <w:rPr>
          <w:sz w:val="24"/>
        </w:rPr>
        <w:tab/>
      </w:r>
      <w:r>
        <w:rPr>
          <w:rFonts w:hint="eastAsia"/>
          <w:sz w:val="24"/>
        </w:rPr>
        <w:t>2</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二、收入决算情况说明</w:t>
      </w:r>
      <w:r>
        <w:rPr>
          <w:sz w:val="24"/>
        </w:rPr>
        <w:tab/>
      </w:r>
      <w:r>
        <w:rPr>
          <w:rFonts w:hint="eastAsia"/>
          <w:sz w:val="24"/>
        </w:rPr>
        <w:t>2</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三、支出决算情况说明</w:t>
      </w:r>
      <w:r>
        <w:rPr>
          <w:sz w:val="24"/>
        </w:rPr>
        <w:tab/>
      </w:r>
      <w:r>
        <w:rPr>
          <w:rFonts w:hint="eastAsia"/>
          <w:sz w:val="24"/>
        </w:rPr>
        <w:t>3</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四、财政拨款收入支出决算总体情况说</w:t>
      </w:r>
      <w:r>
        <w:rPr>
          <w:sz w:val="24"/>
        </w:rPr>
        <w:tab/>
      </w:r>
      <w:r>
        <w:rPr>
          <w:rFonts w:hint="eastAsia"/>
          <w:sz w:val="24"/>
        </w:rPr>
        <w:t>4</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五、一般公共预算财政拨款支出决算情况说明</w:t>
      </w:r>
      <w:r>
        <w:rPr>
          <w:sz w:val="24"/>
        </w:rPr>
        <w:tab/>
      </w:r>
      <w:r>
        <w:rPr>
          <w:rFonts w:hint="eastAsia"/>
          <w:sz w:val="24"/>
        </w:rPr>
        <w:t>4</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六、一般公共预算财政拨款基本支出决算情况说明</w:t>
      </w:r>
      <w:r>
        <w:rPr>
          <w:sz w:val="24"/>
        </w:rPr>
        <w:tab/>
      </w:r>
      <w:r>
        <w:rPr>
          <w:rFonts w:hint="eastAsia"/>
          <w:sz w:val="24"/>
        </w:rPr>
        <w:t>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七、财政拨款“三公”经费支出决算情况说明</w:t>
      </w:r>
      <w:r>
        <w:rPr>
          <w:sz w:val="24"/>
        </w:rPr>
        <w:tab/>
      </w:r>
      <w:r>
        <w:rPr>
          <w:rFonts w:hint="eastAsia"/>
          <w:sz w:val="24"/>
        </w:rPr>
        <w:t>8</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八、政府性基金预算支出决算情况说明</w:t>
      </w:r>
      <w:r>
        <w:rPr>
          <w:sz w:val="24"/>
        </w:rPr>
        <w:tab/>
      </w:r>
      <w:r>
        <w:rPr>
          <w:rFonts w:hint="eastAsia"/>
          <w:sz w:val="24"/>
        </w:rPr>
        <w:t>10</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九、国有资本经营预算支出决算情况说明</w:t>
      </w:r>
      <w:r>
        <w:rPr>
          <w:sz w:val="24"/>
        </w:rPr>
        <w:tab/>
      </w:r>
      <w:r>
        <w:rPr>
          <w:rFonts w:hint="eastAsia"/>
          <w:sz w:val="24"/>
        </w:rPr>
        <w:t>10</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十、其他重要事项的情况说明</w:t>
      </w:r>
      <w:r>
        <w:rPr>
          <w:sz w:val="24"/>
        </w:rPr>
        <w:tab/>
      </w:r>
      <w:r>
        <w:rPr>
          <w:rFonts w:hint="eastAsia"/>
          <w:sz w:val="24"/>
        </w:rPr>
        <w:t>10</w:t>
      </w:r>
    </w:p>
    <w:p w:rsidR="003C4C9A" w:rsidRDefault="00000000">
      <w:pPr>
        <w:pStyle w:val="TOC1"/>
        <w:adjustRightInd w:val="0"/>
        <w:snapToGrid w:val="0"/>
        <w:spacing w:before="0" w:line="560" w:lineRule="exact"/>
        <w:jc w:val="left"/>
        <w:rPr>
          <w:rFonts w:ascii="Times New Roman" w:hAnsi="Times New Roman" w:cs="SimHei"/>
          <w:sz w:val="32"/>
          <w:szCs w:val="32"/>
        </w:rPr>
      </w:pPr>
      <w:r>
        <w:rPr>
          <w:rFonts w:ascii="Times New Roman" w:eastAsia="SimHei" w:hAnsi="Times New Roman" w:cs="SimHei" w:hint="eastAsia"/>
          <w:sz w:val="32"/>
          <w:szCs w:val="32"/>
        </w:rPr>
        <w:t>第三部分</w:t>
      </w:r>
      <w:r>
        <w:rPr>
          <w:rFonts w:ascii="Times New Roman" w:eastAsia="SimHei" w:hAnsi="Times New Roman" w:cs="SimHei" w:hint="eastAsia"/>
          <w:sz w:val="32"/>
          <w:szCs w:val="32"/>
        </w:rPr>
        <w:t xml:space="preserve"> </w:t>
      </w:r>
      <w:r>
        <w:rPr>
          <w:rFonts w:ascii="Times New Roman" w:eastAsia="SimHei" w:hAnsi="Times New Roman" w:cs="SimHei" w:hint="eastAsia"/>
          <w:sz w:val="32"/>
          <w:szCs w:val="32"/>
        </w:rPr>
        <w:t>名词解释</w:t>
      </w:r>
      <w:r>
        <w:rPr>
          <w:rFonts w:ascii="Times New Roman" w:hAnsi="Times New Roman"/>
          <w:sz w:val="24"/>
        </w:rPr>
        <w:tab/>
      </w:r>
      <w:r>
        <w:rPr>
          <w:rFonts w:ascii="Times New Roman" w:hAnsi="Times New Roman" w:hint="eastAsia"/>
          <w:sz w:val="24"/>
        </w:rPr>
        <w:t>13</w:t>
      </w:r>
    </w:p>
    <w:p w:rsidR="003C4C9A" w:rsidRDefault="00000000">
      <w:pPr>
        <w:pStyle w:val="TOC1"/>
        <w:adjustRightInd w:val="0"/>
        <w:snapToGrid w:val="0"/>
        <w:spacing w:before="0" w:line="560" w:lineRule="exact"/>
        <w:jc w:val="left"/>
        <w:rPr>
          <w:rFonts w:ascii="Times New Roman" w:hAnsi="Times New Roman" w:cs="SimHei"/>
          <w:sz w:val="32"/>
          <w:szCs w:val="32"/>
        </w:rPr>
      </w:pPr>
      <w:r>
        <w:rPr>
          <w:rFonts w:ascii="Times New Roman" w:eastAsia="SimHei" w:hAnsi="Times New Roman" w:cs="SimHei" w:hint="eastAsia"/>
          <w:sz w:val="32"/>
          <w:szCs w:val="32"/>
        </w:rPr>
        <w:t>第四部分</w:t>
      </w:r>
      <w:r>
        <w:rPr>
          <w:rFonts w:ascii="Times New Roman" w:eastAsia="SimHei" w:hAnsi="Times New Roman" w:cs="SimHei" w:hint="eastAsia"/>
          <w:sz w:val="32"/>
          <w:szCs w:val="32"/>
        </w:rPr>
        <w:t xml:space="preserve"> </w:t>
      </w:r>
      <w:r>
        <w:rPr>
          <w:rFonts w:ascii="Times New Roman" w:eastAsia="SimHei" w:hAnsi="Times New Roman" w:cs="SimHei" w:hint="eastAsia"/>
          <w:sz w:val="32"/>
          <w:szCs w:val="32"/>
        </w:rPr>
        <w:t>附件</w:t>
      </w:r>
      <w:r>
        <w:rPr>
          <w:rFonts w:ascii="Times New Roman" w:hAnsi="Times New Roman"/>
          <w:sz w:val="24"/>
        </w:rPr>
        <w:tab/>
      </w:r>
      <w:r>
        <w:rPr>
          <w:rFonts w:ascii="Times New Roman" w:hAnsi="Times New Roman" w:hint="eastAsia"/>
          <w:sz w:val="24"/>
        </w:rPr>
        <w:t>16</w:t>
      </w:r>
    </w:p>
    <w:p w:rsidR="003C4C9A" w:rsidRDefault="00000000">
      <w:pPr>
        <w:pStyle w:val="TOC1"/>
        <w:adjustRightInd w:val="0"/>
        <w:snapToGrid w:val="0"/>
        <w:spacing w:before="0" w:line="560" w:lineRule="exact"/>
        <w:jc w:val="left"/>
        <w:rPr>
          <w:rFonts w:ascii="Times New Roman" w:hAnsi="Times New Roman" w:cs="SimHei"/>
          <w:sz w:val="32"/>
          <w:szCs w:val="32"/>
        </w:rPr>
      </w:pPr>
      <w:r>
        <w:rPr>
          <w:rFonts w:ascii="Times New Roman" w:eastAsia="SimHei" w:hAnsi="Times New Roman" w:cs="SimHei" w:hint="eastAsia"/>
          <w:sz w:val="32"/>
          <w:szCs w:val="32"/>
        </w:rPr>
        <w:t>第五部分</w:t>
      </w:r>
      <w:r>
        <w:rPr>
          <w:rFonts w:ascii="Times New Roman" w:eastAsia="SimHei" w:hAnsi="Times New Roman" w:cs="SimHei" w:hint="eastAsia"/>
          <w:sz w:val="32"/>
          <w:szCs w:val="32"/>
        </w:rPr>
        <w:t xml:space="preserve"> </w:t>
      </w:r>
      <w:r>
        <w:rPr>
          <w:rFonts w:ascii="Times New Roman" w:eastAsia="SimHei" w:hAnsi="Times New Roman" w:cs="SimHei" w:hint="eastAsia"/>
          <w:sz w:val="32"/>
          <w:szCs w:val="32"/>
        </w:rPr>
        <w:t>附表</w:t>
      </w:r>
      <w:r>
        <w:rPr>
          <w:rFonts w:ascii="Times New Roman" w:hAnsi="Times New Roman"/>
          <w:sz w:val="24"/>
        </w:rPr>
        <w:tab/>
      </w:r>
      <w:r>
        <w:rPr>
          <w:rFonts w:ascii="Times New Roman" w:hAnsi="Times New Roman"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一、收入支出决算总表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二、收入决算表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三、支出决算表</w:t>
      </w:r>
      <w:r>
        <w:rPr>
          <w:sz w:val="24"/>
        </w:rPr>
        <w:tab/>
      </w:r>
      <w:r>
        <w:rPr>
          <w:rFonts w:hint="eastAsia"/>
          <w:sz w:val="24"/>
        </w:rPr>
        <w:t>17</w:t>
      </w:r>
    </w:p>
    <w:p w:rsidR="003C4C9A" w:rsidRDefault="003C4C9A">
      <w:pPr>
        <w:pStyle w:val="TOC2"/>
        <w:adjustRightInd w:val="0"/>
        <w:snapToGrid w:val="0"/>
        <w:spacing w:line="560" w:lineRule="exact"/>
        <w:ind w:leftChars="0" w:left="0" w:firstLineChars="200" w:firstLine="640"/>
        <w:jc w:val="left"/>
        <w:rPr>
          <w:rFonts w:eastAsia="仿宋_GB2312" w:cs="仿宋_GB2312"/>
          <w:sz w:val="32"/>
          <w:szCs w:val="32"/>
        </w:rPr>
        <w:sectPr w:rsidR="003C4C9A">
          <w:footerReference w:type="default" r:id="rId8"/>
          <w:pgSz w:w="11906" w:h="16838"/>
          <w:pgMar w:top="1440" w:right="1800" w:bottom="1440" w:left="1800" w:header="851" w:footer="992" w:gutter="0"/>
          <w:pgNumType w:fmt="numberInDash" w:start="1"/>
          <w:cols w:space="425"/>
          <w:docGrid w:type="lines" w:linePitch="312"/>
        </w:sectPr>
      </w:pP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lastRenderedPageBreak/>
        <w:t>四、财政拨款收入支出决算总表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五、财政拨款支出决算明细表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六、一般公共预算财政拨款支出决算表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七、一般公共预算财政拨款支出决算明细表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八、一般公共预算财政拨款基本支出决算明细表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九、一般公共预算财政拨款项目支出决算表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十、政府性基金预算财政拨款收入支出决算表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十一、国有资本经营预算财政拨款收入支出决算表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十二、国有资本经营预算财政拨款支出决算表</w:t>
      </w:r>
      <w:r>
        <w:rPr>
          <w:sz w:val="24"/>
        </w:rPr>
        <w:tab/>
      </w:r>
      <w:r>
        <w:rPr>
          <w:rFonts w:hint="eastAsia"/>
          <w:sz w:val="24"/>
        </w:rPr>
        <w:t>17</w:t>
      </w:r>
    </w:p>
    <w:p w:rsidR="003C4C9A" w:rsidRDefault="00000000">
      <w:pPr>
        <w:pStyle w:val="TOC2"/>
        <w:adjustRightInd w:val="0"/>
        <w:snapToGrid w:val="0"/>
        <w:spacing w:line="560" w:lineRule="exact"/>
        <w:ind w:leftChars="0" w:left="0" w:firstLineChars="200" w:firstLine="640"/>
        <w:jc w:val="left"/>
        <w:rPr>
          <w:rFonts w:cs="仿宋_GB2312"/>
          <w:sz w:val="32"/>
          <w:szCs w:val="32"/>
        </w:rPr>
      </w:pPr>
      <w:r>
        <w:rPr>
          <w:rFonts w:eastAsia="仿宋_GB2312" w:cs="仿宋_GB2312" w:hint="eastAsia"/>
          <w:sz w:val="32"/>
          <w:szCs w:val="32"/>
        </w:rPr>
        <w:t>十三、财政拨款“三公”经费支出决算表</w:t>
      </w:r>
      <w:r>
        <w:rPr>
          <w:sz w:val="24"/>
        </w:rPr>
        <w:tab/>
      </w:r>
      <w:r>
        <w:rPr>
          <w:rFonts w:hint="eastAsia"/>
          <w:sz w:val="24"/>
        </w:rPr>
        <w:t>17</w:t>
      </w:r>
    </w:p>
    <w:p w:rsidR="003C4C9A" w:rsidRDefault="003C4C9A">
      <w:pPr>
        <w:widowControl/>
        <w:spacing w:line="560" w:lineRule="exact"/>
        <w:jc w:val="left"/>
        <w:rPr>
          <w:rFonts w:eastAsia="仿宋_GB2312" w:cs="仿宋_GB2312"/>
          <w:bCs/>
          <w:kern w:val="44"/>
          <w:sz w:val="32"/>
          <w:szCs w:val="32"/>
        </w:rPr>
      </w:pPr>
    </w:p>
    <w:p w:rsidR="003C4C9A" w:rsidRDefault="003C4C9A">
      <w:pPr>
        <w:pStyle w:val="1"/>
        <w:jc w:val="center"/>
        <w:rPr>
          <w:rFonts w:eastAsia="方正小标宋简体" w:cs="方正小标宋简体"/>
          <w:b w:val="0"/>
        </w:rPr>
      </w:pPr>
    </w:p>
    <w:p w:rsidR="003C4C9A" w:rsidRDefault="003C4C9A">
      <w:pPr>
        <w:rPr>
          <w:rFonts w:eastAsia="方正小标宋简体" w:cs="方正小标宋简体"/>
        </w:rPr>
      </w:pPr>
    </w:p>
    <w:p w:rsidR="003C4C9A" w:rsidRDefault="003C4C9A">
      <w:pPr>
        <w:pStyle w:val="a0"/>
        <w:spacing w:before="93"/>
      </w:pPr>
    </w:p>
    <w:p w:rsidR="003C4C9A" w:rsidRDefault="003C4C9A">
      <w:pPr>
        <w:pStyle w:val="1"/>
        <w:jc w:val="center"/>
        <w:rPr>
          <w:rFonts w:eastAsia="方正小标宋简体" w:cs="方正小标宋简体"/>
          <w:b w:val="0"/>
        </w:rPr>
      </w:pPr>
    </w:p>
    <w:p w:rsidR="003C4C9A" w:rsidRDefault="003C4C9A">
      <w:pPr>
        <w:rPr>
          <w:rFonts w:eastAsia="方正小标宋简体" w:cs="方正小标宋简体"/>
        </w:rPr>
      </w:pPr>
    </w:p>
    <w:p w:rsidR="003C4C9A" w:rsidRDefault="003C4C9A">
      <w:pPr>
        <w:pStyle w:val="a0"/>
        <w:spacing w:before="93"/>
      </w:pPr>
    </w:p>
    <w:p w:rsidR="003C4C9A" w:rsidRDefault="003C4C9A">
      <w:pPr>
        <w:pStyle w:val="1"/>
        <w:jc w:val="center"/>
        <w:rPr>
          <w:rFonts w:eastAsia="方正小标宋简体" w:cs="方正小标宋简体"/>
          <w:b w:val="0"/>
        </w:rPr>
      </w:pPr>
    </w:p>
    <w:p w:rsidR="003C4C9A" w:rsidRDefault="00000000">
      <w:pPr>
        <w:pStyle w:val="1"/>
        <w:jc w:val="center"/>
        <w:rPr>
          <w:rStyle w:val="10"/>
          <w:rFonts w:eastAsia="方正小标宋简体" w:cs="方正小标宋简体"/>
          <w:b/>
        </w:rPr>
      </w:pPr>
      <w:r>
        <w:rPr>
          <w:rFonts w:eastAsia="方正小标宋简体" w:cs="方正小标宋简体" w:hint="eastAsia"/>
          <w:b w:val="0"/>
        </w:rPr>
        <w:t>第一部分</w:t>
      </w:r>
      <w:r>
        <w:rPr>
          <w:rFonts w:eastAsia="方正小标宋简体" w:cs="方正小标宋简体" w:hint="eastAsia"/>
          <w:b w:val="0"/>
        </w:rPr>
        <w:t xml:space="preserve">  </w:t>
      </w:r>
      <w:r>
        <w:rPr>
          <w:rStyle w:val="10"/>
          <w:rFonts w:eastAsia="方正小标宋简体" w:cs="方正小标宋简体" w:hint="eastAsia"/>
        </w:rPr>
        <w:t>部门概况</w:t>
      </w:r>
      <w:bookmarkEnd w:id="13"/>
      <w:bookmarkEnd w:id="14"/>
    </w:p>
    <w:p w:rsidR="003C4C9A" w:rsidRDefault="003C4C9A">
      <w:pPr>
        <w:widowControl/>
        <w:jc w:val="left"/>
        <w:rPr>
          <w:rFonts w:eastAsia="SimHei"/>
          <w:sz w:val="32"/>
          <w:szCs w:val="32"/>
        </w:rPr>
      </w:pPr>
    </w:p>
    <w:p w:rsidR="003C4C9A" w:rsidRDefault="00000000">
      <w:pPr>
        <w:pStyle w:val="2"/>
        <w:numPr>
          <w:ilvl w:val="0"/>
          <w:numId w:val="1"/>
        </w:numPr>
        <w:rPr>
          <w:rFonts w:ascii="Times New Roman" w:eastAsia="SimHei" w:hAnsi="Times New Roman"/>
          <w:b w:val="0"/>
        </w:rPr>
      </w:pPr>
      <w:r>
        <w:rPr>
          <w:rFonts w:ascii="Times New Roman" w:eastAsia="SimHei" w:hAnsi="Times New Roman" w:hint="eastAsia"/>
          <w:b w:val="0"/>
        </w:rPr>
        <w:t>部门职责</w:t>
      </w:r>
    </w:p>
    <w:p w:rsidR="003C4C9A" w:rsidRDefault="00000000">
      <w:pPr>
        <w:ind w:firstLineChars="200" w:firstLine="420"/>
      </w:pPr>
      <w:r>
        <w:rPr>
          <w:rFonts w:hint="eastAsia"/>
        </w:rPr>
        <w:t xml:space="preserve">  </w:t>
      </w:r>
      <w:r>
        <w:rPr>
          <w:rFonts w:ascii="仿宋_GB2312" w:eastAsia="仿宋_GB2312" w:hAnsi="FangSong" w:hint="eastAsia"/>
          <w:sz w:val="32"/>
          <w:szCs w:val="32"/>
        </w:rPr>
        <w:t>负责所在行政区域内的自然资源行政管理和规划实施管理工作，具体为</w:t>
      </w:r>
      <w:r>
        <w:rPr>
          <w:rFonts w:eastAsia="仿宋_GB2312"/>
          <w:sz w:val="32"/>
          <w:szCs w:val="32"/>
        </w:rPr>
        <w:t>组织开展国土资源法制宣传教育</w:t>
      </w:r>
      <w:r>
        <w:rPr>
          <w:rFonts w:eastAsia="仿宋_GB2312" w:hint="eastAsia"/>
          <w:sz w:val="32"/>
          <w:szCs w:val="32"/>
        </w:rPr>
        <w:t>；</w:t>
      </w:r>
      <w:r>
        <w:rPr>
          <w:rFonts w:eastAsia="仿宋_GB2312"/>
          <w:sz w:val="32"/>
          <w:szCs w:val="32"/>
        </w:rPr>
        <w:t>负责辖区内矿产资源管理、地质环境保护、地质灾害防治与监管工作</w:t>
      </w:r>
      <w:r>
        <w:rPr>
          <w:rFonts w:eastAsia="仿宋_GB2312" w:hint="eastAsia"/>
          <w:sz w:val="32"/>
          <w:szCs w:val="32"/>
        </w:rPr>
        <w:t>，</w:t>
      </w:r>
      <w:r>
        <w:rPr>
          <w:rFonts w:eastAsia="仿宋_GB2312"/>
          <w:sz w:val="32"/>
          <w:szCs w:val="32"/>
        </w:rPr>
        <w:t>负责权限内采矿权审批登记、发证工作</w:t>
      </w:r>
      <w:r>
        <w:rPr>
          <w:rFonts w:eastAsia="仿宋_GB2312" w:hint="eastAsia"/>
          <w:sz w:val="32"/>
          <w:szCs w:val="32"/>
        </w:rPr>
        <w:t>；</w:t>
      </w:r>
      <w:r>
        <w:rPr>
          <w:rFonts w:eastAsia="仿宋_GB2312"/>
          <w:sz w:val="32"/>
          <w:szCs w:val="32"/>
        </w:rPr>
        <w:t>承担辖区内耕地保护的责任，拟定并组织实施耕地保护、基本农田保护政策，监督占用耕地补偿制度执行情况；受市局委托负责辖区内村民宅基地审批、临时用地审核和农村集体土地所有权、集体建设用地使用权的登记发证。指导辖区内土地征收、土地储备工作</w:t>
      </w:r>
      <w:r>
        <w:rPr>
          <w:rFonts w:eastAsia="仿宋_GB2312" w:hint="eastAsia"/>
          <w:sz w:val="32"/>
          <w:szCs w:val="32"/>
        </w:rPr>
        <w:t>等工作及</w:t>
      </w:r>
      <w:r>
        <w:rPr>
          <w:rFonts w:ascii="仿宋_GB2312" w:eastAsia="仿宋_GB2312" w:hAnsi="FangSong" w:hint="eastAsia"/>
          <w:sz w:val="32"/>
          <w:szCs w:val="32"/>
        </w:rPr>
        <w:t>完成市自然资源和规划局交办的其他任务。</w:t>
      </w:r>
    </w:p>
    <w:p w:rsidR="003C4C9A" w:rsidRDefault="00000000">
      <w:pPr>
        <w:pStyle w:val="2"/>
        <w:rPr>
          <w:rStyle w:val="20"/>
          <w:rFonts w:ascii="Times New Roman" w:hAnsi="Times New Roman"/>
        </w:rPr>
      </w:pPr>
      <w:bookmarkStart w:id="15" w:name="_Toc15396601"/>
      <w:bookmarkStart w:id="16" w:name="_Toc15377200"/>
      <w:r>
        <w:rPr>
          <w:rFonts w:ascii="Times New Roman" w:eastAsia="SimHei" w:hAnsi="Times New Roman" w:hint="eastAsia"/>
          <w:b w:val="0"/>
        </w:rPr>
        <w:t>二、机</w:t>
      </w:r>
      <w:r>
        <w:rPr>
          <w:rStyle w:val="20"/>
          <w:rFonts w:ascii="Times New Roman" w:eastAsia="SimHei" w:hAnsi="Times New Roman" w:hint="eastAsia"/>
        </w:rPr>
        <w:t>构设置</w:t>
      </w:r>
      <w:bookmarkEnd w:id="15"/>
      <w:bookmarkEnd w:id="16"/>
    </w:p>
    <w:p w:rsidR="003C4C9A" w:rsidRDefault="00000000">
      <w:pPr>
        <w:ind w:firstLineChars="200" w:firstLine="640"/>
        <w:rPr>
          <w:rFonts w:eastAsia="仿宋_GB2312"/>
          <w:sz w:val="32"/>
          <w:szCs w:val="32"/>
        </w:rPr>
      </w:pPr>
      <w:r>
        <w:rPr>
          <w:rFonts w:ascii="仿宋_GB2312" w:eastAsia="仿宋_GB2312" w:hAnsi="仿宋_GB2312" w:cs="仿宋_GB2312" w:hint="eastAsia"/>
          <w:sz w:val="32"/>
          <w:szCs w:val="32"/>
        </w:rPr>
        <w:t>四川省攀枝花市自然资源和规划局西区分局</w:t>
      </w:r>
      <w:r>
        <w:rPr>
          <w:rFonts w:eastAsia="仿宋_GB2312" w:hint="eastAsia"/>
          <w:sz w:val="32"/>
          <w:szCs w:val="32"/>
        </w:rPr>
        <w:t>内设土管股、矿管股、规划股、土地利用股及办公室</w:t>
      </w:r>
      <w:r>
        <w:rPr>
          <w:rFonts w:eastAsia="仿宋_GB2312" w:hint="eastAsia"/>
          <w:sz w:val="32"/>
          <w:szCs w:val="32"/>
        </w:rPr>
        <w:t>5</w:t>
      </w:r>
      <w:r>
        <w:rPr>
          <w:rFonts w:eastAsia="仿宋_GB2312" w:hint="eastAsia"/>
          <w:sz w:val="32"/>
          <w:szCs w:val="32"/>
        </w:rPr>
        <w:t>个股室；代市自然资源和规划局管理攀枝花市格里坪自然资源所和自然资源综合执法大队。</w:t>
      </w:r>
    </w:p>
    <w:p w:rsidR="003C4C9A" w:rsidRDefault="00000000">
      <w:pPr>
        <w:pStyle w:val="1"/>
        <w:jc w:val="center"/>
        <w:rPr>
          <w:rFonts w:eastAsia="方正小标宋简体" w:cs="方正小标宋简体"/>
          <w:b w:val="0"/>
        </w:rPr>
      </w:pPr>
      <w:bookmarkStart w:id="17" w:name="_Toc15396602"/>
      <w:bookmarkStart w:id="18" w:name="_Toc15377204"/>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7"/>
      <w:bookmarkEnd w:id="18"/>
    </w:p>
    <w:p w:rsidR="003C4C9A" w:rsidRDefault="003C4C9A"/>
    <w:p w:rsidR="003C4C9A" w:rsidRDefault="00000000">
      <w:pPr>
        <w:pStyle w:val="af"/>
        <w:spacing w:line="600" w:lineRule="exact"/>
        <w:ind w:firstLine="640"/>
        <w:outlineLvl w:val="1"/>
        <w:rPr>
          <w:rStyle w:val="20"/>
          <w:rFonts w:ascii="Times New Roman" w:eastAsia="SimHei" w:hAnsi="Times New Roman"/>
          <w:b w:val="0"/>
        </w:rPr>
      </w:pPr>
      <w:bookmarkStart w:id="19" w:name="_Toc15396603"/>
      <w:bookmarkStart w:id="20" w:name="_Toc15377205"/>
      <w:r>
        <w:rPr>
          <w:rFonts w:eastAsia="SimHei" w:hint="eastAsia"/>
          <w:sz w:val="32"/>
          <w:szCs w:val="32"/>
        </w:rPr>
        <w:t>一、收</w:t>
      </w:r>
      <w:r>
        <w:rPr>
          <w:rStyle w:val="20"/>
          <w:rFonts w:ascii="Times New Roman" w:eastAsia="SimHei" w:hAnsi="Times New Roman" w:hint="eastAsia"/>
          <w:b w:val="0"/>
        </w:rPr>
        <w:t>入支出决算总体情况说明</w:t>
      </w:r>
      <w:bookmarkEnd w:id="19"/>
      <w:bookmarkEnd w:id="20"/>
    </w:p>
    <w:p w:rsidR="003C4C9A" w:rsidRDefault="00000000">
      <w:pPr>
        <w:pStyle w:val="af"/>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1854.38</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Pr>
          <w:rFonts w:eastAsia="仿宋_GB2312" w:cs="仿宋_GB2312" w:hint="eastAsia"/>
          <w:sz w:val="32"/>
          <w:szCs w:val="32"/>
        </w:rPr>
        <w:t>1289.26</w:t>
      </w:r>
      <w:r>
        <w:rPr>
          <w:rFonts w:eastAsia="仿宋_GB2312" w:cs="仿宋_GB2312" w:hint="eastAsia"/>
          <w:sz w:val="32"/>
          <w:szCs w:val="32"/>
        </w:rPr>
        <w:t>万元，增长</w:t>
      </w:r>
      <w:r>
        <w:rPr>
          <w:rFonts w:eastAsia="仿宋_GB2312" w:cs="仿宋_GB2312" w:hint="eastAsia"/>
          <w:sz w:val="32"/>
          <w:szCs w:val="32"/>
        </w:rPr>
        <w:t>228.14%</w:t>
      </w:r>
      <w:r>
        <w:rPr>
          <w:rFonts w:eastAsia="仿宋_GB2312" w:cs="仿宋_GB2312" w:hint="eastAsia"/>
          <w:sz w:val="32"/>
          <w:szCs w:val="32"/>
        </w:rPr>
        <w:t>。主要变动原因是</w:t>
      </w:r>
      <w:r>
        <w:rPr>
          <w:rFonts w:eastAsia="仿宋_GB2312" w:cs="仿宋_GB2312" w:hint="eastAsia"/>
          <w:sz w:val="32"/>
          <w:szCs w:val="32"/>
        </w:rPr>
        <w:t>2024</w:t>
      </w:r>
      <w:r>
        <w:rPr>
          <w:rFonts w:eastAsia="仿宋_GB2312" w:cs="仿宋_GB2312" w:hint="eastAsia"/>
          <w:sz w:val="32"/>
          <w:szCs w:val="32"/>
        </w:rPr>
        <w:t>年在节能环保、城乡社区、灾害防治及应急管理方面支出较</w:t>
      </w:r>
      <w:r>
        <w:rPr>
          <w:rFonts w:eastAsia="仿宋_GB2312" w:cs="仿宋_GB2312" w:hint="eastAsia"/>
          <w:sz w:val="32"/>
          <w:szCs w:val="32"/>
        </w:rPr>
        <w:t>2023</w:t>
      </w:r>
      <w:r>
        <w:rPr>
          <w:rFonts w:eastAsia="仿宋_GB2312" w:cs="仿宋_GB2312" w:hint="eastAsia"/>
          <w:sz w:val="32"/>
          <w:szCs w:val="32"/>
        </w:rPr>
        <w:t>年大幅上涨。</w:t>
      </w:r>
    </w:p>
    <w:p w:rsidR="003C4C9A" w:rsidRDefault="00000000">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w:t>
      </w:r>
      <w:r>
        <w:rPr>
          <w:rFonts w:ascii="仿宋_GB2312" w:eastAsia="仿宋_GB2312"/>
          <w:sz w:val="32"/>
          <w:szCs w:val="32"/>
        </w:rPr>
        <w:object w:dxaOrig="1440" w:dyaOrig="1440" w14:anchorId="7CCCF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7" type="#_x0000_t75" style="position:absolute;left:0;text-align:left;margin-left:14.05pt;margin-top:.9pt;width:401.9pt;height:206.45pt;z-index:-251656192;mso-wrap-distance-left:9pt;mso-wrap-distance-right:9pt;mso-position-horizontal-relative:text;mso-position-vertical-relative:text;mso-width-relative:page;mso-height-relative:page" wrapcoords="21592 -2 0 0 0 21600 21592 21602 8 21602 21600 21600 21600 0 8 -2 21592 -2" filled="t" stroked="t" strokeweight="0">
            <v:imagedata r:id="rId9" o:title=""/>
            <w10:wrap type="tight"/>
          </v:shape>
          <o:OLEObject Type="Embed" ProgID="Excel.Chart.8" ShapeID="Object 2" DrawAspect="Content" ObjectID="_1820733925" r:id="rId10"/>
        </w:object>
      </w:r>
      <w:r>
        <w:rPr>
          <w:rFonts w:eastAsia="仿宋_GB2312" w:cs="仿宋_GB2312" w:hint="eastAsia"/>
          <w:sz w:val="32"/>
          <w:szCs w:val="32"/>
        </w:rPr>
        <w:t xml:space="preserve"> </w:t>
      </w:r>
    </w:p>
    <w:p w:rsidR="003C4C9A" w:rsidRDefault="00000000">
      <w:pPr>
        <w:pStyle w:val="af"/>
        <w:spacing w:line="600" w:lineRule="exact"/>
        <w:ind w:firstLine="640"/>
        <w:outlineLvl w:val="1"/>
        <w:rPr>
          <w:rFonts w:eastAsia="SimHei"/>
          <w:sz w:val="32"/>
          <w:szCs w:val="32"/>
        </w:rPr>
      </w:pPr>
      <w:bookmarkStart w:id="21" w:name="_Toc15396604"/>
      <w:bookmarkStart w:id="22" w:name="_Toc15377206"/>
      <w:r>
        <w:rPr>
          <w:rFonts w:eastAsia="SimHei" w:hint="eastAsia"/>
          <w:sz w:val="32"/>
          <w:szCs w:val="32"/>
        </w:rPr>
        <w:t>二、收入决算情况说明</w:t>
      </w:r>
      <w:bookmarkEnd w:id="21"/>
      <w:bookmarkEnd w:id="22"/>
    </w:p>
    <w:p w:rsidR="003C4C9A" w:rsidRDefault="00000000">
      <w:pPr>
        <w:pStyle w:val="af"/>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1854.38万元，其中：一般公共预算财政拨款收入346.97万元，占18.71%；政府性基金预算财政拨款收入183.4万元，占9.88%%；国有资本经营预算财政拨款收入0万元，占0%；上级补助收入0万元，占0%；事业收入0万元，占0%；经营收入0万元，占0%；附属单位上缴收入0万元，占0%；其他收入1324.01万元，占71.39%。</w:t>
      </w:r>
    </w:p>
    <w:p w:rsidR="003C4C9A" w:rsidRDefault="00000000">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w:t>
      </w:r>
      <w:r>
        <w:rPr>
          <w:rFonts w:eastAsia="仿宋_GB2312" w:cs="仿宋_GB2312" w:hint="eastAsia"/>
          <w:sz w:val="32"/>
          <w:szCs w:val="32"/>
        </w:rPr>
        <w:t xml:space="preserve"> </w:t>
      </w:r>
    </w:p>
    <w:p w:rsidR="003C4C9A" w:rsidRDefault="00000000">
      <w:pPr>
        <w:rPr>
          <w:rFonts w:eastAsia="仿宋_GB2312" w:cs="仿宋_GB2312"/>
          <w:sz w:val="32"/>
          <w:szCs w:val="32"/>
        </w:rPr>
      </w:pPr>
      <w:r>
        <w:rPr>
          <w:rFonts w:ascii="仿宋_GB2312" w:eastAsia="仿宋_GB2312" w:hint="eastAsia"/>
          <w:sz w:val="32"/>
          <w:szCs w:val="32"/>
        </w:rPr>
        <w:object w:dxaOrig="9273" w:dyaOrig="4326">
          <v:shape id="_x0000_i1026" type="#_x0000_t75" style="width:463.65pt;height:216.3pt" o:ole="">
            <v:imagedata r:id="rId11" o:title=""/>
          </v:shape>
          <o:OLEObject Type="Embed" ProgID="Excel.Chart.8" ShapeID="_x0000_i1026" DrawAspect="Content" ObjectID="_1820733921" r:id="rId12"/>
        </w:object>
      </w:r>
    </w:p>
    <w:p w:rsidR="003C4C9A" w:rsidRDefault="00000000">
      <w:pPr>
        <w:pStyle w:val="af"/>
        <w:spacing w:line="600" w:lineRule="exact"/>
        <w:ind w:firstLine="640"/>
        <w:outlineLvl w:val="1"/>
        <w:rPr>
          <w:rStyle w:val="20"/>
          <w:rFonts w:ascii="Times New Roman" w:eastAsia="SimHei" w:hAnsi="Times New Roman"/>
          <w:b w:val="0"/>
        </w:rPr>
      </w:pPr>
      <w:bookmarkStart w:id="23" w:name="_Toc15377207"/>
      <w:bookmarkStart w:id="24" w:name="_Toc15396605"/>
      <w:r>
        <w:rPr>
          <w:rFonts w:eastAsia="SimHei" w:hint="eastAsia"/>
          <w:sz w:val="32"/>
          <w:szCs w:val="32"/>
        </w:rPr>
        <w:t>三、支</w:t>
      </w:r>
      <w:r>
        <w:rPr>
          <w:rStyle w:val="20"/>
          <w:rFonts w:ascii="Times New Roman" w:eastAsia="SimHei" w:hAnsi="Times New Roman" w:hint="eastAsia"/>
          <w:b w:val="0"/>
        </w:rPr>
        <w:t>出决算情况说明</w:t>
      </w:r>
      <w:bookmarkEnd w:id="23"/>
      <w:bookmarkEnd w:id="24"/>
    </w:p>
    <w:p w:rsidR="003C4C9A" w:rsidRDefault="00000000">
      <w:pPr>
        <w:pStyle w:val="af"/>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2024年度本年支出合计1854.38万元，其中：基本支出124.16万元，占6.69%；项目支出1730.22万元，占93.3%；上缴上级支出0万元，占0%；经营支出0万元，占0%；对附属单位补助支出0万元，占0%%。</w:t>
      </w:r>
    </w:p>
    <w:p w:rsidR="003C4C9A" w:rsidRDefault="00000000">
      <w:pPr>
        <w:ind w:firstLineChars="250" w:firstLine="800"/>
        <w:rPr>
          <w:rFonts w:eastAsia="仿宋_GB2312" w:cs="仿宋_GB2312"/>
          <w:sz w:val="32"/>
          <w:szCs w:val="32"/>
        </w:rPr>
      </w:pPr>
      <w:r>
        <w:rPr>
          <w:rFonts w:eastAsia="仿宋_GB2312"/>
          <w:sz w:val="32"/>
          <w:szCs w:val="32"/>
        </w:rPr>
        <w:object w:dxaOrig="1440" w:dyaOrig="1440">
          <v:shape id="Object 4" o:spid="_x0000_s1028" type="#_x0000_t75" style="position:absolute;left:0;text-align:left;margin-left:3.75pt;margin-top:35.5pt;width:411.2pt;height:210.3pt;z-index:251661312;mso-wrap-distance-left:9pt;mso-wrap-distance-top:0;mso-wrap-distance-right:9pt;mso-wrap-distance-bottom:0;mso-width-relative:page;mso-height-relative:page" stroked="t">
            <v:imagedata r:id="rId13" o:title=""/>
            <w10:wrap type="square"/>
          </v:shape>
          <o:OLEObject Type="Embed" ProgID="Excel.Chart.8" ShapeID="Object 4" DrawAspect="Content" ObjectID="_1820733926" r:id="rId14"/>
        </w:object>
      </w: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w:t>
      </w:r>
      <w:r>
        <w:rPr>
          <w:rFonts w:eastAsia="仿宋_GB2312" w:cs="仿宋_GB2312" w:hint="eastAsia"/>
          <w:sz w:val="32"/>
          <w:szCs w:val="32"/>
        </w:rPr>
        <w:t xml:space="preserve"> </w:t>
      </w:r>
    </w:p>
    <w:p w:rsidR="003C4C9A" w:rsidRDefault="00000000">
      <w:pPr>
        <w:spacing w:line="600" w:lineRule="exact"/>
        <w:ind w:firstLineChars="200" w:firstLine="640"/>
        <w:outlineLvl w:val="1"/>
        <w:rPr>
          <w:rStyle w:val="20"/>
          <w:rFonts w:ascii="Times New Roman" w:eastAsia="SimHei" w:hAnsi="Times New Roman"/>
          <w:b w:val="0"/>
        </w:rPr>
      </w:pPr>
      <w:bookmarkStart w:id="25" w:name="_Toc15396606"/>
      <w:bookmarkStart w:id="26" w:name="_Toc15377208"/>
      <w:r>
        <w:rPr>
          <w:rFonts w:eastAsia="SimHei" w:hint="eastAsia"/>
          <w:sz w:val="32"/>
          <w:szCs w:val="32"/>
        </w:rPr>
        <w:t>四、财</w:t>
      </w:r>
      <w:r>
        <w:rPr>
          <w:rStyle w:val="20"/>
          <w:rFonts w:ascii="Times New Roman" w:eastAsia="SimHei" w:hAnsi="Times New Roman" w:hint="eastAsia"/>
          <w:b w:val="0"/>
        </w:rPr>
        <w:t>政拨款收入支出决算总体情况说明</w:t>
      </w:r>
      <w:bookmarkEnd w:id="25"/>
      <w:bookmarkEnd w:id="26"/>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lastRenderedPageBreak/>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530.37</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358.64</w:t>
      </w:r>
      <w:r>
        <w:rPr>
          <w:rFonts w:eastAsia="仿宋_GB2312" w:cs="仿宋_GB2312" w:hint="eastAsia"/>
          <w:sz w:val="32"/>
          <w:szCs w:val="32"/>
        </w:rPr>
        <w:t>万元，增长</w:t>
      </w:r>
      <w:r>
        <w:rPr>
          <w:rFonts w:eastAsia="仿宋_GB2312" w:cs="仿宋_GB2312" w:hint="eastAsia"/>
          <w:sz w:val="32"/>
          <w:szCs w:val="32"/>
        </w:rPr>
        <w:t>208.84%</w:t>
      </w:r>
      <w:r>
        <w:rPr>
          <w:rFonts w:eastAsia="仿宋_GB2312" w:cs="仿宋_GB2312" w:hint="eastAsia"/>
          <w:sz w:val="32"/>
          <w:szCs w:val="32"/>
        </w:rPr>
        <w:t>。主要变动原因是城乡社区支出、灾害防治及应急管理支出较</w:t>
      </w:r>
      <w:r>
        <w:rPr>
          <w:rFonts w:eastAsia="仿宋_GB2312" w:cs="仿宋_GB2312" w:hint="eastAsia"/>
          <w:sz w:val="32"/>
          <w:szCs w:val="32"/>
        </w:rPr>
        <w:t>2023</w:t>
      </w:r>
      <w:r>
        <w:rPr>
          <w:rFonts w:eastAsia="仿宋_GB2312" w:cs="仿宋_GB2312" w:hint="eastAsia"/>
          <w:sz w:val="32"/>
          <w:szCs w:val="32"/>
        </w:rPr>
        <w:t>年大幅增加。</w:t>
      </w:r>
    </w:p>
    <w:p w:rsidR="003C4C9A" w:rsidRDefault="00000000">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w:t>
      </w:r>
      <w:r>
        <w:rPr>
          <w:rFonts w:eastAsia="仿宋_GB2312" w:cs="仿宋_GB2312" w:hint="eastAsia"/>
          <w:sz w:val="32"/>
          <w:szCs w:val="32"/>
        </w:rPr>
        <w:t xml:space="preserve"> </w:t>
      </w:r>
    </w:p>
    <w:p w:rsidR="003C4C9A" w:rsidRDefault="00000000">
      <w:pPr>
        <w:pStyle w:val="a0"/>
        <w:spacing w:before="93"/>
      </w:pPr>
      <w:r>
        <w:rPr>
          <w:rFonts w:ascii="FangSong" w:eastAsia="FangSong" w:hAnsi="FangSong" w:hint="eastAsia"/>
          <w:b/>
          <w:sz w:val="32"/>
          <w:szCs w:val="32"/>
        </w:rPr>
        <w:object w:dxaOrig="8263" w:dyaOrig="4424">
          <v:shape id="_x0000_i1028" type="#_x0000_t75" style="width:413.15pt;height:221.2pt" o:ole="">
            <v:imagedata r:id="rId15" o:title=""/>
          </v:shape>
          <o:OLEObject Type="Embed" ProgID="Excel.Chart.8" ShapeID="_x0000_i1028" DrawAspect="Content" ObjectID="_1820733922" r:id="rId16"/>
        </w:object>
      </w:r>
    </w:p>
    <w:p w:rsidR="003C4C9A" w:rsidRDefault="00000000">
      <w:pPr>
        <w:spacing w:line="600" w:lineRule="exact"/>
        <w:ind w:firstLineChars="200" w:firstLine="640"/>
        <w:outlineLvl w:val="1"/>
        <w:rPr>
          <w:rStyle w:val="20"/>
          <w:rFonts w:ascii="Times New Roman" w:eastAsia="SimHei" w:hAnsi="Times New Roman"/>
          <w:b w:val="0"/>
        </w:rPr>
      </w:pPr>
      <w:bookmarkStart w:id="27" w:name="_Toc15396607"/>
      <w:bookmarkStart w:id="28" w:name="_Toc15377209"/>
      <w:r>
        <w:rPr>
          <w:rFonts w:eastAsia="SimHei" w:hint="eastAsia"/>
          <w:sz w:val="32"/>
          <w:szCs w:val="32"/>
        </w:rPr>
        <w:t>五、</w:t>
      </w:r>
      <w:r>
        <w:rPr>
          <w:rFonts w:eastAsia="SimHei" w:hint="eastAsia"/>
          <w:b/>
          <w:sz w:val="32"/>
          <w:szCs w:val="32"/>
        </w:rPr>
        <w:t>一</w:t>
      </w:r>
      <w:r>
        <w:rPr>
          <w:rStyle w:val="20"/>
          <w:rFonts w:ascii="Times New Roman" w:eastAsia="SimHei" w:hAnsi="Times New Roman" w:hint="eastAsia"/>
          <w:b w:val="0"/>
        </w:rPr>
        <w:t>般公共预算财政拨款支出决算情况说明</w:t>
      </w:r>
      <w:bookmarkEnd w:id="27"/>
      <w:bookmarkEnd w:id="28"/>
    </w:p>
    <w:p w:rsidR="003C4C9A" w:rsidRDefault="00000000">
      <w:pPr>
        <w:spacing w:line="600" w:lineRule="exact"/>
        <w:ind w:firstLineChars="200" w:firstLine="643"/>
        <w:outlineLvl w:val="2"/>
        <w:rPr>
          <w:rFonts w:eastAsia="楷体_GB2312" w:cs="楷体_GB2312"/>
          <w:b/>
          <w:sz w:val="32"/>
          <w:szCs w:val="32"/>
        </w:rPr>
      </w:pPr>
      <w:bookmarkStart w:id="29" w:name="_Toc15377210"/>
      <w:r>
        <w:rPr>
          <w:rFonts w:eastAsia="楷体_GB2312" w:cs="楷体_GB2312" w:hint="eastAsia"/>
          <w:b/>
          <w:sz w:val="32"/>
          <w:szCs w:val="32"/>
        </w:rPr>
        <w:t>（一）一般公共预算财政拨款支出决算总体情况</w:t>
      </w:r>
      <w:bookmarkEnd w:id="29"/>
    </w:p>
    <w:p w:rsidR="003C4C9A" w:rsidRDefault="0000000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2024年度一般公共预算财政拨款支出346.97万元，占本年支出合计的18.71%。与2023年度相比，一般公共预算财政拨款支出增加358.64万元，增长208.84%。主要变动原因是</w:t>
      </w:r>
      <w:r>
        <w:rPr>
          <w:rFonts w:eastAsia="仿宋_GB2312" w:cs="仿宋_GB2312" w:hint="eastAsia"/>
          <w:sz w:val="32"/>
          <w:szCs w:val="32"/>
        </w:rPr>
        <w:t>城乡社区支出、灾害防治及应急管理支出较</w:t>
      </w:r>
      <w:r>
        <w:rPr>
          <w:rFonts w:eastAsia="仿宋_GB2312" w:cs="仿宋_GB2312" w:hint="eastAsia"/>
          <w:sz w:val="32"/>
          <w:szCs w:val="32"/>
        </w:rPr>
        <w:t>2023</w:t>
      </w:r>
      <w:r>
        <w:rPr>
          <w:rFonts w:eastAsia="仿宋_GB2312" w:cs="仿宋_GB2312" w:hint="eastAsia"/>
          <w:sz w:val="32"/>
          <w:szCs w:val="32"/>
        </w:rPr>
        <w:t>年大幅增加。</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w:t>
      </w:r>
      <w:r>
        <w:rPr>
          <w:rFonts w:eastAsia="仿宋_GB2312" w:cs="仿宋_GB2312" w:hint="eastAsia"/>
          <w:sz w:val="32"/>
          <w:szCs w:val="32"/>
        </w:rPr>
        <w:t xml:space="preserve"> </w:t>
      </w:r>
    </w:p>
    <w:p w:rsidR="003C4C9A" w:rsidRDefault="00000000">
      <w:pPr>
        <w:pStyle w:val="a0"/>
        <w:spacing w:before="93"/>
      </w:pPr>
      <w:r>
        <w:rPr>
          <w:rFonts w:ascii="FangSong" w:eastAsia="FangSong" w:hAnsi="FangSong" w:hint="eastAsia"/>
          <w:sz w:val="32"/>
          <w:szCs w:val="32"/>
        </w:rPr>
        <w:object w:dxaOrig="8263" w:dyaOrig="4387">
          <v:shape id="_x0000_i1029" type="#_x0000_t75" style="width:413.15pt;height:219.35pt" o:ole="">
            <v:imagedata r:id="rId17" o:title=""/>
          </v:shape>
          <o:OLEObject Type="Embed" ProgID="Excel.Chart.8" ShapeID="_x0000_i1029" DrawAspect="Content" ObjectID="_1820733923" r:id="rId18"/>
        </w:object>
      </w:r>
    </w:p>
    <w:p w:rsidR="003C4C9A" w:rsidRDefault="00000000">
      <w:pPr>
        <w:spacing w:line="600" w:lineRule="exact"/>
        <w:ind w:firstLineChars="200" w:firstLine="643"/>
        <w:outlineLvl w:val="2"/>
        <w:rPr>
          <w:rFonts w:eastAsia="楷体_GB2312" w:cs="楷体_GB2312"/>
          <w:b/>
          <w:sz w:val="32"/>
          <w:szCs w:val="32"/>
        </w:rPr>
      </w:pPr>
      <w:bookmarkStart w:id="30" w:name="_Toc15377211"/>
      <w:r>
        <w:rPr>
          <w:rFonts w:eastAsia="楷体_GB2312" w:cs="楷体_GB2312" w:hint="eastAsia"/>
          <w:b/>
          <w:sz w:val="32"/>
          <w:szCs w:val="32"/>
        </w:rPr>
        <w:t>（二）一般公共预算财政拨款支出决算结构情况</w:t>
      </w:r>
      <w:bookmarkEnd w:id="30"/>
    </w:p>
    <w:p w:rsidR="003C4C9A" w:rsidRDefault="00000000">
      <w:pPr>
        <w:spacing w:line="600" w:lineRule="exact"/>
        <w:ind w:firstLine="640"/>
        <w:rPr>
          <w:rFonts w:eastAsia="FangSong" w:cs="仿宋_GB2312"/>
          <w:sz w:val="32"/>
          <w:szCs w:val="32"/>
        </w:rPr>
      </w:pPr>
      <w:r>
        <w:rPr>
          <w:rFonts w:eastAsia="FangSong" w:cs="仿宋_GB2312" w:hint="eastAsia"/>
          <w:sz w:val="32"/>
          <w:szCs w:val="32"/>
        </w:rPr>
        <w:t>2024</w:t>
      </w:r>
      <w:r>
        <w:rPr>
          <w:rFonts w:eastAsia="FangSong" w:cs="仿宋_GB2312" w:hint="eastAsia"/>
          <w:sz w:val="32"/>
          <w:szCs w:val="32"/>
        </w:rPr>
        <w:t>年度一般公共预算财政拨款支出</w:t>
      </w:r>
      <w:r>
        <w:rPr>
          <w:rFonts w:eastAsia="FangSong" w:cs="仿宋_GB2312" w:hint="eastAsia"/>
          <w:sz w:val="32"/>
          <w:szCs w:val="32"/>
        </w:rPr>
        <w:t>346.97</w:t>
      </w:r>
      <w:r>
        <w:rPr>
          <w:rFonts w:eastAsia="FangSong" w:cs="仿宋_GB2312" w:hint="eastAsia"/>
          <w:sz w:val="32"/>
          <w:szCs w:val="32"/>
        </w:rPr>
        <w:t>万元，主要用于以下方面：社会保障和就业支出</w:t>
      </w:r>
      <w:r>
        <w:rPr>
          <w:rFonts w:eastAsia="FangSong" w:cs="仿宋_GB2312" w:hint="eastAsia"/>
          <w:sz w:val="32"/>
          <w:szCs w:val="32"/>
        </w:rPr>
        <w:t>13.76</w:t>
      </w:r>
      <w:r>
        <w:rPr>
          <w:rFonts w:eastAsia="FangSong" w:cs="仿宋_GB2312" w:hint="eastAsia"/>
          <w:sz w:val="32"/>
          <w:szCs w:val="32"/>
        </w:rPr>
        <w:t>万元，占</w:t>
      </w:r>
      <w:r>
        <w:rPr>
          <w:rFonts w:eastAsia="FangSong" w:cs="仿宋_GB2312" w:hint="eastAsia"/>
          <w:sz w:val="32"/>
          <w:szCs w:val="32"/>
        </w:rPr>
        <w:t>3.97%</w:t>
      </w:r>
      <w:r>
        <w:rPr>
          <w:rFonts w:eastAsia="FangSong" w:cs="仿宋_GB2312" w:hint="eastAsia"/>
          <w:sz w:val="32"/>
          <w:szCs w:val="32"/>
        </w:rPr>
        <w:t>；卫生健康支出</w:t>
      </w:r>
      <w:r>
        <w:rPr>
          <w:rFonts w:eastAsia="FangSong" w:cs="仿宋_GB2312" w:hint="eastAsia"/>
          <w:sz w:val="32"/>
          <w:szCs w:val="32"/>
        </w:rPr>
        <w:t>7.06</w:t>
      </w:r>
      <w:r>
        <w:rPr>
          <w:rFonts w:eastAsia="FangSong" w:cs="仿宋_GB2312" w:hint="eastAsia"/>
          <w:sz w:val="32"/>
          <w:szCs w:val="32"/>
        </w:rPr>
        <w:t>万元，占</w:t>
      </w:r>
      <w:r>
        <w:rPr>
          <w:rFonts w:eastAsia="FangSong" w:cs="仿宋_GB2312" w:hint="eastAsia"/>
          <w:sz w:val="32"/>
          <w:szCs w:val="32"/>
        </w:rPr>
        <w:t>2.03%</w:t>
      </w:r>
      <w:r>
        <w:rPr>
          <w:rFonts w:eastAsia="FangSong" w:cs="仿宋_GB2312" w:hint="eastAsia"/>
          <w:sz w:val="32"/>
          <w:szCs w:val="32"/>
        </w:rPr>
        <w:t>；自然资源海洋气象等支出</w:t>
      </w:r>
      <w:r>
        <w:rPr>
          <w:rFonts w:eastAsia="FangSong" w:cs="仿宋_GB2312" w:hint="eastAsia"/>
          <w:sz w:val="32"/>
          <w:szCs w:val="32"/>
        </w:rPr>
        <w:t>108.88</w:t>
      </w:r>
      <w:r>
        <w:rPr>
          <w:rFonts w:eastAsia="FangSong" w:cs="仿宋_GB2312" w:hint="eastAsia"/>
          <w:sz w:val="32"/>
          <w:szCs w:val="32"/>
        </w:rPr>
        <w:t>万元，占</w:t>
      </w:r>
      <w:r>
        <w:rPr>
          <w:rFonts w:eastAsia="FangSong" w:cs="仿宋_GB2312" w:hint="eastAsia"/>
          <w:sz w:val="32"/>
          <w:szCs w:val="32"/>
        </w:rPr>
        <w:t>31.38%</w:t>
      </w:r>
      <w:r>
        <w:rPr>
          <w:rFonts w:eastAsia="FangSong" w:cs="仿宋_GB2312" w:hint="eastAsia"/>
          <w:sz w:val="32"/>
          <w:szCs w:val="32"/>
        </w:rPr>
        <w:t>；住房保障支出</w:t>
      </w:r>
      <w:r>
        <w:rPr>
          <w:rFonts w:eastAsia="FangSong" w:cs="仿宋_GB2312" w:hint="eastAsia"/>
          <w:sz w:val="32"/>
          <w:szCs w:val="32"/>
        </w:rPr>
        <w:t>8.91</w:t>
      </w:r>
      <w:r>
        <w:rPr>
          <w:rFonts w:eastAsia="FangSong" w:cs="仿宋_GB2312" w:hint="eastAsia"/>
          <w:sz w:val="32"/>
          <w:szCs w:val="32"/>
        </w:rPr>
        <w:t>万元，占</w:t>
      </w:r>
      <w:r>
        <w:rPr>
          <w:rFonts w:eastAsia="FangSong" w:cs="仿宋_GB2312" w:hint="eastAsia"/>
          <w:sz w:val="32"/>
          <w:szCs w:val="32"/>
        </w:rPr>
        <w:t>2.57%</w:t>
      </w:r>
      <w:r>
        <w:rPr>
          <w:rFonts w:eastAsia="FangSong" w:cs="仿宋_GB2312" w:hint="eastAsia"/>
          <w:sz w:val="32"/>
          <w:szCs w:val="32"/>
        </w:rPr>
        <w:t>；灾害防治及应急管理支出</w:t>
      </w:r>
      <w:r>
        <w:rPr>
          <w:rFonts w:eastAsia="FangSong" w:cs="仿宋_GB2312" w:hint="eastAsia"/>
          <w:sz w:val="32"/>
          <w:szCs w:val="32"/>
        </w:rPr>
        <w:t>208.37</w:t>
      </w:r>
      <w:r>
        <w:rPr>
          <w:rFonts w:eastAsia="FangSong" w:cs="仿宋_GB2312" w:hint="eastAsia"/>
          <w:sz w:val="32"/>
          <w:szCs w:val="32"/>
        </w:rPr>
        <w:t>万元，占</w:t>
      </w:r>
      <w:r>
        <w:rPr>
          <w:rFonts w:eastAsia="FangSong" w:cs="仿宋_GB2312" w:hint="eastAsia"/>
          <w:sz w:val="32"/>
          <w:szCs w:val="32"/>
        </w:rPr>
        <w:t>60.05</w:t>
      </w:r>
      <w:r>
        <w:rPr>
          <w:rFonts w:eastAsia="FangSong" w:cs="仿宋_GB2312"/>
          <w:sz w:val="32"/>
          <w:szCs w:val="32"/>
        </w:rPr>
        <w:t>%</w:t>
      </w:r>
      <w:r>
        <w:rPr>
          <w:rFonts w:eastAsia="FangSong" w:cs="仿宋_GB2312" w:hint="eastAsia"/>
          <w:sz w:val="32"/>
          <w:szCs w:val="32"/>
        </w:rPr>
        <w:t>。</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w:t>
      </w:r>
      <w:r>
        <w:rPr>
          <w:rFonts w:eastAsia="仿宋_GB2312" w:cs="仿宋_GB2312" w:hint="eastAsia"/>
          <w:sz w:val="32"/>
          <w:szCs w:val="32"/>
        </w:rPr>
        <w:t xml:space="preserve"> </w:t>
      </w:r>
    </w:p>
    <w:p w:rsidR="003C4C9A" w:rsidRDefault="00000000">
      <w:pPr>
        <w:pStyle w:val="a0"/>
        <w:spacing w:before="93"/>
      </w:pPr>
      <w:r>
        <w:rPr>
          <w:rFonts w:ascii="Times New Roman"/>
          <w:sz w:val="32"/>
          <w:szCs w:val="32"/>
        </w:rPr>
        <w:object w:dxaOrig="1440" w:dyaOrig="1440">
          <v:shape id="Object 5" o:spid="_x0000_s1029" type="#_x0000_t75" style="position:absolute;left:0;text-align:left;margin-left:8.95pt;margin-top:-36.05pt;width:388.65pt;height:186.6pt;z-index:251662336;mso-wrap-distance-left:9pt;mso-wrap-distance-top:0;mso-wrap-distance-right:9pt;mso-wrap-distance-bottom:0;mso-width-relative:page;mso-height-relative:page" stroked="t">
            <v:imagedata r:id="rId19" o:title=""/>
            <w10:wrap type="square"/>
          </v:shape>
          <o:OLEObject Type="Embed" ProgID="Excel.Chart.8" ShapeID="Object 5" DrawAspect="Content" ObjectID="_1820733927" r:id="rId20"/>
        </w:object>
      </w:r>
    </w:p>
    <w:p w:rsidR="003C4C9A" w:rsidRDefault="00000000">
      <w:pPr>
        <w:spacing w:line="600" w:lineRule="exact"/>
        <w:ind w:firstLineChars="200" w:firstLine="643"/>
        <w:outlineLvl w:val="2"/>
        <w:rPr>
          <w:rFonts w:eastAsia="楷体_GB2312" w:cs="楷体_GB2312"/>
          <w:b/>
          <w:sz w:val="32"/>
          <w:szCs w:val="32"/>
        </w:rPr>
      </w:pPr>
      <w:bookmarkStart w:id="31" w:name="_Toc15377212"/>
      <w:r>
        <w:rPr>
          <w:rFonts w:eastAsia="楷体_GB2312" w:cs="楷体_GB2312" w:hint="eastAsia"/>
          <w:b/>
          <w:sz w:val="32"/>
          <w:szCs w:val="32"/>
        </w:rPr>
        <w:lastRenderedPageBreak/>
        <w:t>（三）一般公共预算财政拨款支出决算具体情况</w:t>
      </w:r>
      <w:bookmarkEnd w:id="31"/>
    </w:p>
    <w:p w:rsidR="003C4C9A" w:rsidRDefault="00000000">
      <w:pPr>
        <w:spacing w:line="600" w:lineRule="exact"/>
        <w:ind w:firstLine="640"/>
        <w:rPr>
          <w:rFonts w:eastAsia="仿宋_GB2312" w:cs="仿宋_GB2312"/>
          <w:sz w:val="32"/>
          <w:szCs w:val="32"/>
        </w:rPr>
      </w:pPr>
      <w:bookmarkStart w:id="32" w:name="_Toc15378460"/>
      <w:bookmarkStart w:id="33" w:name="_Toc15377213"/>
      <w:bookmarkStart w:id="34" w:name="_Toc15377444"/>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346.97，</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32"/>
      <w:bookmarkEnd w:id="33"/>
      <w:bookmarkEnd w:id="34"/>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b/>
          <w:bCs/>
          <w:sz w:val="32"/>
          <w:szCs w:val="32"/>
        </w:rPr>
        <w:t>社会保障和就业支出（类）行政事业单位养老支出（款）行政单位离退休（项）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2.84</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b/>
          <w:bCs/>
          <w:sz w:val="32"/>
          <w:szCs w:val="32"/>
        </w:rPr>
        <w:t>社会保障和就业支出（类）行政事业单位养老支出（款）机关事业单位基本养老保险缴费支出（项）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10.92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b/>
          <w:bCs/>
          <w:sz w:val="32"/>
          <w:szCs w:val="32"/>
        </w:rPr>
        <w:t>卫生健康支出（类）行政事业单位医疗（款）行政单位医疗（项）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3.77</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b/>
          <w:bCs/>
          <w:sz w:val="32"/>
          <w:szCs w:val="32"/>
        </w:rPr>
        <w:t>卫生健康支出（类）行政事业单位医疗（款）事业单位医疗（项）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1.95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b/>
          <w:bCs/>
          <w:sz w:val="32"/>
          <w:szCs w:val="32"/>
        </w:rPr>
        <w:t>卫生健康支出（类）行政事业单位医疗（款）公务员医疗补助（项）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0.68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b/>
          <w:bCs/>
          <w:sz w:val="32"/>
          <w:szCs w:val="32"/>
        </w:rPr>
        <w:t>卫生健康（类）行政事业单位医疗（款）其他行政事业单位医疗支出（项）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0.66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b/>
          <w:bCs/>
          <w:sz w:val="32"/>
          <w:szCs w:val="32"/>
        </w:rPr>
        <w:t>自然资源海洋气象等支出（类）自然资源事务（款）行政运行（项）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37.88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lastRenderedPageBreak/>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8.</w:t>
      </w:r>
      <w:r>
        <w:rPr>
          <w:rFonts w:eastAsia="仿宋_GB2312" w:cs="仿宋_GB2312" w:hint="eastAsia"/>
          <w:b/>
          <w:bCs/>
          <w:sz w:val="32"/>
          <w:szCs w:val="32"/>
        </w:rPr>
        <w:t>自然资源海洋气象等支出（类）自然资源事务（款）自然资源利用与保护（项）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40</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w:t>
      </w:r>
      <w:proofErr w:type="gramStart"/>
      <w:r>
        <w:rPr>
          <w:rFonts w:eastAsia="仿宋_GB2312" w:cs="仿宋_GB2312" w:hint="eastAsia"/>
          <w:sz w:val="32"/>
          <w:szCs w:val="32"/>
        </w:rPr>
        <w:t>数预算</w:t>
      </w:r>
      <w:proofErr w:type="gramEnd"/>
      <w:r>
        <w:rPr>
          <w:rFonts w:eastAsia="仿宋_GB2312" w:cs="仿宋_GB2312" w:hint="eastAsia"/>
          <w:sz w:val="32"/>
          <w:szCs w:val="32"/>
        </w:rPr>
        <w:t>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9.</w:t>
      </w:r>
      <w:r>
        <w:rPr>
          <w:rFonts w:eastAsia="仿宋_GB2312" w:cs="仿宋_GB2312" w:hint="eastAsia"/>
          <w:b/>
          <w:bCs/>
          <w:sz w:val="32"/>
          <w:szCs w:val="32"/>
        </w:rPr>
        <w:t>自然资源海洋气象等支出（类）自然资源事务（款）事业运行（项）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31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10.</w:t>
      </w:r>
      <w:r>
        <w:rPr>
          <w:rFonts w:eastAsia="仿宋_GB2312" w:cs="仿宋_GB2312" w:hint="eastAsia"/>
          <w:b/>
          <w:bCs/>
          <w:sz w:val="32"/>
          <w:szCs w:val="32"/>
        </w:rPr>
        <w:t>住房保障支出（类）住房改革支出（款）住房公积金（项）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8.91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11.</w:t>
      </w:r>
      <w:r>
        <w:rPr>
          <w:rFonts w:eastAsia="仿宋_GB2312" w:cs="仿宋_GB2312" w:hint="eastAsia"/>
          <w:b/>
          <w:bCs/>
          <w:sz w:val="32"/>
          <w:szCs w:val="32"/>
        </w:rPr>
        <w:t>灾害防治及应急管理支出（类）自然灾害防治（款）地质灾害防治（项）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208.37</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3C4C9A" w:rsidRDefault="00000000">
      <w:pPr>
        <w:tabs>
          <w:tab w:val="right" w:pos="8306"/>
        </w:tabs>
        <w:spacing w:line="600" w:lineRule="exact"/>
        <w:ind w:firstLine="640"/>
        <w:outlineLvl w:val="1"/>
        <w:rPr>
          <w:rStyle w:val="20"/>
          <w:rFonts w:ascii="Times New Roman" w:hAnsi="Times New Roman"/>
        </w:rPr>
      </w:pPr>
      <w:bookmarkStart w:id="35" w:name="_Toc15396608"/>
      <w:bookmarkStart w:id="36" w:name="_Toc15377214"/>
      <w:r>
        <w:rPr>
          <w:rFonts w:eastAsia="SimHei" w:hint="eastAsia"/>
          <w:sz w:val="32"/>
          <w:szCs w:val="32"/>
        </w:rPr>
        <w:t>六</w:t>
      </w:r>
      <w:r>
        <w:rPr>
          <w:rFonts w:eastAsia="SimHei" w:hint="eastAsia"/>
          <w:b/>
          <w:sz w:val="32"/>
          <w:szCs w:val="32"/>
        </w:rPr>
        <w:t>、一</w:t>
      </w:r>
      <w:r>
        <w:rPr>
          <w:rStyle w:val="20"/>
          <w:rFonts w:ascii="Times New Roman" w:eastAsia="SimHei" w:hAnsi="Times New Roman" w:hint="eastAsia"/>
          <w:b w:val="0"/>
        </w:rPr>
        <w:t>般公共预算财政拨款基本支出决算情况说明</w:t>
      </w:r>
      <w:bookmarkEnd w:id="35"/>
      <w:bookmarkEnd w:id="36"/>
      <w:r>
        <w:rPr>
          <w:rStyle w:val="20"/>
          <w:rFonts w:ascii="Times New Roman" w:eastAsia="SimHei" w:hAnsi="Times New Roman"/>
          <w:b w:val="0"/>
        </w:rPr>
        <w:tab/>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98.61万</w:t>
      </w:r>
      <w:r>
        <w:rPr>
          <w:rFonts w:eastAsia="仿宋_GB2312" w:cs="仿宋_GB2312" w:hint="eastAsia"/>
          <w:sz w:val="32"/>
          <w:szCs w:val="32"/>
        </w:rPr>
        <w:t>元，其中：</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85.8万</w:t>
      </w:r>
      <w:r>
        <w:rPr>
          <w:rFonts w:eastAsia="仿宋_GB2312" w:cs="仿宋_GB2312" w:hint="eastAsia"/>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12.81万</w:t>
      </w:r>
      <w:r>
        <w:rPr>
          <w:rFonts w:eastAsia="仿宋_GB2312" w:cs="仿宋_GB2312" w:hint="eastAsia"/>
          <w:sz w:val="32"/>
          <w:szCs w:val="32"/>
        </w:rPr>
        <w:t>元，主要包括：办公费、印刷费、咨询费、手续费、水费、电费、邮电费、取暖费、物业管理费、</w:t>
      </w:r>
      <w:r>
        <w:rPr>
          <w:rFonts w:eastAsia="仿宋_GB2312" w:cs="仿宋_GB2312" w:hint="eastAsia"/>
          <w:sz w:val="32"/>
          <w:szCs w:val="32"/>
        </w:rPr>
        <w:lastRenderedPageBreak/>
        <w:t>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3C4C9A" w:rsidRDefault="00000000">
      <w:pPr>
        <w:spacing w:line="600" w:lineRule="exact"/>
        <w:ind w:firstLine="640"/>
        <w:outlineLvl w:val="1"/>
        <w:rPr>
          <w:rStyle w:val="20"/>
          <w:rFonts w:ascii="Times New Roman" w:eastAsia="SimHei" w:hAnsi="Times New Roman"/>
          <w:b w:val="0"/>
        </w:rPr>
      </w:pPr>
      <w:bookmarkStart w:id="37" w:name="_Toc15396609"/>
      <w:bookmarkStart w:id="38" w:name="_Toc15377215"/>
      <w:r>
        <w:rPr>
          <w:rFonts w:eastAsia="SimHei" w:hint="eastAsia"/>
          <w:sz w:val="32"/>
          <w:szCs w:val="32"/>
        </w:rPr>
        <w:t>七、</w:t>
      </w:r>
      <w:r>
        <w:rPr>
          <w:rStyle w:val="20"/>
          <w:rFonts w:ascii="Times New Roman" w:eastAsia="SimHei" w:hAnsi="Times New Roman" w:hint="eastAsia"/>
          <w:b w:val="0"/>
        </w:rPr>
        <w:t>财政拨款</w:t>
      </w:r>
      <w:r>
        <w:rPr>
          <w:rStyle w:val="20"/>
          <w:rFonts w:ascii="Times New Roman" w:eastAsia="SimHei" w:hAnsi="Times New Roman" w:hint="eastAsia"/>
        </w:rPr>
        <w:t>“</w:t>
      </w:r>
      <w:r>
        <w:rPr>
          <w:rStyle w:val="20"/>
          <w:rFonts w:ascii="Times New Roman" w:eastAsia="SimHei" w:hAnsi="Times New Roman" w:hint="eastAsia"/>
          <w:b w:val="0"/>
        </w:rPr>
        <w:t>三公”经费支出决算情况说明</w:t>
      </w:r>
      <w:bookmarkEnd w:id="37"/>
      <w:bookmarkEnd w:id="38"/>
    </w:p>
    <w:p w:rsidR="003C4C9A" w:rsidRDefault="00000000">
      <w:pPr>
        <w:spacing w:line="600" w:lineRule="exact"/>
        <w:ind w:firstLineChars="200" w:firstLine="643"/>
        <w:outlineLvl w:val="2"/>
        <w:rPr>
          <w:rFonts w:eastAsia="楷体_GB2312" w:cs="楷体_GB2312"/>
          <w:b/>
          <w:sz w:val="32"/>
          <w:szCs w:val="32"/>
        </w:rPr>
      </w:pPr>
      <w:bookmarkStart w:id="39" w:name="_Toc15377216"/>
      <w:r>
        <w:rPr>
          <w:rFonts w:eastAsia="楷体_GB2312" w:cs="楷体_GB2312" w:hint="eastAsia"/>
          <w:b/>
          <w:sz w:val="32"/>
          <w:szCs w:val="32"/>
        </w:rPr>
        <w:t>（一）“三公”经费财政拨款支出决算总体情况说明</w:t>
      </w:r>
      <w:bookmarkEnd w:id="39"/>
    </w:p>
    <w:p w:rsidR="003C4C9A" w:rsidRDefault="00000000">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2.55万元，完成预算100%，</w:t>
      </w:r>
      <w:r>
        <w:rPr>
          <w:rFonts w:eastAsia="仿宋_GB2312" w:cs="仿宋_GB2312" w:hint="eastAsia"/>
          <w:sz w:val="32"/>
          <w:szCs w:val="32"/>
        </w:rPr>
        <w:t>较上年度减少</w:t>
      </w:r>
      <w:r>
        <w:rPr>
          <w:rFonts w:eastAsia="仿宋_GB2312" w:cs="仿宋_GB2312" w:hint="eastAsia"/>
          <w:sz w:val="32"/>
          <w:szCs w:val="32"/>
        </w:rPr>
        <w:t>0.25</w:t>
      </w:r>
      <w:r>
        <w:rPr>
          <w:rFonts w:eastAsia="仿宋_GB2312" w:cs="仿宋_GB2312" w:hint="eastAsia"/>
          <w:sz w:val="32"/>
          <w:szCs w:val="32"/>
        </w:rPr>
        <w:t>万元，下降</w:t>
      </w:r>
      <w:r>
        <w:rPr>
          <w:rFonts w:eastAsia="仿宋_GB2312" w:cs="仿宋_GB2312" w:hint="eastAsia"/>
          <w:sz w:val="32"/>
          <w:szCs w:val="32"/>
        </w:rPr>
        <w:t>8.93%</w:t>
      </w:r>
      <w:r>
        <w:rPr>
          <w:rFonts w:eastAsia="仿宋_GB2312" w:cs="仿宋_GB2312" w:hint="eastAsia"/>
          <w:sz w:val="32"/>
          <w:szCs w:val="32"/>
        </w:rPr>
        <w:t>。决算数与预算数持平的主要原因是</w:t>
      </w:r>
      <w:r>
        <w:rPr>
          <w:rFonts w:ascii="仿宋_GB2312" w:eastAsia="仿宋_GB2312" w:hint="eastAsia"/>
          <w:sz w:val="32"/>
          <w:szCs w:val="32"/>
        </w:rPr>
        <w:t>按进度完成拨付计划。</w:t>
      </w:r>
    </w:p>
    <w:p w:rsidR="003C4C9A" w:rsidRDefault="00000000">
      <w:pPr>
        <w:spacing w:line="600" w:lineRule="exact"/>
        <w:ind w:firstLineChars="200" w:firstLine="643"/>
        <w:outlineLvl w:val="2"/>
        <w:rPr>
          <w:rFonts w:eastAsia="楷体_GB2312" w:cs="楷体_GB2312"/>
          <w:b/>
          <w:sz w:val="32"/>
          <w:szCs w:val="32"/>
        </w:rPr>
      </w:pPr>
      <w:bookmarkStart w:id="40" w:name="_Toc15377217"/>
      <w:r>
        <w:rPr>
          <w:rFonts w:eastAsia="楷体_GB2312" w:cs="楷体_GB2312" w:hint="eastAsia"/>
          <w:b/>
          <w:sz w:val="32"/>
          <w:szCs w:val="32"/>
        </w:rPr>
        <w:t>（二）“三公”经费财政拨款支出决算具体情况说明</w:t>
      </w:r>
      <w:bookmarkEnd w:id="40"/>
    </w:p>
    <w:p w:rsidR="003C4C9A"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2024年度“三公”经费财政拨款支出决算中，因公出国（境）费支出决算0万元，占0%；公务用车购置及运行维护费支出决算2.45万元，占96.08%；公务接待费支出决算0.1万元，占3.92%。具体情况如下：</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w:t>
      </w:r>
      <w:r>
        <w:rPr>
          <w:rFonts w:eastAsia="仿宋_GB2312" w:cs="仿宋_GB2312" w:hint="eastAsia"/>
          <w:sz w:val="32"/>
          <w:szCs w:val="32"/>
        </w:rPr>
        <w:t xml:space="preserve"> </w:t>
      </w:r>
    </w:p>
    <w:p w:rsidR="003C4C9A" w:rsidRDefault="00000000">
      <w:pPr>
        <w:pStyle w:val="a0"/>
        <w:spacing w:before="93"/>
        <w:rPr>
          <w:rFonts w:ascii="Times New Roman" w:cs="仿宋_GB2312"/>
          <w:kern w:val="2"/>
          <w:sz w:val="32"/>
          <w:szCs w:val="32"/>
        </w:rPr>
      </w:pPr>
      <w:r>
        <w:rPr>
          <w:rFonts w:ascii="FangSong" w:eastAsia="FangSong" w:hAnsi="FangSong" w:hint="eastAsia"/>
          <w:sz w:val="32"/>
          <w:szCs w:val="32"/>
        </w:rPr>
        <w:object w:dxaOrig="7896" w:dyaOrig="4298">
          <v:shape id="_x0000_i1031" type="#_x0000_t75" style="width:394.8pt;height:214.9pt" o:ole="">
            <v:imagedata r:id="rId21" o:title=""/>
          </v:shape>
          <o:OLEObject Type="Embed" ProgID="Excel.Chart.8" ShapeID="_x0000_i1031" DrawAspect="Content" ObjectID="_1820733924" r:id="rId22"/>
        </w:object>
      </w:r>
    </w:p>
    <w:p w:rsidR="003C4C9A" w:rsidRDefault="003C4C9A">
      <w:pPr>
        <w:pStyle w:val="a0"/>
        <w:spacing w:before="93"/>
        <w:rPr>
          <w:rFonts w:ascii="Times New Roman" w:cs="仿宋_GB2312"/>
          <w:kern w:val="2"/>
          <w:sz w:val="32"/>
          <w:szCs w:val="32"/>
        </w:rPr>
      </w:pPr>
    </w:p>
    <w:p w:rsidR="003C4C9A" w:rsidRDefault="00000000">
      <w:pPr>
        <w:numPr>
          <w:ilvl w:val="0"/>
          <w:numId w:val="2"/>
        </w:numPr>
        <w:spacing w:line="600" w:lineRule="exact"/>
        <w:ind w:firstLine="640"/>
        <w:rPr>
          <w:rFonts w:eastAsia="仿宋_GB2312" w:cs="仿宋_GB2312"/>
          <w:sz w:val="32"/>
          <w:szCs w:val="32"/>
        </w:rPr>
      </w:pP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。因公出国（境）支出决算比</w:t>
      </w:r>
      <w:r>
        <w:rPr>
          <w:rFonts w:eastAsia="仿宋_GB2312" w:cs="仿宋_GB2312" w:hint="eastAsia"/>
          <w:sz w:val="32"/>
          <w:szCs w:val="32"/>
        </w:rPr>
        <w:t>2023</w:t>
      </w:r>
      <w:r>
        <w:rPr>
          <w:rFonts w:eastAsia="仿宋_GB2312" w:cs="仿宋_GB2312" w:hint="eastAsia"/>
          <w:sz w:val="32"/>
          <w:szCs w:val="32"/>
        </w:rPr>
        <w:t>年增加</w:t>
      </w:r>
      <w:r>
        <w:rPr>
          <w:rFonts w:eastAsia="仿宋_GB2312" w:cs="仿宋_GB2312" w:hint="eastAsia"/>
          <w:sz w:val="32"/>
          <w:szCs w:val="32"/>
        </w:rPr>
        <w:t>0</w:t>
      </w:r>
      <w:r>
        <w:rPr>
          <w:rFonts w:eastAsia="仿宋_GB2312" w:cs="仿宋_GB2312" w:hint="eastAsia"/>
          <w:sz w:val="32"/>
          <w:szCs w:val="32"/>
        </w:rPr>
        <w:t>万元，增长</w:t>
      </w:r>
      <w:r>
        <w:rPr>
          <w:rFonts w:eastAsia="仿宋_GB2312" w:cs="仿宋_GB2312" w:hint="eastAsia"/>
          <w:sz w:val="32"/>
          <w:szCs w:val="32"/>
        </w:rPr>
        <w:t>0%</w:t>
      </w:r>
      <w:r>
        <w:rPr>
          <w:rFonts w:eastAsia="仿宋_GB2312" w:cs="仿宋_GB2312" w:hint="eastAsia"/>
          <w:sz w:val="32"/>
          <w:szCs w:val="32"/>
        </w:rPr>
        <w:t>。</w:t>
      </w:r>
    </w:p>
    <w:p w:rsidR="003C4C9A" w:rsidRDefault="00000000">
      <w:pPr>
        <w:spacing w:line="600" w:lineRule="exact"/>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2.45万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0.35</w:t>
      </w:r>
      <w:r>
        <w:rPr>
          <w:rFonts w:eastAsia="仿宋_GB2312" w:cs="仿宋_GB2312" w:hint="eastAsia"/>
          <w:sz w:val="32"/>
          <w:szCs w:val="32"/>
        </w:rPr>
        <w:t>万元，下降</w:t>
      </w:r>
      <w:r>
        <w:rPr>
          <w:rFonts w:eastAsia="仿宋_GB2312" w:cs="仿宋_GB2312" w:hint="eastAsia"/>
          <w:sz w:val="32"/>
          <w:szCs w:val="32"/>
        </w:rPr>
        <w:t>12.5%</w:t>
      </w:r>
      <w:r>
        <w:rPr>
          <w:rFonts w:eastAsia="仿宋_GB2312" w:cs="仿宋_GB2312" w:hint="eastAsia"/>
          <w:sz w:val="32"/>
          <w:szCs w:val="32"/>
        </w:rPr>
        <w:t>。主要原因是</w:t>
      </w:r>
      <w:r>
        <w:rPr>
          <w:rFonts w:ascii="仿宋_GB2312" w:eastAsia="仿宋_GB2312" w:hint="eastAsia"/>
          <w:sz w:val="32"/>
          <w:szCs w:val="32"/>
        </w:rPr>
        <w:t>三</w:t>
      </w:r>
      <w:proofErr w:type="gramStart"/>
      <w:r>
        <w:rPr>
          <w:rFonts w:ascii="仿宋_GB2312" w:eastAsia="仿宋_GB2312" w:hint="eastAsia"/>
          <w:sz w:val="32"/>
          <w:szCs w:val="32"/>
        </w:rPr>
        <w:t>公经费</w:t>
      </w:r>
      <w:proofErr w:type="gramEnd"/>
      <w:r>
        <w:rPr>
          <w:rFonts w:ascii="仿宋_GB2312" w:eastAsia="仿宋_GB2312" w:hint="eastAsia"/>
          <w:sz w:val="32"/>
          <w:szCs w:val="32"/>
        </w:rPr>
        <w:t>调整。</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1</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辆、越野车</w:t>
      </w:r>
      <w:r>
        <w:rPr>
          <w:rFonts w:eastAsia="仿宋_GB2312" w:cs="仿宋_GB2312" w:hint="eastAsia"/>
          <w:sz w:val="32"/>
          <w:szCs w:val="32"/>
        </w:rPr>
        <w:t>1</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出2.45</w:t>
      </w:r>
      <w:r>
        <w:rPr>
          <w:rFonts w:eastAsia="仿宋_GB2312" w:cs="仿宋_GB2312" w:hint="eastAsia"/>
          <w:sz w:val="32"/>
          <w:szCs w:val="32"/>
        </w:rPr>
        <w:t>万元。主要用于</w:t>
      </w:r>
      <w:r>
        <w:rPr>
          <w:rFonts w:eastAsia="仿宋_GB2312"/>
          <w:color w:val="000000"/>
          <w:sz w:val="32"/>
          <w:szCs w:val="32"/>
        </w:rPr>
        <w:t>地灾巡查、耕地保护、土地开发利用现场勘察、土地执法巡查</w:t>
      </w:r>
      <w:r>
        <w:rPr>
          <w:rFonts w:ascii="仿宋_GB2312" w:eastAsia="仿宋_GB2312" w:hint="eastAsia"/>
          <w:sz w:val="32"/>
          <w:szCs w:val="32"/>
        </w:rPr>
        <w:t>等</w:t>
      </w:r>
      <w:r>
        <w:rPr>
          <w:rFonts w:eastAsia="仿宋_GB2312" w:cs="仿宋_GB2312" w:hint="eastAsia"/>
          <w:sz w:val="32"/>
          <w:szCs w:val="32"/>
        </w:rPr>
        <w:t>所需的公务用车燃料费、维修费、过路过桥费、保险费等支出。</w:t>
      </w:r>
    </w:p>
    <w:p w:rsidR="003C4C9A" w:rsidRDefault="00000000">
      <w:pPr>
        <w:spacing w:line="600" w:lineRule="exact"/>
        <w:ind w:firstLine="640"/>
        <w:rPr>
          <w:rFonts w:eastAsia="仿宋_GB2312" w:cs="仿宋_GB2312"/>
          <w:sz w:val="32"/>
          <w:szCs w:val="32"/>
        </w:rPr>
      </w:pPr>
      <w:r>
        <w:rPr>
          <w:rFonts w:eastAsia="仿宋_GB2312" w:cs="仿宋_GB2312" w:hint="eastAsia"/>
          <w:b/>
          <w:bCs/>
          <w:sz w:val="32"/>
          <w:szCs w:val="32"/>
        </w:rPr>
        <w:lastRenderedPageBreak/>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0.1万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0.1</w:t>
      </w:r>
      <w:r>
        <w:rPr>
          <w:rFonts w:eastAsia="仿宋_GB2312" w:cs="仿宋_GB2312" w:hint="eastAsia"/>
          <w:sz w:val="32"/>
          <w:szCs w:val="32"/>
        </w:rPr>
        <w:t>万元，增长</w:t>
      </w:r>
      <w:r>
        <w:rPr>
          <w:rFonts w:eastAsia="仿宋_GB2312" w:cs="仿宋_GB2312" w:hint="eastAsia"/>
          <w:sz w:val="32"/>
          <w:szCs w:val="32"/>
        </w:rPr>
        <w:t>100%</w:t>
      </w:r>
      <w:r>
        <w:rPr>
          <w:rFonts w:eastAsia="仿宋_GB2312" w:cs="仿宋_GB2312" w:hint="eastAsia"/>
          <w:sz w:val="32"/>
          <w:szCs w:val="32"/>
        </w:rPr>
        <w:t>。主要用于接待省厅、市局督导检查组。</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其中：国内公务接待支</w:t>
      </w:r>
      <w:r>
        <w:rPr>
          <w:rFonts w:ascii="仿宋_GB2312" w:eastAsia="仿宋_GB2312" w:hAnsi="仿宋_GB2312" w:cs="仿宋_GB2312" w:hint="eastAsia"/>
          <w:sz w:val="32"/>
          <w:szCs w:val="32"/>
        </w:rPr>
        <w:t>出0.1万</w:t>
      </w:r>
      <w:r>
        <w:rPr>
          <w:rFonts w:eastAsia="仿宋_GB2312" w:cs="仿宋_GB2312" w:hint="eastAsia"/>
          <w:sz w:val="32"/>
          <w:szCs w:val="32"/>
        </w:rPr>
        <w:t>元，主要用于接待省厅、市局督导检查组。国内公务接</w:t>
      </w:r>
      <w:r>
        <w:rPr>
          <w:rFonts w:ascii="仿宋_GB2312" w:eastAsia="仿宋_GB2312" w:hAnsi="仿宋_GB2312" w:cs="仿宋_GB2312" w:hint="eastAsia"/>
          <w:sz w:val="32"/>
          <w:szCs w:val="32"/>
        </w:rPr>
        <w:t>待1批次，5</w:t>
      </w:r>
      <w:r>
        <w:rPr>
          <w:rFonts w:eastAsia="仿宋_GB2312" w:cs="仿宋_GB2312" w:hint="eastAsia"/>
          <w:sz w:val="32"/>
          <w:szCs w:val="32"/>
        </w:rPr>
        <w:t>人次（不包括陪同人员），共计支出</w:t>
      </w:r>
      <w:r>
        <w:rPr>
          <w:rFonts w:eastAsia="仿宋_GB2312" w:cs="仿宋_GB2312" w:hint="eastAsia"/>
          <w:sz w:val="32"/>
          <w:szCs w:val="32"/>
        </w:rPr>
        <w:t>0.1</w:t>
      </w:r>
      <w:r>
        <w:rPr>
          <w:rFonts w:eastAsia="仿宋_GB2312" w:cs="仿宋_GB2312" w:hint="eastAsia"/>
          <w:sz w:val="32"/>
          <w:szCs w:val="32"/>
        </w:rPr>
        <w:t>万元，具体内容包括：省厅、市局督导检查自然资源督查反馈问题整改工作，在</w:t>
      </w:r>
      <w:proofErr w:type="gramStart"/>
      <w:r>
        <w:rPr>
          <w:rFonts w:eastAsia="仿宋_GB2312" w:cs="仿宋_GB2312" w:hint="eastAsia"/>
          <w:sz w:val="32"/>
          <w:szCs w:val="32"/>
        </w:rPr>
        <w:t>对拓盛石灰石</w:t>
      </w:r>
      <w:proofErr w:type="gramEnd"/>
      <w:r>
        <w:rPr>
          <w:rFonts w:eastAsia="仿宋_GB2312" w:cs="仿宋_GB2312" w:hint="eastAsia"/>
          <w:sz w:val="32"/>
          <w:szCs w:val="32"/>
        </w:rPr>
        <w:t>矿、</w:t>
      </w:r>
      <w:proofErr w:type="gramStart"/>
      <w:r>
        <w:rPr>
          <w:rFonts w:eastAsia="仿宋_GB2312" w:cs="仿宋_GB2312" w:hint="eastAsia"/>
          <w:sz w:val="32"/>
          <w:szCs w:val="32"/>
        </w:rPr>
        <w:t>磨槽湾采石场</w:t>
      </w:r>
      <w:proofErr w:type="gramEnd"/>
      <w:r>
        <w:rPr>
          <w:rFonts w:eastAsia="仿宋_GB2312" w:cs="仿宋_GB2312" w:hint="eastAsia"/>
          <w:sz w:val="32"/>
          <w:szCs w:val="32"/>
        </w:rPr>
        <w:t>督导检查后，安排就餐</w:t>
      </w:r>
      <w:r>
        <w:rPr>
          <w:rFonts w:eastAsia="仿宋_GB2312" w:cs="仿宋_GB2312" w:hint="eastAsia"/>
          <w:sz w:val="32"/>
          <w:szCs w:val="32"/>
        </w:rPr>
        <w:t>0.1</w:t>
      </w:r>
      <w:r>
        <w:rPr>
          <w:rFonts w:eastAsia="仿宋_GB2312" w:cs="仿宋_GB2312" w:hint="eastAsia"/>
          <w:sz w:val="32"/>
          <w:szCs w:val="32"/>
        </w:rPr>
        <w:t>万元。</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出0万元。外事接待0批次，0人次（不包括陪同人员），共计支出0万</w:t>
      </w:r>
      <w:r>
        <w:rPr>
          <w:rFonts w:eastAsia="仿宋_GB2312" w:cs="仿宋_GB2312" w:hint="eastAsia"/>
          <w:sz w:val="32"/>
          <w:szCs w:val="32"/>
        </w:rPr>
        <w:t>元。</w:t>
      </w:r>
    </w:p>
    <w:p w:rsidR="003C4C9A" w:rsidRDefault="00000000">
      <w:pPr>
        <w:spacing w:line="600" w:lineRule="exact"/>
        <w:ind w:firstLine="640"/>
        <w:outlineLvl w:val="1"/>
        <w:rPr>
          <w:rStyle w:val="20"/>
          <w:rFonts w:ascii="Times New Roman" w:eastAsia="SimHei" w:hAnsi="Times New Roman"/>
        </w:rPr>
      </w:pPr>
      <w:bookmarkStart w:id="41" w:name="_Toc15396610"/>
      <w:bookmarkStart w:id="42" w:name="_Toc15377218"/>
      <w:r>
        <w:rPr>
          <w:rFonts w:eastAsia="SimHei" w:hint="eastAsia"/>
          <w:sz w:val="32"/>
          <w:szCs w:val="32"/>
        </w:rPr>
        <w:t>八、</w:t>
      </w:r>
      <w:r>
        <w:rPr>
          <w:rStyle w:val="20"/>
          <w:rFonts w:ascii="Times New Roman" w:eastAsia="SimHei" w:hAnsi="Times New Roman" w:hint="eastAsia"/>
          <w:b w:val="0"/>
        </w:rPr>
        <w:t>政府性基金预算支出决算情况说明</w:t>
      </w:r>
      <w:bookmarkEnd w:id="41"/>
      <w:bookmarkEnd w:id="42"/>
    </w:p>
    <w:p w:rsidR="003C4C9A" w:rsidRDefault="00000000">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2024年度政府性基金预算财政拨款支出183.4万元，占本年支出合计的9.88%</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年度相比，政府性基金预算财政拨款支出增加</w:t>
      </w:r>
      <w:r>
        <w:rPr>
          <w:rFonts w:eastAsia="仿宋_GB2312" w:cs="仿宋_GB2312" w:hint="eastAsia"/>
          <w:sz w:val="32"/>
          <w:szCs w:val="32"/>
        </w:rPr>
        <w:t>183.4</w:t>
      </w:r>
      <w:r>
        <w:rPr>
          <w:rFonts w:eastAsia="仿宋_GB2312" w:cs="仿宋_GB2312" w:hint="eastAsia"/>
          <w:sz w:val="32"/>
          <w:szCs w:val="32"/>
        </w:rPr>
        <w:t>万元，增长</w:t>
      </w:r>
      <w:r>
        <w:rPr>
          <w:rFonts w:eastAsia="仿宋_GB2312" w:cs="仿宋_GB2312" w:hint="eastAsia"/>
          <w:sz w:val="32"/>
          <w:szCs w:val="32"/>
        </w:rPr>
        <w:t>100%</w:t>
      </w:r>
      <w:r>
        <w:rPr>
          <w:rFonts w:eastAsia="仿宋_GB2312" w:cs="仿宋_GB2312" w:hint="eastAsia"/>
          <w:sz w:val="32"/>
          <w:szCs w:val="32"/>
        </w:rPr>
        <w:t>。主要变动原因是增加了土地开发支出。</w:t>
      </w:r>
    </w:p>
    <w:p w:rsidR="003C4C9A" w:rsidRDefault="00000000">
      <w:pPr>
        <w:spacing w:line="600" w:lineRule="exact"/>
        <w:ind w:left="630"/>
        <w:outlineLvl w:val="1"/>
        <w:rPr>
          <w:rStyle w:val="20"/>
          <w:rFonts w:ascii="Times New Roman" w:eastAsia="SimHei" w:hAnsi="Times New Roman"/>
          <w:b w:val="0"/>
        </w:rPr>
      </w:pPr>
      <w:bookmarkStart w:id="43" w:name="_Toc15377219"/>
      <w:bookmarkStart w:id="44" w:name="_Toc15396611"/>
      <w:r>
        <w:rPr>
          <w:rStyle w:val="20"/>
          <w:rFonts w:ascii="Times New Roman" w:eastAsia="SimHei" w:hAnsi="Times New Roman" w:hint="eastAsia"/>
          <w:b w:val="0"/>
        </w:rPr>
        <w:t>九、国有资本经营预算支出决算情况说明</w:t>
      </w:r>
      <w:bookmarkEnd w:id="43"/>
      <w:bookmarkEnd w:id="44"/>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0万元，占本年支出合计的0%</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年度相比，国有资本经营预算财政拨款支出增加</w:t>
      </w:r>
      <w:r>
        <w:rPr>
          <w:rFonts w:eastAsia="仿宋_GB2312" w:cs="仿宋_GB2312" w:hint="eastAsia"/>
          <w:sz w:val="32"/>
          <w:szCs w:val="32"/>
        </w:rPr>
        <w:t>0</w:t>
      </w:r>
      <w:r>
        <w:rPr>
          <w:rFonts w:eastAsia="仿宋_GB2312" w:cs="仿宋_GB2312" w:hint="eastAsia"/>
          <w:sz w:val="32"/>
          <w:szCs w:val="32"/>
        </w:rPr>
        <w:t>万元</w:t>
      </w:r>
      <w:r>
        <w:rPr>
          <w:rFonts w:eastAsia="仿宋_GB2312" w:cs="仿宋_GB2312" w:hint="eastAsia"/>
          <w:color w:val="000000" w:themeColor="text1"/>
          <w:sz w:val="32"/>
          <w:szCs w:val="32"/>
        </w:rPr>
        <w:t>。</w:t>
      </w:r>
    </w:p>
    <w:p w:rsidR="003C4C9A" w:rsidRDefault="00000000">
      <w:pPr>
        <w:spacing w:line="600" w:lineRule="exact"/>
        <w:ind w:left="630"/>
        <w:outlineLvl w:val="1"/>
        <w:rPr>
          <w:rStyle w:val="20"/>
          <w:rFonts w:ascii="Times New Roman" w:eastAsia="SimHei" w:hAnsi="Times New Roman"/>
          <w:b w:val="0"/>
        </w:rPr>
      </w:pPr>
      <w:bookmarkStart w:id="45" w:name="_Toc15377221"/>
      <w:bookmarkStart w:id="46" w:name="_Toc15396612"/>
      <w:r>
        <w:rPr>
          <w:rStyle w:val="20"/>
          <w:rFonts w:ascii="Times New Roman" w:eastAsia="SimHei" w:hAnsi="Times New Roman" w:hint="eastAsia"/>
          <w:b w:val="0"/>
        </w:rPr>
        <w:t>十、其他重要事项的情况说明</w:t>
      </w:r>
      <w:bookmarkEnd w:id="45"/>
      <w:bookmarkEnd w:id="46"/>
    </w:p>
    <w:p w:rsidR="003C4C9A" w:rsidRDefault="00000000">
      <w:pPr>
        <w:spacing w:line="600" w:lineRule="exact"/>
        <w:ind w:firstLineChars="200" w:firstLine="643"/>
        <w:outlineLvl w:val="2"/>
        <w:rPr>
          <w:rFonts w:eastAsia="楷体_GB2312" w:cs="楷体_GB2312"/>
          <w:b/>
          <w:sz w:val="32"/>
          <w:szCs w:val="32"/>
        </w:rPr>
      </w:pPr>
      <w:bookmarkStart w:id="47" w:name="_Toc15377222"/>
      <w:r>
        <w:rPr>
          <w:rFonts w:eastAsia="楷体_GB2312" w:cs="楷体_GB2312" w:hint="eastAsia"/>
          <w:b/>
          <w:sz w:val="32"/>
          <w:szCs w:val="32"/>
        </w:rPr>
        <w:t>（一）机关运行经费支出情况</w:t>
      </w:r>
      <w:bookmarkEnd w:id="47"/>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，四川省攀枝花市自然资源和规划局西区分局机关运行经费支出12.81万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2.46</w:t>
      </w:r>
      <w:r>
        <w:rPr>
          <w:rFonts w:eastAsia="仿宋_GB2312" w:cs="仿宋_GB2312" w:hint="eastAsia"/>
          <w:sz w:val="32"/>
          <w:szCs w:val="32"/>
        </w:rPr>
        <w:t>万元，</w:t>
      </w:r>
      <w:r>
        <w:rPr>
          <w:rFonts w:eastAsia="仿宋_GB2312" w:cs="仿宋_GB2312" w:hint="eastAsia"/>
          <w:sz w:val="32"/>
          <w:szCs w:val="32"/>
        </w:rPr>
        <w:lastRenderedPageBreak/>
        <w:t>增长</w:t>
      </w:r>
      <w:r>
        <w:rPr>
          <w:rFonts w:eastAsia="仿宋_GB2312" w:cs="仿宋_GB2312" w:hint="eastAsia"/>
          <w:sz w:val="32"/>
          <w:szCs w:val="32"/>
        </w:rPr>
        <w:t>23.76%</w:t>
      </w:r>
      <w:r>
        <w:rPr>
          <w:rFonts w:eastAsia="仿宋_GB2312" w:cs="仿宋_GB2312" w:hint="eastAsia"/>
          <w:sz w:val="32"/>
          <w:szCs w:val="32"/>
        </w:rPr>
        <w:t>。主要原因是</w:t>
      </w:r>
      <w:r>
        <w:rPr>
          <w:rFonts w:ascii="仿宋_GB2312" w:eastAsia="仿宋_GB2312" w:hint="eastAsia"/>
          <w:sz w:val="32"/>
          <w:szCs w:val="32"/>
        </w:rPr>
        <w:t>维持运转的必要支出应付金额增加。</w:t>
      </w:r>
    </w:p>
    <w:p w:rsidR="003C4C9A" w:rsidRDefault="00000000">
      <w:pPr>
        <w:spacing w:line="600" w:lineRule="exact"/>
        <w:ind w:firstLineChars="200" w:firstLine="643"/>
        <w:outlineLvl w:val="2"/>
        <w:rPr>
          <w:rFonts w:eastAsia="楷体_GB2312" w:cs="楷体_GB2312"/>
          <w:b/>
          <w:sz w:val="32"/>
          <w:szCs w:val="32"/>
        </w:rPr>
      </w:pPr>
      <w:bookmarkStart w:id="48" w:name="_Toc15377223"/>
      <w:r>
        <w:rPr>
          <w:rFonts w:eastAsia="楷体_GB2312" w:cs="楷体_GB2312" w:hint="eastAsia"/>
          <w:b/>
          <w:sz w:val="32"/>
          <w:szCs w:val="32"/>
        </w:rPr>
        <w:t>（二）政府采购支出情况</w:t>
      </w:r>
      <w:bookmarkEnd w:id="48"/>
    </w:p>
    <w:p w:rsidR="003C4C9A"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四川省攀枝花市自然资源和规划局西区分局政府采购支出总额2.3万元，其中：政府采购货物支出0万元、政府采购工程支出0万元、政府采购服务支出2.3万元。主要用于车辆相关服务政府采购。授予中小企业合同金额1.4万元，占政府采购支出总额的60.86%，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合同金额0万元，占政府采购支出总额的0%。</w:t>
      </w:r>
    </w:p>
    <w:p w:rsidR="003C4C9A" w:rsidRDefault="00000000">
      <w:pPr>
        <w:spacing w:line="600" w:lineRule="exact"/>
        <w:ind w:firstLineChars="200" w:firstLine="643"/>
        <w:outlineLvl w:val="2"/>
        <w:rPr>
          <w:rFonts w:eastAsia="楷体_GB2312" w:cs="楷体_GB2312"/>
          <w:b/>
          <w:sz w:val="32"/>
          <w:szCs w:val="32"/>
        </w:rPr>
      </w:pPr>
      <w:bookmarkStart w:id="49" w:name="_Toc15377224"/>
      <w:r>
        <w:rPr>
          <w:rFonts w:eastAsia="楷体_GB2312" w:cs="楷体_GB2312" w:hint="eastAsia"/>
          <w:b/>
          <w:sz w:val="32"/>
          <w:szCs w:val="32"/>
        </w:rPr>
        <w:t>（三）国有资产占有使用情况</w:t>
      </w:r>
      <w:bookmarkEnd w:id="49"/>
    </w:p>
    <w:p w:rsidR="003C4C9A" w:rsidRDefault="0000000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截至2024年12月31日，四川省攀枝花市自然资源和规划局西区分局共有车辆1辆，其中：主要负责人用车0辆、机要通信用车0辆、应急保障用车0辆、其他用车1辆，其他用车主要是用于</w:t>
      </w:r>
      <w:r>
        <w:rPr>
          <w:rFonts w:ascii="仿宋_GB2312" w:eastAsia="仿宋_GB2312"/>
          <w:sz w:val="32"/>
          <w:szCs w:val="32"/>
        </w:rPr>
        <w:t>地灾巡查、耕地保护、土地开发利用现场勘察、土地执法巡查</w:t>
      </w:r>
      <w:r>
        <w:rPr>
          <w:rFonts w:ascii="仿宋_GB2312" w:eastAsia="仿宋_GB2312" w:hint="eastAsia"/>
          <w:sz w:val="32"/>
          <w:szCs w:val="32"/>
        </w:rPr>
        <w:t>。</w:t>
      </w:r>
      <w:r>
        <w:rPr>
          <w:rFonts w:ascii="仿宋_GB2312" w:eastAsia="仿宋_GB2312" w:hAnsi="仿宋_GB2312" w:cs="仿宋_GB2312" w:hint="eastAsia"/>
          <w:sz w:val="32"/>
          <w:szCs w:val="32"/>
        </w:rPr>
        <w:t>单价100万元（含）以上设备（不含车辆）0台（套）</w:t>
      </w:r>
      <w:r>
        <w:rPr>
          <w:rFonts w:eastAsia="仿宋_GB2312" w:cs="仿宋_GB2312" w:hint="eastAsia"/>
          <w:sz w:val="32"/>
          <w:szCs w:val="32"/>
        </w:rPr>
        <w:t>。</w:t>
      </w:r>
    </w:p>
    <w:p w:rsidR="003C4C9A" w:rsidRDefault="00000000">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3C4C9A" w:rsidRDefault="00000000">
      <w:pPr>
        <w:spacing w:line="600" w:lineRule="exact"/>
        <w:ind w:firstLineChars="200" w:firstLine="640"/>
        <w:rPr>
          <w:rFonts w:ascii="仿宋_GB2312" w:eastAsia="仿宋_GB2312"/>
          <w:sz w:val="32"/>
          <w:szCs w:val="32"/>
        </w:rPr>
      </w:pPr>
      <w:r>
        <w:rPr>
          <w:rFonts w:eastAsia="仿宋_GB2312" w:cs="仿宋_GB2312" w:hint="eastAsia"/>
          <w:sz w:val="32"/>
          <w:szCs w:val="32"/>
        </w:rPr>
        <w:t>根据预算绩效管理要求，本单位在</w:t>
      </w:r>
      <w:r>
        <w:rPr>
          <w:rFonts w:eastAsia="仿宋_GB2312" w:cs="仿宋_GB2312" w:hint="eastAsia"/>
          <w:sz w:val="32"/>
          <w:szCs w:val="32"/>
        </w:rPr>
        <w:t>2024</w:t>
      </w:r>
      <w:r>
        <w:rPr>
          <w:rFonts w:eastAsia="仿宋_GB2312" w:cs="仿宋_GB2312" w:hint="eastAsia"/>
          <w:sz w:val="32"/>
          <w:szCs w:val="32"/>
        </w:rPr>
        <w:t>年度预算编制阶段，组织对西区格里坪镇小学滑坡排危除险、</w:t>
      </w:r>
      <w:r>
        <w:rPr>
          <w:rFonts w:eastAsia="仿宋_GB2312" w:cs="仿宋_GB2312" w:hint="eastAsia"/>
          <w:sz w:val="32"/>
          <w:szCs w:val="32"/>
        </w:rPr>
        <w:t>2023</w:t>
      </w:r>
      <w:r>
        <w:rPr>
          <w:rFonts w:eastAsia="仿宋_GB2312" w:cs="仿宋_GB2312" w:hint="eastAsia"/>
          <w:sz w:val="32"/>
          <w:szCs w:val="32"/>
        </w:rPr>
        <w:t>年第三批</w:t>
      </w:r>
      <w:proofErr w:type="gramStart"/>
      <w:r>
        <w:rPr>
          <w:rFonts w:eastAsia="仿宋_GB2312" w:cs="仿宋_GB2312" w:hint="eastAsia"/>
          <w:sz w:val="32"/>
          <w:szCs w:val="32"/>
        </w:rPr>
        <w:t>省级地灾</w:t>
      </w:r>
      <w:proofErr w:type="gramEnd"/>
      <w:r>
        <w:rPr>
          <w:rFonts w:eastAsia="仿宋_GB2312" w:cs="仿宋_GB2312" w:hint="eastAsia"/>
          <w:sz w:val="32"/>
          <w:szCs w:val="32"/>
        </w:rPr>
        <w:t>防治专业人员补助、第二批重点生态保护修复治理资金、攀枝花市西区格里坪镇金家村</w:t>
      </w:r>
      <w:r>
        <w:rPr>
          <w:rFonts w:eastAsia="仿宋_GB2312" w:cs="仿宋_GB2312" w:hint="eastAsia"/>
          <w:sz w:val="32"/>
          <w:szCs w:val="32"/>
        </w:rPr>
        <w:t>3</w:t>
      </w:r>
      <w:r>
        <w:rPr>
          <w:rFonts w:eastAsia="仿宋_GB2312" w:cs="仿宋_GB2312" w:hint="eastAsia"/>
          <w:sz w:val="32"/>
          <w:szCs w:val="32"/>
        </w:rPr>
        <w:t>社金家沟泥石流治理工程、攀枝花市西区格里坪镇烂坝村一社滑坡治理工程、攀枝花市西区格里坪镇苦荞村</w:t>
      </w:r>
      <w:r>
        <w:rPr>
          <w:rFonts w:eastAsia="仿宋_GB2312" w:cs="仿宋_GB2312" w:hint="eastAsia"/>
          <w:sz w:val="32"/>
          <w:szCs w:val="32"/>
        </w:rPr>
        <w:t>5</w:t>
      </w:r>
      <w:r>
        <w:rPr>
          <w:rFonts w:eastAsia="仿宋_GB2312" w:cs="仿宋_GB2312" w:hint="eastAsia"/>
          <w:sz w:val="32"/>
          <w:szCs w:val="32"/>
        </w:rPr>
        <w:t>社崩塌（危岩）治理工程、专职监测、攀枝花市西区西</w:t>
      </w:r>
      <w:proofErr w:type="gramStart"/>
      <w:r>
        <w:rPr>
          <w:rFonts w:eastAsia="仿宋_GB2312" w:cs="仿宋_GB2312" w:hint="eastAsia"/>
          <w:sz w:val="32"/>
          <w:szCs w:val="32"/>
        </w:rPr>
        <w:t>佛寺北</w:t>
      </w:r>
      <w:proofErr w:type="gramEnd"/>
      <w:r>
        <w:rPr>
          <w:rFonts w:eastAsia="仿宋_GB2312" w:cs="仿宋_GB2312" w:hint="eastAsia"/>
          <w:sz w:val="32"/>
          <w:szCs w:val="32"/>
        </w:rPr>
        <w:t>100m</w:t>
      </w:r>
      <w:r>
        <w:rPr>
          <w:rFonts w:eastAsia="仿宋_GB2312" w:cs="仿宋_GB2312" w:hint="eastAsia"/>
          <w:sz w:val="32"/>
          <w:szCs w:val="32"/>
        </w:rPr>
        <w:t>采石场生态修复施</w:t>
      </w:r>
      <w:r>
        <w:rPr>
          <w:rFonts w:eastAsia="仿宋_GB2312" w:cs="仿宋_GB2312" w:hint="eastAsia"/>
          <w:sz w:val="32"/>
          <w:szCs w:val="32"/>
        </w:rPr>
        <w:lastRenderedPageBreak/>
        <w:t>工、西区</w:t>
      </w:r>
      <w:r w:rsidR="00331251">
        <w:rPr>
          <w:rFonts w:eastAsia="仿宋_GB2312" w:cs="仿宋_GB2312" w:hint="eastAsia"/>
          <w:sz w:val="32"/>
          <w:szCs w:val="32"/>
        </w:rPr>
        <w:t>地质</w:t>
      </w:r>
      <w:r>
        <w:rPr>
          <w:rFonts w:eastAsia="仿宋_GB2312" w:cs="仿宋_GB2312" w:hint="eastAsia"/>
          <w:sz w:val="32"/>
          <w:szCs w:val="32"/>
        </w:rPr>
        <w:t>灾害防治能力建设、攀枝花市西区静怡社区危岩治理工程、攀枝花市西区西佛寺景区崩塌治理工程项目、攀枝花市西区格里坪镇格里坪村一社土司坟采石场生态修复施工、攀枝花市西区静怡社区后山危岩治理工程运行监测费等</w:t>
      </w:r>
      <w:r>
        <w:rPr>
          <w:rFonts w:eastAsia="仿宋_GB2312" w:cs="仿宋_GB2312" w:hint="eastAsia"/>
          <w:sz w:val="32"/>
          <w:szCs w:val="32"/>
        </w:rPr>
        <w:t>13</w:t>
      </w:r>
      <w:r>
        <w:rPr>
          <w:rFonts w:eastAsia="仿宋_GB2312" w:cs="仿宋_GB2312" w:hint="eastAsia"/>
          <w:sz w:val="32"/>
          <w:szCs w:val="32"/>
        </w:rPr>
        <w:t>个项目开展了预算事前绩效评估，对</w:t>
      </w:r>
      <w:r>
        <w:rPr>
          <w:rFonts w:eastAsia="仿宋_GB2312" w:cs="仿宋_GB2312" w:hint="eastAsia"/>
          <w:sz w:val="32"/>
          <w:szCs w:val="32"/>
        </w:rPr>
        <w:t>13</w:t>
      </w:r>
      <w:r>
        <w:rPr>
          <w:rFonts w:eastAsia="仿宋_GB2312" w:cs="仿宋_GB2312" w:hint="eastAsia"/>
          <w:sz w:val="32"/>
          <w:szCs w:val="32"/>
        </w:rPr>
        <w:t>个项目编制了绩效目标，预算执行过程中，选取</w:t>
      </w:r>
      <w:r>
        <w:rPr>
          <w:rFonts w:eastAsia="仿宋_GB2312" w:cs="仿宋_GB2312" w:hint="eastAsia"/>
          <w:sz w:val="32"/>
          <w:szCs w:val="32"/>
        </w:rPr>
        <w:t>13</w:t>
      </w:r>
      <w:r>
        <w:rPr>
          <w:rFonts w:eastAsia="仿宋_GB2312" w:cs="仿宋_GB2312" w:hint="eastAsia"/>
          <w:sz w:val="32"/>
          <w:szCs w:val="32"/>
        </w:rPr>
        <w:t>个项目开展绩效监控，</w:t>
      </w:r>
      <w:r>
        <w:rPr>
          <w:rFonts w:ascii="仿宋_GB2312" w:eastAsia="仿宋_GB2312" w:hint="eastAsia"/>
          <w:sz w:val="32"/>
          <w:szCs w:val="32"/>
        </w:rPr>
        <w:t>组织对13个项目开展绩效自评，绩效自评表详见第四部分附件。</w:t>
      </w:r>
    </w:p>
    <w:p w:rsidR="003C4C9A" w:rsidRDefault="003C4C9A">
      <w:pPr>
        <w:spacing w:line="600" w:lineRule="exact"/>
        <w:ind w:firstLine="640"/>
        <w:rPr>
          <w:rFonts w:eastAsia="仿宋_GB2312" w:cs="仿宋_GB2312"/>
          <w:sz w:val="32"/>
          <w:szCs w:val="32"/>
        </w:rPr>
      </w:pPr>
    </w:p>
    <w:p w:rsidR="003C4C9A" w:rsidRDefault="003C4C9A">
      <w:pPr>
        <w:spacing w:line="600" w:lineRule="exact"/>
        <w:rPr>
          <w:rFonts w:eastAsia="仿宋_GB2312" w:cs="仿宋_GB2312"/>
          <w:sz w:val="32"/>
          <w:szCs w:val="32"/>
        </w:rPr>
      </w:pPr>
    </w:p>
    <w:p w:rsidR="003C4C9A" w:rsidRDefault="003C4C9A">
      <w:pPr>
        <w:spacing w:line="600" w:lineRule="exact"/>
        <w:ind w:firstLine="640"/>
        <w:rPr>
          <w:rFonts w:eastAsia="仿宋_GB2312" w:cs="仿宋_GB2312"/>
          <w:sz w:val="32"/>
          <w:szCs w:val="32"/>
        </w:rPr>
      </w:pPr>
    </w:p>
    <w:p w:rsidR="003C4C9A" w:rsidRDefault="003C4C9A">
      <w:pPr>
        <w:pStyle w:val="a0"/>
        <w:spacing w:before="93"/>
        <w:rPr>
          <w:rFonts w:ascii="Times New Roman" w:cs="仿宋_GB2312"/>
          <w:kern w:val="2"/>
          <w:sz w:val="32"/>
          <w:szCs w:val="32"/>
        </w:rPr>
      </w:pPr>
    </w:p>
    <w:p w:rsidR="003C4C9A" w:rsidRDefault="003C4C9A">
      <w:pPr>
        <w:pStyle w:val="a0"/>
        <w:spacing w:before="93"/>
        <w:rPr>
          <w:rFonts w:ascii="Times New Roman" w:cs="仿宋_GB2312"/>
          <w:kern w:val="2"/>
          <w:sz w:val="32"/>
          <w:szCs w:val="32"/>
        </w:rPr>
      </w:pPr>
    </w:p>
    <w:p w:rsidR="003C4C9A" w:rsidRDefault="003C4C9A">
      <w:pPr>
        <w:pStyle w:val="a0"/>
        <w:spacing w:before="93"/>
        <w:rPr>
          <w:rFonts w:ascii="Times New Roman" w:cs="仿宋_GB2312"/>
          <w:kern w:val="2"/>
          <w:sz w:val="32"/>
          <w:szCs w:val="32"/>
        </w:rPr>
      </w:pPr>
    </w:p>
    <w:p w:rsidR="003C4C9A" w:rsidRDefault="003C4C9A">
      <w:pPr>
        <w:pStyle w:val="a4"/>
        <w:rPr>
          <w:rFonts w:ascii="Times New Roman" w:eastAsia="仿宋_GB2312" w:hAnsi="Times New Roman" w:cs="仿宋_GB2312"/>
          <w:kern w:val="2"/>
          <w:sz w:val="32"/>
          <w:szCs w:val="32"/>
        </w:rPr>
      </w:pPr>
    </w:p>
    <w:p w:rsidR="003C4C9A" w:rsidRDefault="003C4C9A">
      <w:pPr>
        <w:pStyle w:val="a4"/>
        <w:rPr>
          <w:rFonts w:ascii="Times New Roman" w:eastAsia="仿宋_GB2312" w:hAnsi="Times New Roman" w:cs="仿宋_GB2312"/>
          <w:kern w:val="2"/>
          <w:sz w:val="32"/>
          <w:szCs w:val="32"/>
        </w:rPr>
      </w:pPr>
    </w:p>
    <w:p w:rsidR="003C4C9A" w:rsidRDefault="003C4C9A">
      <w:pPr>
        <w:pStyle w:val="a4"/>
        <w:rPr>
          <w:rFonts w:ascii="Times New Roman" w:eastAsia="仿宋_GB2312" w:hAnsi="Times New Roman" w:cs="仿宋_GB2312"/>
          <w:kern w:val="2"/>
          <w:sz w:val="32"/>
          <w:szCs w:val="32"/>
        </w:rPr>
      </w:pPr>
    </w:p>
    <w:p w:rsidR="003C4C9A" w:rsidRDefault="003C4C9A">
      <w:pPr>
        <w:pStyle w:val="a4"/>
        <w:rPr>
          <w:rFonts w:ascii="Times New Roman" w:eastAsia="仿宋_GB2312" w:hAnsi="Times New Roman" w:cs="仿宋_GB2312"/>
          <w:kern w:val="2"/>
          <w:sz w:val="32"/>
          <w:szCs w:val="32"/>
        </w:rPr>
      </w:pPr>
    </w:p>
    <w:p w:rsidR="003C4C9A" w:rsidRDefault="003C4C9A">
      <w:pPr>
        <w:pStyle w:val="a4"/>
        <w:rPr>
          <w:rFonts w:ascii="Times New Roman" w:eastAsia="仿宋_GB2312" w:hAnsi="Times New Roman" w:cs="仿宋_GB2312"/>
          <w:kern w:val="2"/>
          <w:sz w:val="32"/>
          <w:szCs w:val="32"/>
        </w:rPr>
      </w:pPr>
    </w:p>
    <w:p w:rsidR="003C4C9A" w:rsidRDefault="003C4C9A">
      <w:pPr>
        <w:pStyle w:val="a4"/>
        <w:rPr>
          <w:rFonts w:ascii="Times New Roman" w:eastAsia="仿宋_GB2312" w:hAnsi="Times New Roman" w:cs="仿宋_GB2312"/>
          <w:kern w:val="2"/>
          <w:sz w:val="32"/>
          <w:szCs w:val="32"/>
        </w:rPr>
      </w:pPr>
    </w:p>
    <w:p w:rsidR="003C4C9A" w:rsidRDefault="003C4C9A">
      <w:pPr>
        <w:pStyle w:val="a4"/>
        <w:rPr>
          <w:rFonts w:ascii="Times New Roman" w:eastAsia="仿宋_GB2312" w:hAnsi="Times New Roman" w:cs="仿宋_GB2312"/>
          <w:kern w:val="2"/>
          <w:sz w:val="32"/>
          <w:szCs w:val="32"/>
        </w:rPr>
      </w:pPr>
    </w:p>
    <w:p w:rsidR="003C4C9A" w:rsidRDefault="003C4C9A">
      <w:pPr>
        <w:pStyle w:val="a0"/>
        <w:spacing w:before="93"/>
        <w:rPr>
          <w:rFonts w:ascii="Times New Roman" w:cs="仿宋_GB2312"/>
          <w:kern w:val="2"/>
          <w:sz w:val="32"/>
          <w:szCs w:val="32"/>
        </w:rPr>
      </w:pPr>
    </w:p>
    <w:p w:rsidR="003C4C9A" w:rsidRDefault="003C4C9A">
      <w:pPr>
        <w:pStyle w:val="a0"/>
        <w:spacing w:before="93"/>
        <w:rPr>
          <w:rFonts w:ascii="Times New Roman" w:cs="仿宋_GB2312"/>
          <w:kern w:val="2"/>
          <w:sz w:val="32"/>
          <w:szCs w:val="32"/>
        </w:rPr>
      </w:pPr>
    </w:p>
    <w:p w:rsidR="003C4C9A" w:rsidRDefault="003C4C9A">
      <w:pPr>
        <w:pStyle w:val="a0"/>
        <w:spacing w:before="93"/>
        <w:rPr>
          <w:rFonts w:ascii="Times New Roman" w:cs="仿宋_GB2312"/>
          <w:kern w:val="2"/>
          <w:sz w:val="32"/>
          <w:szCs w:val="32"/>
        </w:rPr>
      </w:pPr>
    </w:p>
    <w:p w:rsidR="003C4C9A" w:rsidRDefault="00000000">
      <w:pPr>
        <w:spacing w:line="600" w:lineRule="exact"/>
        <w:jc w:val="center"/>
        <w:outlineLvl w:val="0"/>
        <w:rPr>
          <w:rFonts w:eastAsia="SimHei"/>
          <w:sz w:val="44"/>
          <w:szCs w:val="44"/>
        </w:rPr>
      </w:pPr>
      <w:bookmarkStart w:id="50" w:name="_Toc15396613"/>
      <w:bookmarkStart w:id="51" w:name="_Toc15377225"/>
      <w:r>
        <w:rPr>
          <w:rFonts w:eastAsia="SimHei" w:hint="eastAsia"/>
          <w:sz w:val="44"/>
          <w:szCs w:val="44"/>
        </w:rPr>
        <w:lastRenderedPageBreak/>
        <w:t>第三部分</w:t>
      </w:r>
      <w:r>
        <w:rPr>
          <w:rFonts w:eastAsia="SimHei" w:hint="eastAsia"/>
          <w:sz w:val="44"/>
          <w:szCs w:val="44"/>
        </w:rPr>
        <w:t xml:space="preserve">  </w:t>
      </w:r>
      <w:r>
        <w:rPr>
          <w:rFonts w:eastAsia="SimHei" w:hint="eastAsia"/>
          <w:sz w:val="44"/>
          <w:szCs w:val="44"/>
        </w:rPr>
        <w:t>名词解释</w:t>
      </w:r>
      <w:bookmarkEnd w:id="50"/>
      <w:bookmarkEnd w:id="51"/>
    </w:p>
    <w:p w:rsidR="003C4C9A" w:rsidRDefault="003C4C9A">
      <w:pPr>
        <w:spacing w:line="600" w:lineRule="exact"/>
        <w:jc w:val="left"/>
        <w:rPr>
          <w:b/>
          <w:sz w:val="44"/>
          <w:szCs w:val="44"/>
        </w:rPr>
      </w:pPr>
    </w:p>
    <w:p w:rsidR="003C4C9A" w:rsidRDefault="00000000">
      <w:pPr>
        <w:numPr>
          <w:ilvl w:val="0"/>
          <w:numId w:val="3"/>
        </w:numPr>
        <w:spacing w:line="600" w:lineRule="exact"/>
        <w:ind w:firstLine="640"/>
        <w:rPr>
          <w:rFonts w:eastAsia="仿宋_GB2312" w:cs="仿宋_GB2312"/>
          <w:sz w:val="32"/>
          <w:szCs w:val="32"/>
        </w:rPr>
      </w:pPr>
      <w:r>
        <w:rPr>
          <w:rFonts w:eastAsia="仿宋_GB2312" w:cs="仿宋_GB2312" w:hint="eastAsia"/>
          <w:sz w:val="32"/>
          <w:szCs w:val="32"/>
        </w:rPr>
        <w:t>财政拨款收入：指单位从同级财政部门取得的财政预算资金。</w:t>
      </w:r>
    </w:p>
    <w:p w:rsidR="003C4C9A"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3C4C9A"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3.年末结转和结余：指单位按有关规定结转到下年或以后年度继续使用的资金。</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社会保障和就业支出（类）行政事业单位养老支出（款）行政单位离退休（项）：指反映行政单位(包括实行公务员管理的事业单位)开支的离退休经费。</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社会保障和就业支出（类）行政事业单位养老支出（款）机关事业单位基本养老保险缴费支出（项）：指反映机关事业单位实施养老保险制度由单位缴纳的基本养老保险费支出。</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自然资源海洋气象等支出（类）自然资源事务（款）行政运行（项）：指反映</w:t>
      </w:r>
      <w:r>
        <w:rPr>
          <w:rFonts w:eastAsia="仿宋_GB2312"/>
          <w:color w:val="000000"/>
          <w:sz w:val="32"/>
          <w:szCs w:val="32"/>
        </w:rPr>
        <w:t>行政单位</w:t>
      </w:r>
      <w:r>
        <w:rPr>
          <w:rFonts w:eastAsia="仿宋_GB2312"/>
          <w:color w:val="000000"/>
          <w:sz w:val="32"/>
          <w:szCs w:val="32"/>
        </w:rPr>
        <w:t>(</w:t>
      </w:r>
      <w:r>
        <w:rPr>
          <w:rFonts w:eastAsia="仿宋_GB2312"/>
          <w:color w:val="000000"/>
          <w:sz w:val="32"/>
          <w:szCs w:val="32"/>
        </w:rPr>
        <w:t>包括实行公务员管理是事业单位</w:t>
      </w:r>
      <w:r>
        <w:rPr>
          <w:rFonts w:eastAsia="仿宋_GB2312"/>
          <w:color w:val="000000"/>
          <w:sz w:val="32"/>
          <w:szCs w:val="32"/>
        </w:rPr>
        <w:t>)</w:t>
      </w:r>
      <w:r>
        <w:rPr>
          <w:rFonts w:eastAsia="仿宋_GB2312"/>
          <w:color w:val="000000"/>
          <w:sz w:val="32"/>
          <w:szCs w:val="32"/>
        </w:rPr>
        <w:t>的基本支出</w:t>
      </w:r>
      <w:r>
        <w:rPr>
          <w:rFonts w:ascii="仿宋_GB2312" w:eastAsia="仿宋_GB2312" w:hint="eastAsia"/>
          <w:sz w:val="32"/>
          <w:szCs w:val="32"/>
        </w:rPr>
        <w:t>。</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自然资源海洋气象等支出（类）自然资源事务（款）自然资源利用与保护（项）：指反映用于自然资源有偿使用与合理开发利用，国土空间生态修复，国土整治，耕地保护等方面的支出。</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自然资源海洋气象等支出（类）自然资源事务（款）</w:t>
      </w:r>
      <w:r>
        <w:rPr>
          <w:rFonts w:ascii="仿宋_GB2312" w:eastAsia="仿宋_GB2312" w:hint="eastAsia"/>
          <w:sz w:val="32"/>
          <w:szCs w:val="32"/>
        </w:rPr>
        <w:lastRenderedPageBreak/>
        <w:t>事业运行（项）：指反映</w:t>
      </w:r>
      <w:r>
        <w:rPr>
          <w:rFonts w:eastAsia="仿宋_GB2312"/>
          <w:color w:val="000000"/>
          <w:sz w:val="32"/>
          <w:szCs w:val="32"/>
        </w:rPr>
        <w:t>事业单位的基本支出</w:t>
      </w:r>
      <w:r>
        <w:rPr>
          <w:rFonts w:eastAsia="仿宋_GB2312"/>
          <w:color w:val="000000"/>
          <w:sz w:val="32"/>
          <w:szCs w:val="32"/>
        </w:rPr>
        <w:t>,</w:t>
      </w:r>
      <w:r>
        <w:rPr>
          <w:rFonts w:eastAsia="仿宋_GB2312"/>
          <w:color w:val="000000"/>
          <w:sz w:val="32"/>
          <w:szCs w:val="32"/>
        </w:rPr>
        <w:t>不包括行政单位</w:t>
      </w:r>
      <w:r>
        <w:rPr>
          <w:rFonts w:eastAsia="仿宋_GB2312"/>
          <w:color w:val="000000"/>
          <w:sz w:val="32"/>
          <w:szCs w:val="32"/>
        </w:rPr>
        <w:t>(</w:t>
      </w:r>
      <w:r>
        <w:rPr>
          <w:rFonts w:eastAsia="仿宋_GB2312"/>
          <w:color w:val="000000"/>
          <w:sz w:val="32"/>
          <w:szCs w:val="32"/>
        </w:rPr>
        <w:t>包括实行公务员管理的事业单位</w:t>
      </w:r>
      <w:r>
        <w:rPr>
          <w:rFonts w:eastAsia="仿宋_GB2312"/>
          <w:color w:val="000000"/>
          <w:sz w:val="32"/>
          <w:szCs w:val="32"/>
        </w:rPr>
        <w:t>)</w:t>
      </w:r>
      <w:r>
        <w:rPr>
          <w:rFonts w:eastAsia="仿宋_GB2312"/>
          <w:color w:val="000000"/>
          <w:sz w:val="32"/>
          <w:szCs w:val="32"/>
        </w:rPr>
        <w:t>后勤服务中心</w:t>
      </w:r>
      <w:r>
        <w:rPr>
          <w:rFonts w:eastAsia="仿宋_GB2312"/>
          <w:color w:val="000000"/>
          <w:sz w:val="32"/>
          <w:szCs w:val="32"/>
        </w:rPr>
        <w:t>,</w:t>
      </w:r>
      <w:r>
        <w:rPr>
          <w:rFonts w:eastAsia="仿宋_GB2312"/>
          <w:color w:val="000000"/>
          <w:sz w:val="32"/>
          <w:szCs w:val="32"/>
        </w:rPr>
        <w:t>医务室等附属事业单位</w:t>
      </w:r>
      <w:r>
        <w:rPr>
          <w:rFonts w:ascii="仿宋_GB2312" w:eastAsia="仿宋_GB2312" w:hint="eastAsia"/>
          <w:sz w:val="32"/>
          <w:szCs w:val="32"/>
        </w:rPr>
        <w:t>。</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自然资源海洋气象等支出（类）自然资源事务（款） 其他自然资源事务支出（项）：指反映除上述项目以外其他用于自然资源事务方面的支出。</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sz w:val="32"/>
          <w:szCs w:val="32"/>
        </w:rPr>
        <w:t>.</w:t>
      </w:r>
      <w:r>
        <w:rPr>
          <w:rFonts w:ascii="仿宋_GB2312" w:eastAsia="仿宋_GB2312" w:hint="eastAsia"/>
          <w:sz w:val="32"/>
          <w:szCs w:val="32"/>
        </w:rPr>
        <w:t>住房保障支出（类）住房改革支出（款）住房公积金（项）：指</w:t>
      </w:r>
      <w:r>
        <w:rPr>
          <w:rFonts w:eastAsia="仿宋_GB2312"/>
          <w:color w:val="000000"/>
          <w:sz w:val="32"/>
          <w:szCs w:val="32"/>
        </w:rPr>
        <w:t>行政事业单位按人力资源和社会保障部、财政规定的基本工资和津贴补贴以及规定比例为职工缴纳的住房公积金</w:t>
      </w:r>
      <w:r>
        <w:rPr>
          <w:rFonts w:ascii="仿宋_GB2312" w:eastAsia="仿宋_GB2312" w:hint="eastAsia"/>
          <w:sz w:val="32"/>
          <w:szCs w:val="32"/>
        </w:rPr>
        <w:t>。</w:t>
      </w:r>
    </w:p>
    <w:p w:rsidR="003C4C9A" w:rsidRDefault="00000000">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sz w:val="32"/>
          <w:szCs w:val="32"/>
        </w:rPr>
        <w:t>.</w:t>
      </w:r>
      <w:r>
        <w:rPr>
          <w:rFonts w:ascii="仿宋_GB2312" w:eastAsia="仿宋_GB2312" w:hint="eastAsia"/>
          <w:sz w:val="32"/>
          <w:szCs w:val="32"/>
        </w:rPr>
        <w:t>灾害防治及应急管理支出（类）自然灾害防治（款）地质灾害防治（项）：指反映防治地质灾害方面的支出。</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12.</w:t>
      </w:r>
      <w:r>
        <w:rPr>
          <w:rFonts w:eastAsia="仿宋_GB2312" w:cs="仿宋_GB2312" w:hint="eastAsia"/>
          <w:sz w:val="32"/>
          <w:szCs w:val="32"/>
        </w:rPr>
        <w:t>基本支出：指为保障机构正常运转、完成日常工作任务而发生的人员支出和公用支出。</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14.</w:t>
      </w:r>
      <w:r>
        <w:rPr>
          <w:rFonts w:eastAsia="仿宋_GB2312" w:cs="仿宋_GB2312" w:hint="eastAsia"/>
          <w:sz w:val="32"/>
          <w:szCs w:val="32"/>
        </w:rPr>
        <w:t>“三公”经费：指部门用财政拨款安排的因公出国（境）费、公务用车购置及运行费和公务接待费。其中，因公出国（境）</w:t>
      </w:r>
      <w:proofErr w:type="gramStart"/>
      <w:r>
        <w:rPr>
          <w:rFonts w:eastAsia="仿宋_GB2312" w:cs="仿宋_GB2312" w:hint="eastAsia"/>
          <w:sz w:val="32"/>
          <w:szCs w:val="32"/>
        </w:rPr>
        <w:t>费反映</w:t>
      </w:r>
      <w:proofErr w:type="gramEnd"/>
      <w:r>
        <w:rPr>
          <w:rFonts w:eastAsia="仿宋_GB2312" w:cs="仿宋_GB2312" w:hint="eastAsia"/>
          <w:sz w:val="32"/>
          <w:szCs w:val="32"/>
        </w:rPr>
        <w:t>单位公务出国（境）的国际旅费、国外城市间交通费、住宿费、伙食费、培训费、公杂费等支出；公务用车购置及运行</w:t>
      </w:r>
      <w:proofErr w:type="gramStart"/>
      <w:r>
        <w:rPr>
          <w:rFonts w:eastAsia="仿宋_GB2312" w:cs="仿宋_GB2312" w:hint="eastAsia"/>
          <w:sz w:val="32"/>
          <w:szCs w:val="32"/>
        </w:rPr>
        <w:t>费反映</w:t>
      </w:r>
      <w:proofErr w:type="gramEnd"/>
      <w:r>
        <w:rPr>
          <w:rFonts w:eastAsia="仿宋_GB2312" w:cs="仿宋_GB2312" w:hint="eastAsia"/>
          <w:sz w:val="32"/>
          <w:szCs w:val="32"/>
        </w:rPr>
        <w:t>单位公务用车车辆购置支出（</w:t>
      </w:r>
      <w:proofErr w:type="gramStart"/>
      <w:r>
        <w:rPr>
          <w:rFonts w:eastAsia="仿宋_GB2312" w:cs="仿宋_GB2312" w:hint="eastAsia"/>
          <w:sz w:val="32"/>
          <w:szCs w:val="32"/>
        </w:rPr>
        <w:t>含车辆</w:t>
      </w:r>
      <w:proofErr w:type="gramEnd"/>
      <w:r>
        <w:rPr>
          <w:rFonts w:eastAsia="仿宋_GB2312" w:cs="仿宋_GB2312" w:hint="eastAsia"/>
          <w:sz w:val="32"/>
          <w:szCs w:val="32"/>
        </w:rPr>
        <w:t>购置税）及租用费、燃料费、维修费、过路过桥费、保险费等</w:t>
      </w:r>
      <w:r>
        <w:rPr>
          <w:rFonts w:eastAsia="仿宋_GB2312" w:cs="仿宋_GB2312" w:hint="eastAsia"/>
          <w:sz w:val="32"/>
          <w:szCs w:val="32"/>
        </w:rPr>
        <w:lastRenderedPageBreak/>
        <w:t>支出；公务接待</w:t>
      </w:r>
      <w:proofErr w:type="gramStart"/>
      <w:r>
        <w:rPr>
          <w:rFonts w:eastAsia="仿宋_GB2312" w:cs="仿宋_GB2312" w:hint="eastAsia"/>
          <w:sz w:val="32"/>
          <w:szCs w:val="32"/>
        </w:rPr>
        <w:t>费反映</w:t>
      </w:r>
      <w:proofErr w:type="gramEnd"/>
      <w:r>
        <w:rPr>
          <w:rFonts w:eastAsia="仿宋_GB2312" w:cs="仿宋_GB2312" w:hint="eastAsia"/>
          <w:sz w:val="32"/>
          <w:szCs w:val="32"/>
        </w:rPr>
        <w:t>单位按规定开支的各类公务接待（含外宾接待）支出。</w:t>
      </w:r>
    </w:p>
    <w:p w:rsidR="003C4C9A" w:rsidRDefault="00000000">
      <w:pPr>
        <w:spacing w:line="600" w:lineRule="exact"/>
        <w:ind w:firstLine="640"/>
        <w:rPr>
          <w:rFonts w:eastAsia="仿宋_GB2312" w:cs="仿宋_GB2312"/>
          <w:sz w:val="32"/>
          <w:szCs w:val="32"/>
        </w:rPr>
      </w:pPr>
      <w:r>
        <w:rPr>
          <w:rFonts w:eastAsia="仿宋_GB2312" w:cs="仿宋_GB2312" w:hint="eastAsia"/>
          <w:sz w:val="32"/>
          <w:szCs w:val="32"/>
        </w:rPr>
        <w:t>15.</w:t>
      </w:r>
      <w:r>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C4C9A" w:rsidRDefault="003C4C9A">
      <w:pPr>
        <w:spacing w:line="600" w:lineRule="exact"/>
        <w:jc w:val="center"/>
        <w:rPr>
          <w:rFonts w:eastAsia="仿宋_GB2312" w:cs="仿宋_GB2312"/>
          <w:sz w:val="32"/>
          <w:szCs w:val="32"/>
        </w:rPr>
      </w:pPr>
      <w:bookmarkStart w:id="52" w:name="_Toc15377226"/>
    </w:p>
    <w:p w:rsidR="003C4C9A" w:rsidRDefault="00000000">
      <w:pPr>
        <w:spacing w:line="600" w:lineRule="exact"/>
        <w:jc w:val="center"/>
        <w:rPr>
          <w:rStyle w:val="10"/>
          <w:rFonts w:eastAsia="SimHei"/>
          <w:b w:val="0"/>
        </w:rPr>
      </w:pPr>
      <w:r>
        <w:rPr>
          <w:rFonts w:eastAsia="仿宋_GB2312" w:cs="仿宋_GB2312" w:hint="eastAsia"/>
          <w:sz w:val="32"/>
          <w:szCs w:val="32"/>
        </w:rPr>
        <w:br w:type="page"/>
      </w:r>
      <w:bookmarkStart w:id="53" w:name="_Toc15396614"/>
      <w:r>
        <w:rPr>
          <w:rFonts w:eastAsia="SimHei" w:hint="eastAsia"/>
          <w:sz w:val="44"/>
          <w:szCs w:val="44"/>
        </w:rPr>
        <w:lastRenderedPageBreak/>
        <w:t>第四部分</w:t>
      </w:r>
      <w:r>
        <w:rPr>
          <w:rFonts w:eastAsia="SimHei" w:hint="eastAsia"/>
          <w:sz w:val="44"/>
          <w:szCs w:val="44"/>
        </w:rPr>
        <w:t xml:space="preserve">  </w:t>
      </w:r>
      <w:r>
        <w:rPr>
          <w:rFonts w:eastAsia="SimHei" w:hint="eastAsia"/>
          <w:sz w:val="44"/>
          <w:szCs w:val="44"/>
        </w:rPr>
        <w:t>附件</w:t>
      </w:r>
      <w:bookmarkEnd w:id="53"/>
    </w:p>
    <w:p w:rsidR="003C4C9A" w:rsidRDefault="003C4C9A">
      <w:pPr>
        <w:pStyle w:val="a0"/>
        <w:spacing w:before="93"/>
      </w:pPr>
    </w:p>
    <w:p w:rsidR="003C4C9A" w:rsidRDefault="00000000">
      <w:pPr>
        <w:spacing w:line="578" w:lineRule="exact"/>
        <w:ind w:firstLine="640"/>
        <w:rPr>
          <w:sz w:val="32"/>
          <w:szCs w:val="32"/>
        </w:rPr>
      </w:pPr>
      <w:bookmarkStart w:id="54" w:name="_Toc9955"/>
      <w:r>
        <w:rPr>
          <w:rFonts w:hint="eastAsia"/>
          <w:sz w:val="32"/>
          <w:szCs w:val="32"/>
        </w:rPr>
        <w:t>攀枝花市自然资源和规划局西区分局部门预算项目支出绩效自评表（</w:t>
      </w:r>
      <w:r>
        <w:rPr>
          <w:rFonts w:hint="eastAsia"/>
          <w:sz w:val="32"/>
          <w:szCs w:val="32"/>
        </w:rPr>
        <w:t>2024</w:t>
      </w:r>
      <w:r>
        <w:rPr>
          <w:rFonts w:hint="eastAsia"/>
          <w:sz w:val="32"/>
          <w:szCs w:val="32"/>
        </w:rPr>
        <w:t>年度）</w:t>
      </w:r>
      <w:bookmarkEnd w:id="54"/>
    </w:p>
    <w:p w:rsidR="003C4C9A" w:rsidRDefault="003C4C9A">
      <w:pPr>
        <w:pStyle w:val="a0"/>
        <w:spacing w:before="93"/>
        <w:rPr>
          <w:sz w:val="32"/>
          <w:szCs w:val="32"/>
        </w:rPr>
      </w:pPr>
    </w:p>
    <w:p w:rsidR="003C4C9A" w:rsidRDefault="003C4C9A">
      <w:pPr>
        <w:pStyle w:val="a0"/>
        <w:spacing w:before="93"/>
        <w:rPr>
          <w:sz w:val="32"/>
          <w:szCs w:val="32"/>
        </w:rPr>
      </w:pPr>
    </w:p>
    <w:p w:rsidR="003C4C9A" w:rsidRDefault="003C4C9A">
      <w:pPr>
        <w:pStyle w:val="a0"/>
        <w:spacing w:before="93"/>
        <w:rPr>
          <w:sz w:val="32"/>
          <w:szCs w:val="32"/>
        </w:rPr>
      </w:pPr>
    </w:p>
    <w:p w:rsidR="003C4C9A" w:rsidRDefault="003C4C9A">
      <w:pPr>
        <w:pStyle w:val="a0"/>
        <w:spacing w:before="93"/>
        <w:rPr>
          <w:sz w:val="32"/>
          <w:szCs w:val="32"/>
        </w:rPr>
      </w:pPr>
    </w:p>
    <w:p w:rsidR="003C4C9A" w:rsidRDefault="003C4C9A">
      <w:pPr>
        <w:pStyle w:val="a0"/>
        <w:spacing w:before="93"/>
        <w:rPr>
          <w:sz w:val="32"/>
          <w:szCs w:val="32"/>
        </w:rPr>
      </w:pPr>
    </w:p>
    <w:p w:rsidR="003C4C9A" w:rsidRDefault="003C4C9A">
      <w:pPr>
        <w:spacing w:line="578" w:lineRule="exact"/>
        <w:ind w:firstLine="640"/>
        <w:rPr>
          <w:rFonts w:eastAsia="仿宋_GB2312" w:cs="仿宋_GB2312"/>
          <w:kern w:val="0"/>
          <w:sz w:val="32"/>
          <w:szCs w:val="32"/>
        </w:rPr>
      </w:pPr>
    </w:p>
    <w:p w:rsidR="003C4C9A" w:rsidRDefault="00000000">
      <w:pPr>
        <w:spacing w:line="578" w:lineRule="exact"/>
        <w:ind w:firstLine="640"/>
        <w:rPr>
          <w:rFonts w:eastAsia="仿宋_GB2312" w:cs="仿宋_GB2312"/>
          <w:kern w:val="0"/>
          <w:sz w:val="32"/>
          <w:szCs w:val="32"/>
        </w:rPr>
      </w:pPr>
      <w:bookmarkStart w:id="55" w:name="_Toc15396618"/>
      <w:r>
        <w:rPr>
          <w:rFonts w:eastAsia="仿宋_GB2312" w:cs="仿宋_GB2312" w:hint="eastAsia"/>
          <w:kern w:val="0"/>
          <w:sz w:val="32"/>
          <w:szCs w:val="32"/>
        </w:rPr>
        <w:br w:type="page"/>
      </w:r>
    </w:p>
    <w:p w:rsidR="003C4C9A" w:rsidRDefault="00000000">
      <w:pPr>
        <w:widowControl/>
        <w:jc w:val="center"/>
        <w:rPr>
          <w:rFonts w:eastAsia="FangSong"/>
        </w:rPr>
      </w:pPr>
      <w:r>
        <w:rPr>
          <w:rFonts w:eastAsia="SimHei" w:hint="eastAsia"/>
          <w:sz w:val="44"/>
          <w:szCs w:val="44"/>
        </w:rPr>
        <w:lastRenderedPageBreak/>
        <w:t>第</w:t>
      </w:r>
      <w:r>
        <w:rPr>
          <w:rStyle w:val="10"/>
          <w:rFonts w:eastAsia="SimHei" w:hint="eastAsia"/>
          <w:b w:val="0"/>
        </w:rPr>
        <w:t>五部分</w:t>
      </w:r>
      <w:r>
        <w:rPr>
          <w:rStyle w:val="10"/>
          <w:rFonts w:eastAsia="SimHei" w:hint="eastAsia"/>
          <w:b w:val="0"/>
        </w:rPr>
        <w:t xml:space="preserve"> </w:t>
      </w:r>
      <w:r>
        <w:rPr>
          <w:rStyle w:val="10"/>
          <w:rFonts w:eastAsia="SimHei" w:hint="eastAsia"/>
          <w:b w:val="0"/>
        </w:rPr>
        <w:t>附表</w:t>
      </w:r>
      <w:bookmarkStart w:id="56" w:name="_Toc15396619"/>
      <w:bookmarkEnd w:id="52"/>
      <w:bookmarkEnd w:id="55"/>
    </w:p>
    <w:p w:rsidR="003C4C9A" w:rsidRDefault="003C4C9A">
      <w:pPr>
        <w:pStyle w:val="TOC2"/>
        <w:adjustRightInd w:val="0"/>
        <w:snapToGrid w:val="0"/>
        <w:spacing w:line="560" w:lineRule="exact"/>
        <w:jc w:val="left"/>
        <w:rPr>
          <w:rFonts w:eastAsia="仿宋_GB2312" w:cs="仿宋_GB2312"/>
          <w:sz w:val="32"/>
          <w:szCs w:val="32"/>
        </w:rPr>
      </w:pPr>
    </w:p>
    <w:p w:rsidR="003C4C9A" w:rsidRDefault="00000000">
      <w:pPr>
        <w:pStyle w:val="TOC2"/>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6"/>
    </w:p>
    <w:p w:rsidR="003C4C9A" w:rsidRDefault="00000000">
      <w:pPr>
        <w:pStyle w:val="TOC2"/>
        <w:adjustRightInd w:val="0"/>
        <w:snapToGrid w:val="0"/>
        <w:spacing w:line="560" w:lineRule="exact"/>
        <w:jc w:val="left"/>
        <w:rPr>
          <w:rFonts w:eastAsia="仿宋_GB2312" w:cs="仿宋_GB2312"/>
          <w:sz w:val="32"/>
          <w:szCs w:val="32"/>
        </w:rPr>
      </w:pPr>
      <w:bookmarkStart w:id="57" w:name="_Toc15396620"/>
      <w:r>
        <w:rPr>
          <w:rFonts w:eastAsia="仿宋_GB2312" w:cs="仿宋_GB2312" w:hint="eastAsia"/>
          <w:sz w:val="32"/>
          <w:szCs w:val="32"/>
        </w:rPr>
        <w:t>二、收入决算表</w:t>
      </w:r>
      <w:bookmarkEnd w:id="57"/>
    </w:p>
    <w:p w:rsidR="003C4C9A" w:rsidRDefault="00000000">
      <w:pPr>
        <w:pStyle w:val="TOC2"/>
        <w:adjustRightInd w:val="0"/>
        <w:snapToGrid w:val="0"/>
        <w:spacing w:line="560" w:lineRule="exact"/>
        <w:jc w:val="left"/>
        <w:rPr>
          <w:rFonts w:eastAsia="仿宋_GB2312" w:cs="仿宋_GB2312"/>
          <w:sz w:val="32"/>
          <w:szCs w:val="32"/>
        </w:rPr>
      </w:pPr>
      <w:bookmarkStart w:id="58" w:name="_Toc15396621"/>
      <w:r>
        <w:rPr>
          <w:rFonts w:eastAsia="仿宋_GB2312" w:cs="仿宋_GB2312" w:hint="eastAsia"/>
          <w:sz w:val="32"/>
          <w:szCs w:val="32"/>
        </w:rPr>
        <w:t>三、支出决算表</w:t>
      </w:r>
      <w:bookmarkEnd w:id="58"/>
    </w:p>
    <w:p w:rsidR="003C4C9A" w:rsidRDefault="00000000">
      <w:pPr>
        <w:pStyle w:val="TOC2"/>
        <w:adjustRightInd w:val="0"/>
        <w:snapToGrid w:val="0"/>
        <w:spacing w:line="560" w:lineRule="exact"/>
        <w:jc w:val="left"/>
        <w:rPr>
          <w:rFonts w:eastAsia="仿宋_GB2312" w:cs="仿宋_GB2312"/>
          <w:sz w:val="32"/>
          <w:szCs w:val="32"/>
        </w:rPr>
      </w:pPr>
      <w:bookmarkStart w:id="59" w:name="_Toc15396622"/>
      <w:r>
        <w:rPr>
          <w:rFonts w:eastAsia="仿宋_GB2312" w:cs="仿宋_GB2312" w:hint="eastAsia"/>
          <w:sz w:val="32"/>
          <w:szCs w:val="32"/>
        </w:rPr>
        <w:t>四、财政拨款收入支出决算总表</w:t>
      </w:r>
      <w:bookmarkEnd w:id="59"/>
    </w:p>
    <w:p w:rsidR="003C4C9A" w:rsidRDefault="00000000">
      <w:pPr>
        <w:pStyle w:val="TOC2"/>
        <w:adjustRightInd w:val="0"/>
        <w:snapToGrid w:val="0"/>
        <w:spacing w:line="560" w:lineRule="exact"/>
        <w:jc w:val="left"/>
        <w:rPr>
          <w:rFonts w:eastAsia="仿宋_GB2312" w:cs="仿宋_GB2312"/>
          <w:sz w:val="32"/>
          <w:szCs w:val="32"/>
        </w:rPr>
      </w:pPr>
      <w:bookmarkStart w:id="60" w:name="_Toc15396623"/>
      <w:r>
        <w:rPr>
          <w:rFonts w:eastAsia="仿宋_GB2312" w:cs="仿宋_GB2312" w:hint="eastAsia"/>
          <w:sz w:val="32"/>
          <w:szCs w:val="32"/>
        </w:rPr>
        <w:t>五、财政拨款支出决算明细表</w:t>
      </w:r>
      <w:bookmarkStart w:id="61" w:name="_Toc15396624"/>
      <w:bookmarkEnd w:id="60"/>
    </w:p>
    <w:p w:rsidR="003C4C9A" w:rsidRDefault="00000000">
      <w:pPr>
        <w:pStyle w:val="TOC2"/>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1"/>
    </w:p>
    <w:p w:rsidR="003C4C9A" w:rsidRDefault="00000000">
      <w:pPr>
        <w:pStyle w:val="TOC2"/>
        <w:adjustRightInd w:val="0"/>
        <w:snapToGrid w:val="0"/>
        <w:spacing w:line="560" w:lineRule="exact"/>
        <w:jc w:val="left"/>
        <w:rPr>
          <w:rFonts w:eastAsia="仿宋_GB2312" w:cs="仿宋_GB2312"/>
          <w:sz w:val="32"/>
          <w:szCs w:val="32"/>
        </w:rPr>
      </w:pPr>
      <w:bookmarkStart w:id="62" w:name="_Toc15396625"/>
      <w:r>
        <w:rPr>
          <w:rFonts w:eastAsia="仿宋_GB2312" w:cs="仿宋_GB2312" w:hint="eastAsia"/>
          <w:sz w:val="32"/>
          <w:szCs w:val="32"/>
        </w:rPr>
        <w:t>七、一般公共预算财政拨款支出决算明细表</w:t>
      </w:r>
      <w:bookmarkEnd w:id="62"/>
    </w:p>
    <w:p w:rsidR="003C4C9A" w:rsidRDefault="00000000">
      <w:pPr>
        <w:pStyle w:val="TOC2"/>
        <w:adjustRightInd w:val="0"/>
        <w:snapToGrid w:val="0"/>
        <w:spacing w:line="560" w:lineRule="exact"/>
        <w:jc w:val="left"/>
        <w:rPr>
          <w:rFonts w:eastAsia="仿宋_GB2312" w:cs="仿宋_GB2312"/>
          <w:sz w:val="32"/>
          <w:szCs w:val="32"/>
        </w:rPr>
      </w:pPr>
      <w:bookmarkStart w:id="63" w:name="_Toc15396626"/>
      <w:r>
        <w:rPr>
          <w:rFonts w:eastAsia="仿宋_GB2312" w:cs="仿宋_GB2312" w:hint="eastAsia"/>
          <w:sz w:val="32"/>
          <w:szCs w:val="32"/>
        </w:rPr>
        <w:t>八、一般公共预算财政拨款基本支出决算表</w:t>
      </w:r>
      <w:bookmarkEnd w:id="63"/>
    </w:p>
    <w:p w:rsidR="003C4C9A" w:rsidRDefault="00000000">
      <w:pPr>
        <w:pStyle w:val="TOC2"/>
        <w:adjustRightInd w:val="0"/>
        <w:snapToGrid w:val="0"/>
        <w:spacing w:line="560" w:lineRule="exact"/>
        <w:jc w:val="left"/>
        <w:rPr>
          <w:rFonts w:eastAsia="仿宋_GB2312" w:cs="仿宋_GB2312"/>
          <w:sz w:val="32"/>
          <w:szCs w:val="32"/>
        </w:rPr>
      </w:pPr>
      <w:bookmarkStart w:id="64" w:name="_Toc15396627"/>
      <w:r>
        <w:rPr>
          <w:rFonts w:eastAsia="仿宋_GB2312" w:cs="仿宋_GB2312" w:hint="eastAsia"/>
          <w:sz w:val="32"/>
          <w:szCs w:val="32"/>
        </w:rPr>
        <w:t>九、一般公共预算财政拨款项目支出决算表</w:t>
      </w:r>
      <w:bookmarkEnd w:id="64"/>
    </w:p>
    <w:p w:rsidR="003C4C9A" w:rsidRDefault="00000000">
      <w:pPr>
        <w:pStyle w:val="TOC2"/>
        <w:adjustRightInd w:val="0"/>
        <w:snapToGrid w:val="0"/>
        <w:spacing w:line="560" w:lineRule="exact"/>
        <w:jc w:val="left"/>
        <w:rPr>
          <w:rFonts w:eastAsia="仿宋_GB2312" w:cs="仿宋_GB2312"/>
          <w:sz w:val="32"/>
          <w:szCs w:val="32"/>
        </w:rPr>
      </w:pPr>
      <w:bookmarkStart w:id="65" w:name="_Toc15396628"/>
      <w:r>
        <w:rPr>
          <w:rFonts w:eastAsia="仿宋_GB2312" w:cs="仿宋_GB2312" w:hint="eastAsia"/>
          <w:sz w:val="32"/>
          <w:szCs w:val="32"/>
        </w:rPr>
        <w:t>十、</w:t>
      </w:r>
      <w:bookmarkEnd w:id="65"/>
      <w:r>
        <w:rPr>
          <w:rFonts w:eastAsia="仿宋_GB2312" w:cs="仿宋_GB2312" w:hint="eastAsia"/>
          <w:sz w:val="32"/>
          <w:szCs w:val="32"/>
        </w:rPr>
        <w:t>政府性基金预算财政拨款收入支出决算表</w:t>
      </w:r>
    </w:p>
    <w:p w:rsidR="003C4C9A" w:rsidRDefault="00000000">
      <w:pPr>
        <w:pStyle w:val="TOC2"/>
        <w:adjustRightInd w:val="0"/>
        <w:snapToGrid w:val="0"/>
        <w:spacing w:line="560" w:lineRule="exact"/>
        <w:jc w:val="left"/>
        <w:rPr>
          <w:rFonts w:eastAsia="仿宋_GB2312" w:cs="仿宋_GB2312"/>
          <w:sz w:val="32"/>
          <w:szCs w:val="32"/>
        </w:rPr>
      </w:pPr>
      <w:bookmarkStart w:id="66" w:name="_Toc15396629"/>
      <w:r>
        <w:rPr>
          <w:rFonts w:eastAsia="仿宋_GB2312" w:cs="仿宋_GB2312" w:hint="eastAsia"/>
          <w:sz w:val="32"/>
          <w:szCs w:val="32"/>
        </w:rPr>
        <w:t>十一、</w:t>
      </w:r>
      <w:bookmarkEnd w:id="66"/>
      <w:r>
        <w:rPr>
          <w:rFonts w:eastAsia="仿宋_GB2312" w:cs="仿宋_GB2312" w:hint="eastAsia"/>
          <w:sz w:val="32"/>
          <w:szCs w:val="32"/>
        </w:rPr>
        <w:t>国有资本经营预算财政拨款收入支出决算表</w:t>
      </w:r>
    </w:p>
    <w:p w:rsidR="003C4C9A" w:rsidRDefault="00000000">
      <w:pPr>
        <w:pStyle w:val="TOC2"/>
        <w:adjustRightInd w:val="0"/>
        <w:snapToGrid w:val="0"/>
        <w:spacing w:line="560" w:lineRule="exact"/>
        <w:jc w:val="left"/>
        <w:rPr>
          <w:rFonts w:eastAsia="仿宋_GB2312" w:cs="仿宋_GB2312"/>
          <w:sz w:val="32"/>
          <w:szCs w:val="32"/>
        </w:rPr>
      </w:pPr>
      <w:bookmarkStart w:id="67" w:name="_Toc15396630"/>
      <w:r>
        <w:rPr>
          <w:rFonts w:eastAsia="仿宋_GB2312" w:cs="仿宋_GB2312" w:hint="eastAsia"/>
          <w:sz w:val="32"/>
          <w:szCs w:val="32"/>
        </w:rPr>
        <w:t>十二、</w:t>
      </w:r>
      <w:bookmarkEnd w:id="67"/>
      <w:r>
        <w:rPr>
          <w:rFonts w:eastAsia="仿宋_GB2312" w:cs="仿宋_GB2312" w:hint="eastAsia"/>
          <w:sz w:val="32"/>
          <w:szCs w:val="32"/>
        </w:rPr>
        <w:t>国有资本经营预算财政拨款支出决算表</w:t>
      </w:r>
    </w:p>
    <w:p w:rsidR="003C4C9A" w:rsidRDefault="00000000">
      <w:pPr>
        <w:pStyle w:val="TOC2"/>
        <w:adjustRightInd w:val="0"/>
        <w:snapToGrid w:val="0"/>
        <w:spacing w:line="560" w:lineRule="exact"/>
        <w:jc w:val="left"/>
        <w:rPr>
          <w:rFonts w:eastAsia="仿宋_GB2312" w:cs="仿宋_GB2312"/>
          <w:sz w:val="32"/>
          <w:szCs w:val="32"/>
        </w:rPr>
      </w:pPr>
      <w:bookmarkStart w:id="68" w:name="_Toc15396631"/>
      <w:r>
        <w:rPr>
          <w:rFonts w:eastAsia="仿宋_GB2312" w:cs="仿宋_GB2312" w:hint="eastAsia"/>
          <w:sz w:val="32"/>
          <w:szCs w:val="32"/>
        </w:rPr>
        <w:t>十三、</w:t>
      </w:r>
      <w:bookmarkEnd w:id="68"/>
      <w:r>
        <w:rPr>
          <w:rFonts w:eastAsia="仿宋_GB2312" w:cs="仿宋_GB2312" w:hint="eastAsia"/>
          <w:sz w:val="32"/>
          <w:szCs w:val="32"/>
        </w:rPr>
        <w:t>财政拨款“三公”经费支出决算表</w:t>
      </w:r>
    </w:p>
    <w:p w:rsidR="003C4C9A" w:rsidRDefault="003C4C9A"/>
    <w:sectPr w:rsidR="003C4C9A">
      <w:headerReference w:type="default" r:id="rId23"/>
      <w:footerReference w:type="default" r:id="rId24"/>
      <w:footerReference w:type="first" r:id="rId25"/>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26B" w:rsidRDefault="00CA326B">
      <w:r>
        <w:separator/>
      </w:r>
    </w:p>
  </w:endnote>
  <w:endnote w:type="continuationSeparator" w:id="0">
    <w:p w:rsidR="00CA326B" w:rsidRDefault="00CA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altName w:val="SimHei"/>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9A" w:rsidRDefault="003C4C9A">
    <w:pPr>
      <w:pStyle w:val="a4"/>
      <w:jc w:val="center"/>
    </w:pPr>
  </w:p>
  <w:p w:rsidR="003C4C9A" w:rsidRDefault="003C4C9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9A" w:rsidRDefault="00000000">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4C9A" w:rsidRDefault="00000000">
                          <w:pPr>
                            <w:pStyle w:val="a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3C4C9A" w:rsidRDefault="00000000">
                    <w:pPr>
                      <w:pStyle w:val="a4"/>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p w:rsidR="003C4C9A" w:rsidRDefault="003C4C9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9A" w:rsidRDefault="00000000">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4C9A" w:rsidRDefault="00000000">
                          <w:pPr>
                            <w:pStyle w:val="a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3C4C9A" w:rsidRDefault="00000000">
                    <w:pPr>
                      <w:pStyle w:val="a4"/>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26B" w:rsidRDefault="00CA326B">
      <w:r>
        <w:separator/>
      </w:r>
    </w:p>
  </w:footnote>
  <w:footnote w:type="continuationSeparator" w:id="0">
    <w:p w:rsidR="00CA326B" w:rsidRDefault="00CA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C9A" w:rsidRDefault="003C4C9A">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368E0"/>
    <w:multiLevelType w:val="singleLevel"/>
    <w:tmpl w:val="81F368E0"/>
    <w:lvl w:ilvl="0">
      <w:start w:val="1"/>
      <w:numFmt w:val="chineseCounting"/>
      <w:suff w:val="nothing"/>
      <w:lvlText w:val="%1、"/>
      <w:lvlJc w:val="left"/>
      <w:rPr>
        <w:rFonts w:hint="eastAsia"/>
      </w:rPr>
    </w:lvl>
  </w:abstractNum>
  <w:abstractNum w:abstractNumId="1" w15:restartNumberingAfterBreak="0">
    <w:nsid w:val="37F503EF"/>
    <w:multiLevelType w:val="singleLevel"/>
    <w:tmpl w:val="37F503EF"/>
    <w:lvl w:ilvl="0">
      <w:start w:val="1"/>
      <w:numFmt w:val="decimal"/>
      <w:lvlText w:val="%1."/>
      <w:lvlJc w:val="left"/>
      <w:pPr>
        <w:tabs>
          <w:tab w:val="left" w:pos="312"/>
        </w:tabs>
      </w:pPr>
    </w:lvl>
  </w:abstractNum>
  <w:abstractNum w:abstractNumId="2" w15:restartNumberingAfterBreak="0">
    <w:nsid w:val="7889A4B7"/>
    <w:multiLevelType w:val="singleLevel"/>
    <w:tmpl w:val="7889A4B7"/>
    <w:lvl w:ilvl="0">
      <w:start w:val="1"/>
      <w:numFmt w:val="decimal"/>
      <w:lvlText w:val="%1."/>
      <w:lvlJc w:val="left"/>
      <w:pPr>
        <w:tabs>
          <w:tab w:val="left" w:pos="312"/>
        </w:tabs>
      </w:pPr>
    </w:lvl>
  </w:abstractNum>
  <w:num w:numId="1" w16cid:durableId="1054308791">
    <w:abstractNumId w:val="0"/>
  </w:num>
  <w:num w:numId="2" w16cid:durableId="1374960285">
    <w:abstractNumId w:val="2"/>
  </w:num>
  <w:num w:numId="3" w16cid:durableId="87407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57E3"/>
    <w:rsid w:val="00260C38"/>
    <w:rsid w:val="002616C0"/>
    <w:rsid w:val="00265372"/>
    <w:rsid w:val="002662AA"/>
    <w:rsid w:val="00280496"/>
    <w:rsid w:val="00294DC9"/>
    <w:rsid w:val="00295495"/>
    <w:rsid w:val="002A31DE"/>
    <w:rsid w:val="002B2613"/>
    <w:rsid w:val="002D6D05"/>
    <w:rsid w:val="002F1818"/>
    <w:rsid w:val="002F567B"/>
    <w:rsid w:val="003216A9"/>
    <w:rsid w:val="00331251"/>
    <w:rsid w:val="00335A74"/>
    <w:rsid w:val="0036561B"/>
    <w:rsid w:val="0037013F"/>
    <w:rsid w:val="00380C92"/>
    <w:rsid w:val="003A484F"/>
    <w:rsid w:val="003A4883"/>
    <w:rsid w:val="003B0BE0"/>
    <w:rsid w:val="003B0C1B"/>
    <w:rsid w:val="003B688C"/>
    <w:rsid w:val="003C0291"/>
    <w:rsid w:val="003C39AE"/>
    <w:rsid w:val="003C4C9A"/>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326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429"/>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0016E9"/>
    <w:rsid w:val="02FEBE30"/>
    <w:rsid w:val="04916F1E"/>
    <w:rsid w:val="061E35DE"/>
    <w:rsid w:val="066E0107"/>
    <w:rsid w:val="06CF5A14"/>
    <w:rsid w:val="076F6668"/>
    <w:rsid w:val="07996F6E"/>
    <w:rsid w:val="07DFD8BA"/>
    <w:rsid w:val="09867E8F"/>
    <w:rsid w:val="0A2032A3"/>
    <w:rsid w:val="0CA8290A"/>
    <w:rsid w:val="0D35B1ED"/>
    <w:rsid w:val="0E254B6B"/>
    <w:rsid w:val="0F98263C"/>
    <w:rsid w:val="101860EC"/>
    <w:rsid w:val="101F47CC"/>
    <w:rsid w:val="10C055FF"/>
    <w:rsid w:val="11694EBD"/>
    <w:rsid w:val="11772AA4"/>
    <w:rsid w:val="118107EC"/>
    <w:rsid w:val="122364B4"/>
    <w:rsid w:val="12E24EE2"/>
    <w:rsid w:val="13D50BC4"/>
    <w:rsid w:val="14024ED8"/>
    <w:rsid w:val="147B2A31"/>
    <w:rsid w:val="14B17F78"/>
    <w:rsid w:val="165E0673"/>
    <w:rsid w:val="16B831D5"/>
    <w:rsid w:val="16BB723D"/>
    <w:rsid w:val="17E50567"/>
    <w:rsid w:val="186504BB"/>
    <w:rsid w:val="19A445FC"/>
    <w:rsid w:val="1BE8440E"/>
    <w:rsid w:val="1C263E6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7B6E54"/>
    <w:rsid w:val="29FD04D3"/>
    <w:rsid w:val="2BFF7BC6"/>
    <w:rsid w:val="2C8A61B5"/>
    <w:rsid w:val="2DF04E50"/>
    <w:rsid w:val="2E586DFA"/>
    <w:rsid w:val="2F040D46"/>
    <w:rsid w:val="2F6B035B"/>
    <w:rsid w:val="2FAE5751"/>
    <w:rsid w:val="2FB1A395"/>
    <w:rsid w:val="2FD9A7D8"/>
    <w:rsid w:val="2FDBF714"/>
    <w:rsid w:val="30595F39"/>
    <w:rsid w:val="30AB6865"/>
    <w:rsid w:val="319F7F4E"/>
    <w:rsid w:val="32BD1EF1"/>
    <w:rsid w:val="3304709D"/>
    <w:rsid w:val="33A773CB"/>
    <w:rsid w:val="349D6851"/>
    <w:rsid w:val="359B77E0"/>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1B0614"/>
    <w:rsid w:val="414D2975"/>
    <w:rsid w:val="44E268DA"/>
    <w:rsid w:val="450D13D7"/>
    <w:rsid w:val="45506656"/>
    <w:rsid w:val="486A6C7A"/>
    <w:rsid w:val="48DD5069"/>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B27B1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3B686F"/>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CA6DC7"/>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fillcolor="white">
      <v:fill color="white"/>
    </o:shapedefaults>
    <o:shapelayout v:ext="edit">
      <o:idmap v:ext="edit" data="1"/>
    </o:shapelayout>
  </w:shapeDefaults>
  <w:decimalSymbol w:val="."/>
  <w:listSeparator w:val=","/>
  <w14:docId w14:val="1B115A7F"/>
  <w15:docId w15:val="{8FF10E3E-F4F0-4EBB-A05C-EDF603AF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qFormat/>
    <w:pPr>
      <w:spacing w:beforeLines="30"/>
    </w:pPr>
    <w:rPr>
      <w:rFonts w:ascii="仿宋_GB2312" w:eastAsia="仿宋_GB2312"/>
      <w:kern w:val="0"/>
      <w:sz w:val="30"/>
    </w:rPr>
  </w:style>
  <w:style w:type="paragraph" w:styleId="a4">
    <w:name w:val="footer"/>
    <w:basedOn w:val="a"/>
    <w:link w:val="a6"/>
    <w:uiPriority w:val="99"/>
    <w:qFormat/>
    <w:pPr>
      <w:tabs>
        <w:tab w:val="center" w:pos="4153"/>
        <w:tab w:val="right" w:pos="8306"/>
      </w:tabs>
      <w:snapToGrid w:val="0"/>
      <w:jc w:val="left"/>
    </w:pPr>
    <w:rPr>
      <w:rFonts w:ascii="Calibri" w:hAnsi="Calibri"/>
      <w:kern w:val="0"/>
      <w:sz w:val="18"/>
      <w:szCs w:val="18"/>
    </w:rPr>
  </w:style>
  <w:style w:type="paragraph" w:styleId="a7">
    <w:name w:val="Body Text Indent"/>
    <w:basedOn w:val="a"/>
    <w:next w:val="21"/>
    <w:qFormat/>
    <w:pPr>
      <w:spacing w:after="120"/>
      <w:ind w:leftChars="200" w:left="200"/>
    </w:pPr>
    <w:rPr>
      <w:rFonts w:ascii="仿宋_GB2312"/>
      <w:szCs w:val="32"/>
    </w:rPr>
  </w:style>
  <w:style w:type="paragraph" w:styleId="21">
    <w:name w:val="Body Text First Indent 2"/>
    <w:basedOn w:val="a7"/>
    <w:uiPriority w:val="99"/>
    <w:unhideWhenUsed/>
    <w:qFormat/>
    <w:pPr>
      <w:ind w:firstLineChars="200" w:firstLine="420"/>
    </w:pPr>
  </w:style>
  <w:style w:type="paragraph" w:styleId="TOC3">
    <w:name w:val="toc 3"/>
    <w:basedOn w:val="a"/>
    <w:next w:val="a"/>
    <w:uiPriority w:val="39"/>
    <w:unhideWhenUsed/>
    <w:qFormat/>
    <w:pPr>
      <w:tabs>
        <w:tab w:val="right" w:leader="dot" w:pos="8296"/>
      </w:tabs>
      <w:ind w:leftChars="400" w:left="840"/>
    </w:pPr>
  </w:style>
  <w:style w:type="paragraph" w:styleId="a8">
    <w:name w:val="Balloon Text"/>
    <w:basedOn w:val="a"/>
    <w:link w:val="a9"/>
    <w:uiPriority w:val="99"/>
    <w:semiHidden/>
    <w:unhideWhenUsed/>
    <w:qFormat/>
    <w:rPr>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FangSong" w:eastAsia="FangSong" w:hAnsi="FangSong"/>
      <w:sz w:val="28"/>
      <w:szCs w:val="28"/>
    </w:rPr>
  </w:style>
  <w:style w:type="paragraph" w:styleId="ac">
    <w:name w:val="footnote text"/>
    <w:basedOn w:val="a"/>
    <w:next w:val="21"/>
    <w:semiHidden/>
    <w:qFormat/>
    <w:pPr>
      <w:snapToGrid w:val="0"/>
      <w:jc w:val="left"/>
    </w:pPr>
    <w:rPr>
      <w:sz w:val="18"/>
      <w:szCs w:val="18"/>
    </w:rPr>
  </w:style>
  <w:style w:type="paragraph" w:styleId="TOC2">
    <w:name w:val="toc 2"/>
    <w:basedOn w:val="a"/>
    <w:next w:val="a"/>
    <w:uiPriority w:val="39"/>
    <w:unhideWhenUsed/>
    <w:qFormat/>
    <w:pPr>
      <w:tabs>
        <w:tab w:val="right" w:leader="dot" w:pos="8296"/>
      </w:tabs>
      <w:ind w:leftChars="200" w:left="420"/>
    </w:pPr>
  </w:style>
  <w:style w:type="character" w:styleId="ad">
    <w:name w:val="Strong"/>
    <w:basedOn w:val="a1"/>
    <w:uiPriority w:val="99"/>
    <w:qFormat/>
    <w:rPr>
      <w:b/>
    </w:rPr>
  </w:style>
  <w:style w:type="character" w:styleId="ae">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SimHei"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6">
    <w:name w:val="页脚 字符"/>
    <w:link w:val="a4"/>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5">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FangSong" w:eastAsia="FangSong" w:hAnsi="Calibri" w:cs="FangSong"/>
      <w:color w:val="000000"/>
      <w:sz w:val="24"/>
      <w:szCs w:val="24"/>
    </w:rPr>
  </w:style>
  <w:style w:type="paragraph" w:styleId="af">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1"/>
    <w:link w:val="a8"/>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oleObject" Target="embeddings/Microsoft_Excel_Chart4.xls"/><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Microsoft_Excel_Chart1.xls"/><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Microsoft_Excel_Chart3.xls"/><Relationship Id="rId20" Type="http://schemas.openxmlformats.org/officeDocument/2006/relationships/oleObject" Target="embeddings/Microsoft_Excel_Chart5.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oleObject" Target="embeddings/Microsoft_Excel_Chart.xls"/><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Excel_Chart2.xls"/><Relationship Id="rId22" Type="http://schemas.openxmlformats.org/officeDocument/2006/relationships/oleObject" Target="embeddings/Microsoft_Excel_Chart6.xls"/><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994</Words>
  <Characters>5668</Characters>
  <Application>Microsoft Office Word</Application>
  <DocSecurity>0</DocSecurity>
  <Lines>47</Lines>
  <Paragraphs>13</Paragraphs>
  <ScaleCrop>false</ScaleCrop>
  <Company>四川省财政厅</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33</cp:revision>
  <cp:lastPrinted>2025-08-06T17:34:00Z</cp:lastPrinted>
  <dcterms:created xsi:type="dcterms:W3CDTF">2020-08-09T09:49:00Z</dcterms:created>
  <dcterms:modified xsi:type="dcterms:W3CDTF">2025-09-30T02:39:00Z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eyJoZGlkIjoiYjIzN2QyMWFmODZmNTg4YTI0NmUxYTE4YzFiMTY0NGUiLCJ1c2VySWQiOiI4NzkyNzA0NjIifQ==</vt:lpwstr>
  </property>
</Properties>
</file>