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A46D">
      <w:pPr>
        <w:pStyle w:val="2"/>
        <w:spacing w:before="93"/>
        <w:rPr>
          <w:rFonts w:ascii="Times New Roman" w:eastAsia="方正小标宋简体"/>
          <w:kern w:val="2"/>
          <w:sz w:val="72"/>
          <w:szCs w:val="72"/>
        </w:rPr>
      </w:pPr>
      <w:bookmarkStart w:id="0" w:name="_Toc15377425"/>
      <w:bookmarkStart w:id="1" w:name="_Toc15396597"/>
      <w:bookmarkStart w:id="2" w:name="_Toc15377193"/>
      <w:bookmarkStart w:id="3" w:name="_Toc15396475"/>
      <w:bookmarkStart w:id="4" w:name="_Toc15378441"/>
      <w:bookmarkStart w:id="5" w:name="_Toc15306267"/>
    </w:p>
    <w:p w14:paraId="37ECF89B">
      <w:pPr>
        <w:pStyle w:val="2"/>
        <w:spacing w:before="93"/>
        <w:rPr>
          <w:rFonts w:ascii="Times New Roman" w:eastAsia="方正小标宋简体"/>
          <w:kern w:val="2"/>
          <w:sz w:val="72"/>
          <w:szCs w:val="72"/>
        </w:rPr>
      </w:pPr>
    </w:p>
    <w:p w14:paraId="262A5C95">
      <w:pPr>
        <w:pStyle w:val="2"/>
        <w:spacing w:before="93"/>
        <w:rPr>
          <w:rFonts w:ascii="Times New Roman" w:eastAsia="方正小标宋简体"/>
          <w:kern w:val="2"/>
          <w:sz w:val="72"/>
          <w:szCs w:val="72"/>
        </w:rPr>
      </w:pPr>
    </w:p>
    <w:p w14:paraId="2BBAA44A">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四川省</w:t>
      </w:r>
      <w:r>
        <w:rPr>
          <w:rFonts w:hint="eastAsia" w:ascii="Times New Roman" w:eastAsia="方正小标宋简体"/>
          <w:kern w:val="2"/>
          <w:sz w:val="44"/>
          <w:szCs w:val="44"/>
          <w:lang w:eastAsia="zh-CN"/>
        </w:rPr>
        <w:t>攀枝花市</w:t>
      </w:r>
      <w:r>
        <w:rPr>
          <w:rFonts w:hint="eastAsia" w:ascii="Times New Roman" w:eastAsia="方正小标宋简体"/>
          <w:kern w:val="2"/>
          <w:sz w:val="44"/>
          <w:szCs w:val="44"/>
          <w:lang w:val="en-US" w:eastAsia="zh-CN"/>
        </w:rPr>
        <w:t>国土空间规划编制研究</w:t>
      </w:r>
      <w:r>
        <w:rPr>
          <w:rFonts w:hint="eastAsia" w:ascii="Times New Roman" w:eastAsia="方正小标宋简体"/>
          <w:kern w:val="2"/>
          <w:sz w:val="44"/>
          <w:szCs w:val="44"/>
          <w:lang w:eastAsia="zh-CN"/>
        </w:rPr>
        <w:t>中心</w:t>
      </w:r>
    </w:p>
    <w:p w14:paraId="5C2B54F1">
      <w:pPr>
        <w:pStyle w:val="2"/>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单位决算公开文字说明</w:t>
      </w:r>
    </w:p>
    <w:p w14:paraId="40466F18">
      <w:pPr>
        <w:spacing w:line="600" w:lineRule="exact"/>
        <w:jc w:val="center"/>
        <w:outlineLvl w:val="0"/>
        <w:rPr>
          <w:rFonts w:eastAsia="方正小标宋简体"/>
          <w:sz w:val="72"/>
          <w:szCs w:val="72"/>
        </w:rPr>
      </w:pPr>
    </w:p>
    <w:p w14:paraId="6DBB658D">
      <w:pPr>
        <w:pStyle w:val="19"/>
        <w:rPr>
          <w:rFonts w:ascii="Times New Roman" w:hAnsi="Times New Roman"/>
        </w:rPr>
        <w:sectPr>
          <w:headerReference r:id="rId5" w:type="default"/>
          <w:footerReference r:id="rId7" w:type="default"/>
          <w:headerReference r:id="rId6" w:type="even"/>
          <w:footerReference r:id="rId8" w:type="even"/>
          <w:pgSz w:w="11906" w:h="16838"/>
          <w:pgMar w:top="1440" w:right="1800" w:bottom="1440" w:left="1800" w:header="851" w:footer="992" w:gutter="0"/>
          <w:pgNumType w:fmt="numberInDash" w:start="1"/>
          <w:cols w:space="425" w:num="1"/>
          <w:titlePg/>
          <w:docGrid w:type="lines" w:linePitch="312" w:charSpace="0"/>
        </w:sectPr>
      </w:pPr>
    </w:p>
    <w:p w14:paraId="1597E005"/>
    <w:p w14:paraId="64AE5888">
      <w:pPr>
        <w:pStyle w:val="2"/>
        <w:spacing w:before="93"/>
        <w:jc w:val="both"/>
        <w:rPr>
          <w:rFonts w:ascii="Times New Roman" w:eastAsia="方正小标宋简体"/>
          <w:kern w:val="2"/>
          <w:sz w:val="44"/>
          <w:szCs w:val="44"/>
        </w:rPr>
      </w:pPr>
    </w:p>
    <w:bookmarkEnd w:id="0"/>
    <w:bookmarkEnd w:id="1"/>
    <w:bookmarkEnd w:id="2"/>
    <w:bookmarkEnd w:id="3"/>
    <w:bookmarkEnd w:id="4"/>
    <w:p w14:paraId="583EA2C1">
      <w:pPr>
        <w:pStyle w:val="2"/>
        <w:spacing w:before="93"/>
        <w:ind w:left="440" w:hanging="440" w:hangingChars="100"/>
        <w:jc w:val="center"/>
        <w:rPr>
          <w:rFonts w:hint="eastAsia" w:ascii="Times New Roman" w:eastAsia="方正小标宋简体"/>
          <w:kern w:val="2"/>
          <w:sz w:val="44"/>
          <w:szCs w:val="44"/>
        </w:rPr>
      </w:pPr>
      <w:bookmarkStart w:id="6" w:name="_Toc15396476"/>
      <w:bookmarkStart w:id="7" w:name="_Toc15396598"/>
      <w:bookmarkStart w:id="8" w:name="_Toc15377426"/>
      <w:bookmarkStart w:id="9" w:name="_Toc15377194"/>
      <w:bookmarkStart w:id="10" w:name="_Toc15378442"/>
      <w:r>
        <w:rPr>
          <w:rFonts w:hint="eastAsia" w:ascii="Times New Roman" w:eastAsia="方正小标宋简体"/>
          <w:kern w:val="2"/>
          <w:sz w:val="44"/>
          <w:szCs w:val="44"/>
        </w:rPr>
        <w:t>2024年度</w:t>
      </w:r>
    </w:p>
    <w:p w14:paraId="2ECA63FB">
      <w:pPr>
        <w:pStyle w:val="2"/>
        <w:spacing w:before="93"/>
        <w:ind w:left="440" w:hanging="440" w:hangingChars="100"/>
        <w:jc w:val="center"/>
        <w:rPr>
          <w:rFonts w:ascii="Times New Roman" w:eastAsia="方正小标宋简体"/>
          <w:kern w:val="2"/>
          <w:sz w:val="44"/>
          <w:szCs w:val="44"/>
        </w:rPr>
      </w:pPr>
      <w:r>
        <w:rPr>
          <w:rFonts w:hint="eastAsia" w:ascii="Times New Roman" w:eastAsia="方正小标宋简体"/>
          <w:kern w:val="2"/>
          <w:sz w:val="44"/>
          <w:szCs w:val="44"/>
        </w:rPr>
        <w:t>四川省</w:t>
      </w:r>
      <w:bookmarkStart w:id="11" w:name="_Toc15306268"/>
      <w:r>
        <w:rPr>
          <w:rFonts w:hint="eastAsia" w:ascii="Times New Roman" w:eastAsia="方正小标宋简体"/>
          <w:kern w:val="2"/>
          <w:sz w:val="44"/>
          <w:szCs w:val="44"/>
          <w:lang w:eastAsia="zh-CN"/>
        </w:rPr>
        <w:t>攀枝花市</w:t>
      </w:r>
      <w:r>
        <w:rPr>
          <w:rFonts w:hint="eastAsia" w:ascii="Times New Roman" w:eastAsia="方正小标宋简体"/>
          <w:kern w:val="2"/>
          <w:sz w:val="44"/>
          <w:szCs w:val="44"/>
          <w:lang w:val="en-US" w:eastAsia="zh-CN"/>
        </w:rPr>
        <w:t>国土空间规划编制研究</w:t>
      </w:r>
      <w:r>
        <w:rPr>
          <w:rFonts w:hint="eastAsia" w:ascii="Times New Roman" w:eastAsia="方正小标宋简体"/>
          <w:kern w:val="2"/>
          <w:sz w:val="44"/>
          <w:szCs w:val="44"/>
          <w:lang w:eastAsia="zh-CN"/>
        </w:rPr>
        <w:t>中单位</w:t>
      </w:r>
      <w:r>
        <w:rPr>
          <w:rFonts w:hint="eastAsia" w:ascii="Times New Roman" w:eastAsia="方正小标宋简体"/>
          <w:kern w:val="2"/>
          <w:sz w:val="44"/>
          <w:szCs w:val="44"/>
        </w:rPr>
        <w:t>决算</w:t>
      </w:r>
      <w:bookmarkEnd w:id="6"/>
      <w:bookmarkEnd w:id="7"/>
      <w:bookmarkEnd w:id="8"/>
      <w:bookmarkEnd w:id="9"/>
      <w:bookmarkEnd w:id="10"/>
      <w:bookmarkEnd w:id="11"/>
    </w:p>
    <w:p w14:paraId="2A4FEED1">
      <w:pPr>
        <w:widowControl/>
        <w:jc w:val="center"/>
        <w:rPr>
          <w:rFonts w:hint="eastAsia" w:eastAsia="黑体"/>
          <w:sz w:val="48"/>
          <w:szCs w:val="48"/>
        </w:rPr>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pPr>
    </w:p>
    <w:bookmarkEnd w:id="5"/>
    <w:p w14:paraId="23DEC88B">
      <w:pPr>
        <w:widowControl/>
        <w:jc w:val="center"/>
        <w:rPr>
          <w:rFonts w:eastAsia="黑体"/>
          <w:sz w:val="48"/>
          <w:szCs w:val="48"/>
        </w:rPr>
      </w:pPr>
      <w:bookmarkStart w:id="12" w:name="_Toc15377196"/>
      <w:bookmarkStart w:id="13" w:name="_Toc15396599"/>
      <w:r>
        <w:rPr>
          <w:rFonts w:eastAsia="黑体"/>
          <w:sz w:val="48"/>
          <w:szCs w:val="48"/>
        </w:rPr>
        <w:t>目录</w:t>
      </w:r>
    </w:p>
    <w:p w14:paraId="34C03093">
      <w:pPr>
        <w:widowControl/>
        <w:jc w:val="center"/>
        <w:rPr>
          <w:rFonts w:eastAsia="黑体"/>
          <w:sz w:val="28"/>
          <w:szCs w:val="28"/>
        </w:rPr>
      </w:pPr>
    </w:p>
    <w:p w14:paraId="4C143418">
      <w:pPr>
        <w:pStyle w:val="11"/>
        <w:rPr>
          <w:rFonts w:ascii="Times New Roman" w:hAnsi="Times New Roman"/>
        </w:rPr>
      </w:pPr>
      <w:r>
        <w:rPr>
          <w:rFonts w:ascii="Times New Roman" w:hAnsi="Times New Roman"/>
        </w:rPr>
        <w:t>公开时间：202</w:t>
      </w:r>
      <w:r>
        <w:rPr>
          <w:rFonts w:hint="eastAsia" w:ascii="Times New Roman" w:hAnsi="Times New Roman"/>
        </w:rPr>
        <w:t>5</w:t>
      </w:r>
      <w:r>
        <w:rPr>
          <w:rFonts w:ascii="Times New Roman" w:hAnsi="Times New Roman"/>
        </w:rPr>
        <w:t>年9月</w:t>
      </w:r>
      <w:r>
        <w:rPr>
          <w:rFonts w:hint="eastAsia" w:ascii="Times New Roman" w:hAnsi="Times New Roman"/>
          <w:lang w:val="en-US" w:eastAsia="zh-CN"/>
        </w:rPr>
        <w:t>12</w:t>
      </w:r>
      <w:r>
        <w:rPr>
          <w:rFonts w:ascii="Times New Roman" w:hAnsi="Times New Roman"/>
        </w:rPr>
        <w:t>日</w:t>
      </w:r>
    </w:p>
    <w:p w14:paraId="3E1F5B81"/>
    <w:p w14:paraId="54063516">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第一部分单位概况</w:t>
      </w:r>
      <w:r>
        <w:rPr>
          <w:rFonts w:ascii="Times New Roman" w:hAnsi="Times New Roman"/>
          <w:sz w:val="24"/>
        </w:rPr>
        <w:tab/>
      </w:r>
      <w:r>
        <w:rPr>
          <w:rFonts w:hint="eastAsia" w:ascii="Times New Roman" w:hAnsi="Times New Roman"/>
          <w:sz w:val="24"/>
        </w:rPr>
        <w:t>3</w:t>
      </w:r>
    </w:p>
    <w:p w14:paraId="0D2F62F0">
      <w:pPr>
        <w:pStyle w:val="14"/>
        <w:adjustRightInd w:val="0"/>
        <w:snapToGrid w:val="0"/>
        <w:spacing w:line="440" w:lineRule="exact"/>
        <w:jc w:val="left"/>
        <w:rPr>
          <w:sz w:val="24"/>
        </w:rPr>
      </w:pPr>
      <w:r>
        <w:rPr>
          <w:sz w:val="24"/>
        </w:rPr>
        <w:t>一、主要职责</w:t>
      </w:r>
      <w:r>
        <w:rPr>
          <w:sz w:val="24"/>
        </w:rPr>
        <w:tab/>
      </w:r>
      <w:r>
        <w:rPr>
          <w:rFonts w:hint="eastAsia"/>
          <w:sz w:val="24"/>
        </w:rPr>
        <w:t>3</w:t>
      </w:r>
    </w:p>
    <w:p w14:paraId="6DF351C6">
      <w:pPr>
        <w:pStyle w:val="14"/>
        <w:adjustRightInd w:val="0"/>
        <w:snapToGrid w:val="0"/>
        <w:spacing w:line="440" w:lineRule="exact"/>
        <w:jc w:val="left"/>
      </w:pPr>
      <w:r>
        <w:rPr>
          <w:sz w:val="24"/>
        </w:rPr>
        <w:t>二、机构设置</w:t>
      </w:r>
      <w:r>
        <w:rPr>
          <w:sz w:val="24"/>
        </w:rPr>
        <w:tab/>
      </w:r>
      <w:r>
        <w:rPr>
          <w:rFonts w:hint="eastAsia"/>
          <w:sz w:val="24"/>
        </w:rPr>
        <w:t>3</w:t>
      </w:r>
    </w:p>
    <w:p w14:paraId="2A9508CD">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第二部分 202</w:t>
      </w:r>
      <w:r>
        <w:rPr>
          <w:rFonts w:hint="eastAsia" w:ascii="Times New Roman" w:hAnsi="Times New Roman"/>
          <w:sz w:val="24"/>
        </w:rPr>
        <w:t>4</w:t>
      </w:r>
      <w:r>
        <w:rPr>
          <w:rFonts w:ascii="Times New Roman" w:hAnsi="Times New Roman"/>
          <w:sz w:val="24"/>
        </w:rPr>
        <w:t>年度单位决算情况说明</w:t>
      </w:r>
      <w:r>
        <w:rPr>
          <w:rFonts w:ascii="Times New Roman" w:hAnsi="Times New Roman"/>
          <w:sz w:val="24"/>
        </w:rPr>
        <w:tab/>
      </w:r>
      <w:r>
        <w:rPr>
          <w:rFonts w:hint="eastAsia" w:ascii="Times New Roman" w:hAnsi="Times New Roman"/>
          <w:sz w:val="24"/>
        </w:rPr>
        <w:t>4</w:t>
      </w:r>
    </w:p>
    <w:p w14:paraId="327F5B4B">
      <w:pPr>
        <w:pStyle w:val="14"/>
        <w:adjustRightInd w:val="0"/>
        <w:snapToGrid w:val="0"/>
        <w:spacing w:line="440" w:lineRule="exact"/>
        <w:jc w:val="left"/>
        <w:rPr>
          <w:sz w:val="24"/>
        </w:rPr>
      </w:pPr>
      <w:r>
        <w:rPr>
          <w:sz w:val="24"/>
        </w:rPr>
        <w:t>一、收入支出决算总体情况说明</w:t>
      </w:r>
      <w:r>
        <w:rPr>
          <w:sz w:val="24"/>
        </w:rPr>
        <w:tab/>
      </w:r>
      <w:r>
        <w:rPr>
          <w:rFonts w:hint="eastAsia"/>
          <w:sz w:val="24"/>
        </w:rPr>
        <w:t>4</w:t>
      </w:r>
    </w:p>
    <w:p w14:paraId="5ADE1646">
      <w:pPr>
        <w:pStyle w:val="14"/>
        <w:adjustRightInd w:val="0"/>
        <w:snapToGrid w:val="0"/>
        <w:spacing w:line="440" w:lineRule="exact"/>
        <w:jc w:val="left"/>
        <w:rPr>
          <w:sz w:val="24"/>
        </w:rPr>
      </w:pPr>
      <w:r>
        <w:rPr>
          <w:sz w:val="24"/>
        </w:rPr>
        <w:t>二、收入决算情况说明</w:t>
      </w:r>
      <w:r>
        <w:rPr>
          <w:sz w:val="24"/>
        </w:rPr>
        <w:tab/>
      </w:r>
      <w:r>
        <w:rPr>
          <w:rFonts w:hint="eastAsia"/>
          <w:sz w:val="24"/>
        </w:rPr>
        <w:t>4</w:t>
      </w:r>
    </w:p>
    <w:p w14:paraId="150966F4">
      <w:pPr>
        <w:pStyle w:val="14"/>
        <w:adjustRightInd w:val="0"/>
        <w:snapToGrid w:val="0"/>
        <w:spacing w:line="440" w:lineRule="exact"/>
        <w:jc w:val="left"/>
        <w:rPr>
          <w:sz w:val="24"/>
        </w:rPr>
      </w:pPr>
      <w:r>
        <w:rPr>
          <w:sz w:val="24"/>
        </w:rPr>
        <w:t>三、支出决算情况说明</w:t>
      </w:r>
      <w:r>
        <w:rPr>
          <w:sz w:val="24"/>
        </w:rPr>
        <w:tab/>
      </w:r>
      <w:r>
        <w:rPr>
          <w:rFonts w:hint="eastAsia"/>
          <w:sz w:val="24"/>
        </w:rPr>
        <w:t>5</w:t>
      </w:r>
    </w:p>
    <w:p w14:paraId="24BF6B38">
      <w:pPr>
        <w:pStyle w:val="14"/>
        <w:adjustRightInd w:val="0"/>
        <w:snapToGrid w:val="0"/>
        <w:spacing w:line="440" w:lineRule="exact"/>
        <w:jc w:val="left"/>
        <w:rPr>
          <w:sz w:val="24"/>
        </w:rPr>
      </w:pPr>
      <w:r>
        <w:rPr>
          <w:sz w:val="24"/>
        </w:rPr>
        <w:t>四、财政拨款收入支出决算总体情况说明</w:t>
      </w:r>
      <w:r>
        <w:rPr>
          <w:sz w:val="24"/>
        </w:rPr>
        <w:tab/>
      </w:r>
      <w:r>
        <w:rPr>
          <w:rFonts w:hint="eastAsia"/>
          <w:sz w:val="24"/>
        </w:rPr>
        <w:t>6</w:t>
      </w:r>
    </w:p>
    <w:p w14:paraId="5E810F3F">
      <w:pPr>
        <w:pStyle w:val="14"/>
        <w:adjustRightInd w:val="0"/>
        <w:snapToGrid w:val="0"/>
        <w:spacing w:line="440" w:lineRule="exact"/>
        <w:jc w:val="left"/>
        <w:rPr>
          <w:sz w:val="24"/>
        </w:rPr>
      </w:pPr>
      <w:r>
        <w:rPr>
          <w:sz w:val="24"/>
        </w:rPr>
        <w:t>五、一般公共预算财政拨款支出决算情况说明</w:t>
      </w:r>
      <w:r>
        <w:rPr>
          <w:sz w:val="24"/>
        </w:rPr>
        <w:tab/>
      </w:r>
      <w:r>
        <w:rPr>
          <w:rFonts w:hint="eastAsia"/>
          <w:sz w:val="24"/>
        </w:rPr>
        <w:t>6</w:t>
      </w:r>
    </w:p>
    <w:p w14:paraId="1832BDCE">
      <w:pPr>
        <w:pStyle w:val="14"/>
        <w:adjustRightInd w:val="0"/>
        <w:snapToGrid w:val="0"/>
        <w:spacing w:line="440" w:lineRule="exact"/>
        <w:jc w:val="left"/>
        <w:rPr>
          <w:sz w:val="24"/>
        </w:rPr>
      </w:pPr>
      <w:r>
        <w:rPr>
          <w:sz w:val="24"/>
        </w:rPr>
        <w:t>六、一般公共预算财政拨款基本支出决算情况说明</w:t>
      </w:r>
      <w:r>
        <w:rPr>
          <w:sz w:val="24"/>
        </w:rPr>
        <w:tab/>
      </w:r>
      <w:r>
        <w:rPr>
          <w:rFonts w:hint="eastAsia"/>
          <w:sz w:val="24"/>
        </w:rPr>
        <w:t>9</w:t>
      </w:r>
    </w:p>
    <w:p w14:paraId="6DA83A1C">
      <w:pPr>
        <w:pStyle w:val="14"/>
        <w:adjustRightInd w:val="0"/>
        <w:snapToGrid w:val="0"/>
        <w:spacing w:line="440" w:lineRule="exact"/>
        <w:jc w:val="left"/>
        <w:rPr>
          <w:rFonts w:hint="eastAsia"/>
          <w:sz w:val="24"/>
        </w:rPr>
      </w:pPr>
      <w:r>
        <w:rPr>
          <w:sz w:val="24"/>
        </w:rPr>
        <w:t>七、财政拨款“三公”经费支出决算情况说明</w:t>
      </w:r>
      <w:r>
        <w:rPr>
          <w:sz w:val="24"/>
        </w:rPr>
        <w:tab/>
      </w:r>
      <w:r>
        <w:rPr>
          <w:rFonts w:hint="eastAsia"/>
          <w:sz w:val="24"/>
        </w:rPr>
        <w:t>10</w:t>
      </w:r>
    </w:p>
    <w:p w14:paraId="69CA3FCD">
      <w:pPr>
        <w:pStyle w:val="14"/>
        <w:adjustRightInd w:val="0"/>
        <w:snapToGrid w:val="0"/>
        <w:spacing w:line="440" w:lineRule="exact"/>
        <w:jc w:val="left"/>
        <w:rPr>
          <w:sz w:val="24"/>
        </w:rPr>
      </w:pPr>
      <w:r>
        <w:rPr>
          <w:sz w:val="24"/>
        </w:rPr>
        <w:t>八、政府性基金预算支出决算情况说明</w:t>
      </w:r>
      <w:r>
        <w:rPr>
          <w:sz w:val="24"/>
        </w:rPr>
        <w:tab/>
      </w:r>
      <w:r>
        <w:rPr>
          <w:rFonts w:hint="eastAsia"/>
          <w:sz w:val="24"/>
        </w:rPr>
        <w:t>12</w:t>
      </w:r>
    </w:p>
    <w:p w14:paraId="0EFE9097">
      <w:pPr>
        <w:pStyle w:val="14"/>
        <w:adjustRightInd w:val="0"/>
        <w:snapToGrid w:val="0"/>
        <w:spacing w:line="440" w:lineRule="exact"/>
        <w:jc w:val="left"/>
        <w:rPr>
          <w:sz w:val="24"/>
        </w:rPr>
      </w:pPr>
      <w:r>
        <w:rPr>
          <w:sz w:val="24"/>
        </w:rPr>
        <w:t>九、国有资本经营预算支出决算情况说明</w:t>
      </w:r>
      <w:r>
        <w:rPr>
          <w:sz w:val="24"/>
        </w:rPr>
        <w:tab/>
      </w:r>
      <w:r>
        <w:rPr>
          <w:rFonts w:hint="eastAsia"/>
          <w:sz w:val="24"/>
        </w:rPr>
        <w:t>12</w:t>
      </w:r>
    </w:p>
    <w:p w14:paraId="56FDA0A9">
      <w:pPr>
        <w:pStyle w:val="14"/>
        <w:adjustRightInd w:val="0"/>
        <w:snapToGrid w:val="0"/>
        <w:spacing w:line="440" w:lineRule="exact"/>
        <w:jc w:val="left"/>
        <w:rPr>
          <w:sz w:val="24"/>
        </w:rPr>
      </w:pPr>
      <w:r>
        <w:rPr>
          <w:sz w:val="24"/>
        </w:rPr>
        <w:t>十、其他重要事项的情况说明</w:t>
      </w:r>
      <w:r>
        <w:rPr>
          <w:sz w:val="24"/>
        </w:rPr>
        <w:tab/>
      </w:r>
      <w:r>
        <w:rPr>
          <w:rFonts w:hint="eastAsia"/>
          <w:sz w:val="24"/>
        </w:rPr>
        <w:t>13</w:t>
      </w:r>
    </w:p>
    <w:p w14:paraId="5B0948E3">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第三部分名词解释</w:t>
      </w:r>
      <w:r>
        <w:rPr>
          <w:rFonts w:ascii="Times New Roman" w:hAnsi="Times New Roman"/>
          <w:sz w:val="24"/>
        </w:rPr>
        <w:tab/>
      </w:r>
      <w:r>
        <w:rPr>
          <w:rFonts w:ascii="Times New Roman" w:hAnsi="Times New Roman"/>
          <w:sz w:val="24"/>
        </w:rPr>
        <w:t>1</w:t>
      </w:r>
      <w:r>
        <w:rPr>
          <w:rFonts w:hint="eastAsia" w:ascii="Times New Roman" w:hAnsi="Times New Roman"/>
          <w:sz w:val="24"/>
        </w:rPr>
        <w:t>5</w:t>
      </w:r>
    </w:p>
    <w:p w14:paraId="0E3E0FF9">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第四部分附件</w:t>
      </w:r>
      <w:r>
        <w:rPr>
          <w:rFonts w:ascii="Times New Roman" w:hAnsi="Times New Roman"/>
          <w:sz w:val="24"/>
        </w:rPr>
        <w:tab/>
      </w:r>
      <w:r>
        <w:rPr>
          <w:rFonts w:ascii="Times New Roman" w:hAnsi="Times New Roman"/>
          <w:sz w:val="24"/>
        </w:rPr>
        <w:t>1</w:t>
      </w:r>
      <w:r>
        <w:rPr>
          <w:rFonts w:hint="eastAsia" w:ascii="Times New Roman" w:hAnsi="Times New Roman"/>
          <w:sz w:val="24"/>
        </w:rPr>
        <w:t>9</w:t>
      </w:r>
    </w:p>
    <w:p w14:paraId="7DF77F52">
      <w:pPr>
        <w:pStyle w:val="11"/>
        <w:adjustRightInd w:val="0"/>
        <w:snapToGrid w:val="0"/>
        <w:spacing w:before="0" w:line="440" w:lineRule="exact"/>
        <w:jc w:val="left"/>
        <w:rPr>
          <w:rFonts w:hint="eastAsia" w:ascii="Times New Roman" w:hAnsi="Times New Roman"/>
          <w:sz w:val="24"/>
          <w:szCs w:val="24"/>
        </w:rPr>
      </w:pPr>
      <w:r>
        <w:rPr>
          <w:rFonts w:ascii="Times New Roman" w:hAnsi="Times New Roman"/>
          <w:sz w:val="24"/>
        </w:rPr>
        <w:t>第五部分附表</w:t>
      </w:r>
      <w:r>
        <w:rPr>
          <w:rFonts w:ascii="Times New Roman" w:hAnsi="Times New Roman"/>
          <w:sz w:val="24"/>
        </w:rPr>
        <w:tab/>
      </w:r>
      <w:r>
        <w:rPr>
          <w:rFonts w:hint="eastAsia" w:ascii="Times New Roman" w:hAnsi="Times New Roman"/>
          <w:sz w:val="24"/>
        </w:rPr>
        <w:t>20</w:t>
      </w:r>
    </w:p>
    <w:p w14:paraId="1ADC7204">
      <w:pPr>
        <w:pStyle w:val="14"/>
        <w:adjustRightInd w:val="0"/>
        <w:snapToGrid w:val="0"/>
        <w:spacing w:line="440" w:lineRule="exact"/>
        <w:jc w:val="left"/>
        <w:rPr>
          <w:sz w:val="24"/>
        </w:rPr>
      </w:pPr>
      <w:r>
        <w:rPr>
          <w:sz w:val="24"/>
        </w:rPr>
        <w:t>一、收入支出决算总表</w:t>
      </w:r>
      <w:r>
        <w:rPr>
          <w:sz w:val="24"/>
        </w:rPr>
        <w:tab/>
      </w:r>
      <w:r>
        <w:rPr>
          <w:rFonts w:hint="eastAsia"/>
          <w:sz w:val="24"/>
        </w:rPr>
        <w:t>20</w:t>
      </w:r>
    </w:p>
    <w:p w14:paraId="160EB56F">
      <w:pPr>
        <w:pStyle w:val="14"/>
        <w:adjustRightInd w:val="0"/>
        <w:snapToGrid w:val="0"/>
        <w:spacing w:line="440" w:lineRule="exact"/>
        <w:jc w:val="left"/>
        <w:rPr>
          <w:sz w:val="24"/>
        </w:rPr>
      </w:pPr>
      <w:r>
        <w:rPr>
          <w:sz w:val="24"/>
        </w:rPr>
        <w:t>二、收入决算表</w:t>
      </w:r>
      <w:r>
        <w:rPr>
          <w:sz w:val="24"/>
        </w:rPr>
        <w:tab/>
      </w:r>
      <w:r>
        <w:rPr>
          <w:rFonts w:hint="eastAsia"/>
          <w:sz w:val="24"/>
        </w:rPr>
        <w:t>20</w:t>
      </w:r>
    </w:p>
    <w:p w14:paraId="4D531CB8">
      <w:pPr>
        <w:pStyle w:val="14"/>
        <w:adjustRightInd w:val="0"/>
        <w:snapToGrid w:val="0"/>
        <w:spacing w:line="440" w:lineRule="exact"/>
        <w:jc w:val="left"/>
        <w:rPr>
          <w:sz w:val="24"/>
        </w:rPr>
      </w:pPr>
      <w:r>
        <w:rPr>
          <w:sz w:val="24"/>
        </w:rPr>
        <w:t>三、支出决算表</w:t>
      </w:r>
      <w:r>
        <w:rPr>
          <w:sz w:val="24"/>
        </w:rPr>
        <w:tab/>
      </w:r>
      <w:r>
        <w:rPr>
          <w:rFonts w:hint="eastAsia"/>
          <w:sz w:val="24"/>
        </w:rPr>
        <w:t>20</w:t>
      </w:r>
    </w:p>
    <w:p w14:paraId="08819DEE">
      <w:pPr>
        <w:pStyle w:val="14"/>
        <w:adjustRightInd w:val="0"/>
        <w:snapToGrid w:val="0"/>
        <w:spacing w:line="440" w:lineRule="exact"/>
        <w:jc w:val="left"/>
        <w:rPr>
          <w:sz w:val="24"/>
        </w:rPr>
      </w:pPr>
      <w:r>
        <w:rPr>
          <w:sz w:val="24"/>
        </w:rPr>
        <w:t>四、财政拨款收入支出决算总表</w:t>
      </w:r>
      <w:r>
        <w:rPr>
          <w:sz w:val="24"/>
        </w:rPr>
        <w:tab/>
      </w:r>
      <w:r>
        <w:rPr>
          <w:rFonts w:hint="eastAsia"/>
          <w:sz w:val="24"/>
        </w:rPr>
        <w:t>20</w:t>
      </w:r>
    </w:p>
    <w:p w14:paraId="6F947A31">
      <w:pPr>
        <w:pStyle w:val="14"/>
        <w:adjustRightInd w:val="0"/>
        <w:snapToGrid w:val="0"/>
        <w:spacing w:line="440" w:lineRule="exact"/>
        <w:jc w:val="left"/>
        <w:rPr>
          <w:sz w:val="24"/>
        </w:rPr>
      </w:pPr>
      <w:r>
        <w:rPr>
          <w:sz w:val="24"/>
        </w:rPr>
        <w:t>五、财政拨款支出决算明细表</w:t>
      </w:r>
      <w:r>
        <w:rPr>
          <w:sz w:val="24"/>
        </w:rPr>
        <w:tab/>
      </w:r>
      <w:r>
        <w:rPr>
          <w:rFonts w:hint="eastAsia"/>
          <w:sz w:val="24"/>
        </w:rPr>
        <w:t>20</w:t>
      </w:r>
    </w:p>
    <w:p w14:paraId="2E2095A0">
      <w:pPr>
        <w:pStyle w:val="14"/>
        <w:adjustRightInd w:val="0"/>
        <w:snapToGrid w:val="0"/>
        <w:spacing w:line="440" w:lineRule="exact"/>
        <w:jc w:val="left"/>
        <w:rPr>
          <w:sz w:val="24"/>
        </w:rPr>
      </w:pPr>
      <w:r>
        <w:rPr>
          <w:sz w:val="24"/>
        </w:rPr>
        <w:t>六、一般公共预算财政拨款支出决算表</w:t>
      </w:r>
      <w:r>
        <w:rPr>
          <w:sz w:val="24"/>
        </w:rPr>
        <w:tab/>
      </w:r>
      <w:r>
        <w:rPr>
          <w:rFonts w:hint="eastAsia"/>
          <w:sz w:val="24"/>
        </w:rPr>
        <w:t>20</w:t>
      </w:r>
    </w:p>
    <w:p w14:paraId="3318DD4A">
      <w:pPr>
        <w:pStyle w:val="14"/>
        <w:adjustRightInd w:val="0"/>
        <w:snapToGrid w:val="0"/>
        <w:spacing w:line="440" w:lineRule="exact"/>
        <w:jc w:val="left"/>
        <w:rPr>
          <w:sz w:val="24"/>
        </w:rPr>
      </w:pPr>
      <w:r>
        <w:rPr>
          <w:sz w:val="24"/>
        </w:rPr>
        <w:t>七、一般公共预算财政拨款支出决算明细表</w:t>
      </w:r>
      <w:r>
        <w:rPr>
          <w:sz w:val="24"/>
        </w:rPr>
        <w:tab/>
      </w:r>
      <w:r>
        <w:rPr>
          <w:rFonts w:hint="eastAsia"/>
          <w:sz w:val="24"/>
        </w:rPr>
        <w:t>20</w:t>
      </w:r>
    </w:p>
    <w:p w14:paraId="5BEE2245">
      <w:pPr>
        <w:pStyle w:val="14"/>
        <w:adjustRightInd w:val="0"/>
        <w:snapToGrid w:val="0"/>
        <w:spacing w:line="440" w:lineRule="exact"/>
        <w:jc w:val="left"/>
        <w:rPr>
          <w:sz w:val="24"/>
        </w:rPr>
      </w:pPr>
      <w:r>
        <w:rPr>
          <w:sz w:val="24"/>
        </w:rPr>
        <w:t>八、一般公共预算财政拨款基本支出决算明细表</w:t>
      </w:r>
      <w:r>
        <w:rPr>
          <w:sz w:val="24"/>
        </w:rPr>
        <w:tab/>
      </w:r>
      <w:r>
        <w:rPr>
          <w:rFonts w:hint="eastAsia"/>
          <w:sz w:val="24"/>
        </w:rPr>
        <w:t>20</w:t>
      </w:r>
    </w:p>
    <w:p w14:paraId="59A5885B">
      <w:pPr>
        <w:pStyle w:val="14"/>
        <w:adjustRightInd w:val="0"/>
        <w:snapToGrid w:val="0"/>
        <w:spacing w:line="440" w:lineRule="exact"/>
        <w:jc w:val="left"/>
        <w:rPr>
          <w:sz w:val="24"/>
        </w:rPr>
      </w:pPr>
      <w:r>
        <w:rPr>
          <w:sz w:val="24"/>
        </w:rPr>
        <w:t>九、一般公共预算财政拨款项目支出决算表</w:t>
      </w:r>
      <w:r>
        <w:rPr>
          <w:sz w:val="24"/>
        </w:rPr>
        <w:tab/>
      </w:r>
      <w:r>
        <w:rPr>
          <w:rFonts w:hint="eastAsia"/>
          <w:sz w:val="24"/>
        </w:rPr>
        <w:t>20</w:t>
      </w:r>
    </w:p>
    <w:p w14:paraId="3E6CFC5A">
      <w:pPr>
        <w:pStyle w:val="14"/>
        <w:adjustRightInd w:val="0"/>
        <w:snapToGrid w:val="0"/>
        <w:spacing w:line="440" w:lineRule="exact"/>
        <w:jc w:val="left"/>
        <w:rPr>
          <w:sz w:val="24"/>
        </w:rPr>
      </w:pPr>
      <w:r>
        <w:rPr>
          <w:sz w:val="24"/>
        </w:rPr>
        <w:t>十、政府性基金预算财政拨款收入支出决算表</w:t>
      </w:r>
      <w:r>
        <w:rPr>
          <w:sz w:val="24"/>
        </w:rPr>
        <w:tab/>
      </w:r>
      <w:r>
        <w:rPr>
          <w:rFonts w:hint="eastAsia"/>
          <w:sz w:val="24"/>
        </w:rPr>
        <w:t>20</w:t>
      </w:r>
    </w:p>
    <w:p w14:paraId="7619D4BF">
      <w:pPr>
        <w:pStyle w:val="14"/>
        <w:adjustRightInd w:val="0"/>
        <w:snapToGrid w:val="0"/>
        <w:spacing w:line="440" w:lineRule="exact"/>
        <w:jc w:val="left"/>
        <w:rPr>
          <w:sz w:val="24"/>
        </w:rPr>
      </w:pPr>
      <w:r>
        <w:rPr>
          <w:sz w:val="24"/>
        </w:rPr>
        <w:t>十一、国有资本经营预算财政拨款收入支出决算表</w:t>
      </w:r>
      <w:r>
        <w:rPr>
          <w:sz w:val="24"/>
        </w:rPr>
        <w:tab/>
      </w:r>
      <w:r>
        <w:rPr>
          <w:rFonts w:hint="eastAsia"/>
          <w:sz w:val="24"/>
        </w:rPr>
        <w:t>20</w:t>
      </w:r>
    </w:p>
    <w:p w14:paraId="58038B3C">
      <w:pPr>
        <w:pStyle w:val="14"/>
        <w:adjustRightInd w:val="0"/>
        <w:snapToGrid w:val="0"/>
        <w:spacing w:line="440" w:lineRule="exact"/>
        <w:jc w:val="left"/>
        <w:rPr>
          <w:sz w:val="24"/>
        </w:rPr>
      </w:pPr>
      <w:r>
        <w:rPr>
          <w:sz w:val="24"/>
        </w:rPr>
        <w:t>十二、国有资本经营预算财政拨款支出决算表</w:t>
      </w:r>
      <w:r>
        <w:rPr>
          <w:sz w:val="24"/>
        </w:rPr>
        <w:tab/>
      </w:r>
      <w:r>
        <w:rPr>
          <w:rFonts w:hint="eastAsia"/>
          <w:sz w:val="24"/>
        </w:rPr>
        <w:t>20</w:t>
      </w:r>
    </w:p>
    <w:p w14:paraId="1B0173B6">
      <w:pPr>
        <w:pStyle w:val="14"/>
        <w:adjustRightInd w:val="0"/>
        <w:snapToGrid w:val="0"/>
        <w:spacing w:line="440" w:lineRule="exact"/>
        <w:jc w:val="left"/>
        <w:rPr>
          <w:sz w:val="24"/>
        </w:rPr>
      </w:pPr>
      <w:r>
        <w:rPr>
          <w:sz w:val="24"/>
        </w:rPr>
        <w:t>十三、财政拨款“三公”经费支出决算表</w:t>
      </w:r>
      <w:r>
        <w:rPr>
          <w:sz w:val="24"/>
        </w:rPr>
        <w:tab/>
      </w:r>
      <w:r>
        <w:rPr>
          <w:rFonts w:hint="eastAsia"/>
          <w:sz w:val="24"/>
        </w:rPr>
        <w:t>20</w:t>
      </w:r>
    </w:p>
    <w:p w14:paraId="21C0CAB6">
      <w:pPr>
        <w:pStyle w:val="3"/>
        <w:jc w:val="center"/>
        <w:rPr>
          <w:rFonts w:eastAsia="方正小标宋简体" w:cs="方正小标宋简体"/>
          <w:b w:val="0"/>
        </w:rPr>
      </w:pPr>
    </w:p>
    <w:p w14:paraId="7C2D676E"/>
    <w:p w14:paraId="74E5D374">
      <w:pPr>
        <w:pStyle w:val="3"/>
        <w:jc w:val="center"/>
        <w:rPr>
          <w:rFonts w:eastAsia="方正小标宋简体" w:cs="方正小标宋简体"/>
          <w:b w:val="0"/>
        </w:rPr>
      </w:pPr>
    </w:p>
    <w:p w14:paraId="2FEE09F2">
      <w:pPr>
        <w:pStyle w:val="3"/>
        <w:jc w:val="center"/>
        <w:rPr>
          <w:rFonts w:eastAsia="方正小标宋简体" w:cs="方正小标宋简体"/>
          <w:b w:val="0"/>
        </w:rPr>
      </w:pPr>
    </w:p>
    <w:p w14:paraId="5A0045AE"/>
    <w:p w14:paraId="577E09F6">
      <w:pPr>
        <w:pStyle w:val="3"/>
        <w:jc w:val="center"/>
        <w:rPr>
          <w:rStyle w:val="28"/>
          <w:rFonts w:eastAsia="方正小标宋简体" w:cs="方正小标宋简体"/>
          <w:b/>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部门概况</w:t>
      </w:r>
      <w:bookmarkEnd w:id="12"/>
      <w:bookmarkEnd w:id="13"/>
    </w:p>
    <w:p w14:paraId="195115D6">
      <w:pPr>
        <w:pStyle w:val="4"/>
        <w:numPr>
          <w:ilvl w:val="0"/>
          <w:numId w:val="1"/>
        </w:numPr>
        <w:ind w:left="1360" w:hanging="720"/>
        <w:rPr>
          <w:rFonts w:ascii="Times New Roman" w:hAnsi="Times New Roman" w:eastAsia="黑体"/>
          <w:b w:val="0"/>
        </w:rPr>
      </w:pPr>
      <w:r>
        <w:rPr>
          <w:rFonts w:hint="eastAsia" w:ascii="Times New Roman" w:hAnsi="Times New Roman" w:eastAsia="黑体"/>
          <w:b w:val="0"/>
        </w:rPr>
        <w:t>部门职责</w:t>
      </w:r>
    </w:p>
    <w:p w14:paraId="56BF62B2">
      <w:pPr>
        <w:ind w:firstLine="640" w:firstLineChars="200"/>
      </w:pPr>
      <w:r>
        <w:rPr>
          <w:rFonts w:eastAsia="仿宋_GB2312"/>
          <w:sz w:val="32"/>
          <w:szCs w:val="32"/>
        </w:rPr>
        <w:t>承担国土空间发展战略、技术标准、政策研究及拟定工作；承担国土空间用途管制、自然资源开发利用与保护、生态环境保护与修复等重大课题的研究工作；承担或参与国土空间规划、详细规划相关专项规划和乡村规划、城市设计等编制工作；参与政府重大项目的咨询论证工作。</w:t>
      </w:r>
    </w:p>
    <w:p w14:paraId="073A2A19">
      <w:pPr>
        <w:pStyle w:val="4"/>
        <w:rPr>
          <w:rStyle w:val="29"/>
          <w:rFonts w:ascii="Times New Roman" w:hAnsi="Times New Roman"/>
          <w:b w:val="0"/>
          <w:bCs w:val="0"/>
        </w:rPr>
      </w:pPr>
      <w:bookmarkStart w:id="14" w:name="_Toc15377200"/>
      <w:bookmarkStart w:id="15"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14:paraId="5D6DB5FB">
      <w:pPr>
        <w:ind w:firstLine="640" w:firstLineChars="200"/>
        <w:rPr>
          <w:rFonts w:eastAsia="仿宋_GB2312" w:cs="仿宋_GB2312"/>
          <w:sz w:val="32"/>
          <w:szCs w:val="32"/>
        </w:rPr>
      </w:pPr>
      <w:r>
        <w:rPr>
          <w:rFonts w:hint="eastAsia" w:eastAsia="仿宋_GB2312"/>
          <w:sz w:val="32"/>
          <w:szCs w:val="32"/>
        </w:rPr>
        <w:t>攀枝花</w:t>
      </w:r>
      <w:r>
        <w:rPr>
          <w:rFonts w:eastAsia="仿宋_GB2312"/>
          <w:sz w:val="32"/>
          <w:szCs w:val="32"/>
        </w:rPr>
        <w:t>市国土空间规划编制研究中心下属非独立核算单位0个，其中行政单位0个，参照公务员法管理的事业单位0个，其他事业单位0个。</w:t>
      </w:r>
    </w:p>
    <w:p w14:paraId="54EB412A">
      <w:pPr>
        <w:widowControl/>
        <w:jc w:val="left"/>
        <w:rPr>
          <w:rFonts w:eastAsia="仿宋"/>
          <w:kern w:val="0"/>
          <w:sz w:val="32"/>
          <w:szCs w:val="32"/>
        </w:rPr>
      </w:pPr>
      <w:r>
        <w:rPr>
          <w:rFonts w:eastAsia="仿宋"/>
          <w:sz w:val="32"/>
          <w:szCs w:val="32"/>
        </w:rPr>
        <w:br w:type="page"/>
      </w:r>
    </w:p>
    <w:p w14:paraId="602FC012">
      <w:pPr>
        <w:pStyle w:val="3"/>
        <w:jc w:val="center"/>
        <w:rPr>
          <w:rFonts w:eastAsia="方正小标宋简体" w:cs="方正小标宋简体"/>
          <w:b w:val="0"/>
        </w:rPr>
      </w:pPr>
      <w:bookmarkStart w:id="16" w:name="_Toc15377204"/>
      <w:bookmarkStart w:id="17" w:name="_Toc15396602"/>
      <w:r>
        <w:rPr>
          <w:rFonts w:hint="eastAsia" w:eastAsia="方正小标宋简体" w:cs="方正小标宋简体"/>
          <w:b w:val="0"/>
        </w:rPr>
        <w:t>第二部分  2024年度部门决算情况说明</w:t>
      </w:r>
      <w:bookmarkEnd w:id="16"/>
      <w:bookmarkEnd w:id="17"/>
    </w:p>
    <w:p w14:paraId="22E86E3F">
      <w:pPr>
        <w:spacing w:line="600" w:lineRule="exact"/>
        <w:outlineLvl w:val="1"/>
        <w:rPr>
          <w:rStyle w:val="29"/>
          <w:rFonts w:eastAsia="黑体"/>
          <w:b w:val="0"/>
        </w:rPr>
      </w:pPr>
      <w:bookmarkStart w:id="18" w:name="_Toc15377205"/>
      <w:bookmarkStart w:id="19" w:name="_Toc15396603"/>
      <w:r>
        <w:rPr>
          <w:rFonts w:hint="eastAsia" w:eastAsia="黑体"/>
          <w:sz w:val="32"/>
          <w:szCs w:val="32"/>
        </w:rPr>
        <w:t>一、收</w:t>
      </w:r>
      <w:r>
        <w:rPr>
          <w:rStyle w:val="29"/>
          <w:rFonts w:hint="eastAsia" w:eastAsia="黑体"/>
        </w:rPr>
        <w:t>入支出决算总体情况说明</w:t>
      </w:r>
      <w:bookmarkEnd w:id="18"/>
      <w:bookmarkEnd w:id="19"/>
    </w:p>
    <w:p w14:paraId="49DA3C74">
      <w:pPr>
        <w:pStyle w:val="27"/>
        <w:spacing w:line="600" w:lineRule="exact"/>
        <w:ind w:firstLine="640"/>
        <w:outlineLvl w:val="1"/>
        <w:rPr>
          <w:rFonts w:eastAsia="仿宋_GB2312" w:cs="仿宋_GB2312"/>
          <w:sz w:val="32"/>
          <w:szCs w:val="32"/>
        </w:rPr>
      </w:pPr>
      <w:r>
        <w:rPr>
          <w:rFonts w:hint="eastAsia" w:eastAsia="仿宋_GB2312" w:cs="仿宋_GB2312"/>
          <w:sz w:val="32"/>
          <w:szCs w:val="32"/>
        </w:rPr>
        <w:t>2024年度收入、支出总计均为379.76万元。与2023年度相比，收入、支出总计各增加28.44万元，增长8.1%。主要变动原因为本年度正常人员工资、社保递增等。</w:t>
      </w:r>
    </w:p>
    <w:p w14:paraId="544E189D">
      <w:pPr>
        <w:ind w:firstLine="420" w:firstLineChars="200"/>
        <w:jc w:val="center"/>
        <w:rPr>
          <w:color w:val="00B0F0"/>
        </w:rPr>
      </w:pPr>
      <w:r>
        <w:rPr>
          <w:color w:val="00B0F0"/>
        </w:rPr>
        <w:drawing>
          <wp:inline distT="0" distB="0" distL="114300" distR="114300">
            <wp:extent cx="4747895" cy="2577465"/>
            <wp:effectExtent l="4445" t="4445" r="10160" b="8890"/>
            <wp:docPr id="15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F6723D">
      <w:pPr>
        <w:pStyle w:val="27"/>
        <w:spacing w:line="600" w:lineRule="exact"/>
        <w:ind w:firstLine="640"/>
        <w:outlineLvl w:val="1"/>
        <w:rPr>
          <w:rFonts w:hint="eastAsia" w:eastAsia="仿宋_GB2312" w:cs="仿宋_GB2312"/>
          <w:sz w:val="32"/>
          <w:szCs w:val="32"/>
          <w:lang w:eastAsia="zh-CN"/>
        </w:rPr>
      </w:pPr>
      <w:bookmarkStart w:id="20" w:name="_Toc15396604"/>
      <w:bookmarkStart w:id="21" w:name="_Toc15377206"/>
      <w:r>
        <w:rPr>
          <w:rFonts w:hint="eastAsia" w:eastAsia="仿宋_GB2312" w:cs="仿宋_GB2312"/>
          <w:sz w:val="32"/>
          <w:szCs w:val="32"/>
        </w:rPr>
        <w:t>（图1：收入、支出决算总计变动情况图）</w:t>
      </w:r>
      <w:r>
        <w:rPr>
          <w:rFonts w:hint="eastAsia" w:eastAsia="仿宋_GB2312" w:cs="仿宋_GB2312"/>
          <w:sz w:val="32"/>
          <w:szCs w:val="32"/>
          <w:lang w:val="en-US" w:eastAsia="zh-CN"/>
        </w:rPr>
        <w:t xml:space="preserve"> </w:t>
      </w:r>
    </w:p>
    <w:p w14:paraId="53131D25">
      <w:pPr>
        <w:pStyle w:val="27"/>
        <w:spacing w:line="600" w:lineRule="exact"/>
        <w:ind w:firstLine="640"/>
        <w:outlineLvl w:val="1"/>
        <w:rPr>
          <w:rFonts w:eastAsia="黑体"/>
          <w:sz w:val="32"/>
          <w:szCs w:val="32"/>
        </w:rPr>
      </w:pPr>
      <w:r>
        <w:rPr>
          <w:rFonts w:hint="eastAsia" w:eastAsia="黑体"/>
          <w:sz w:val="32"/>
          <w:szCs w:val="32"/>
        </w:rPr>
        <w:t>二、收入决算情况说明</w:t>
      </w:r>
      <w:bookmarkEnd w:id="20"/>
      <w:bookmarkEnd w:id="21"/>
    </w:p>
    <w:p w14:paraId="1F51F3AD">
      <w:pPr>
        <w:pStyle w:val="27"/>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379.76万元，其中：一般公共预算财政拨款收入379.76万元，占100%；政府性基金预算财政拨款收入0万元，占0%；国有资本经营预算财政拨款收入0万元，占0%；上级补助收入0万元，占0%；事业收入0万元，占0%；经营收入0万元，占0%；附属单位上缴收入0万元，占0%；其他收入0万元，占0%。</w:t>
      </w:r>
    </w:p>
    <w:p w14:paraId="25FE0885">
      <w:pPr>
        <w:ind w:firstLine="525" w:firstLineChars="250"/>
        <w:rPr>
          <w:rFonts w:eastAsia="仿宋_GB2312" w:cs="仿宋_GB2312"/>
          <w:color w:val="00B0F0"/>
          <w:sz w:val="32"/>
          <w:szCs w:val="32"/>
        </w:rPr>
      </w:pPr>
      <w:r>
        <w:rPr>
          <w:color w:val="00B0F0"/>
        </w:rPr>
        <w:drawing>
          <wp:inline distT="0" distB="0" distL="114300" distR="114300">
            <wp:extent cx="4583430" cy="2400935"/>
            <wp:effectExtent l="4445" t="4445" r="22225" b="13970"/>
            <wp:docPr id="155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999389">
      <w:pPr>
        <w:ind w:firstLine="800" w:firstLineChars="250"/>
        <w:rPr>
          <w:rFonts w:hint="eastAsia" w:eastAsia="仿宋_GB2312" w:cs="仿宋_GB2312"/>
          <w:sz w:val="32"/>
          <w:szCs w:val="32"/>
          <w:lang w:eastAsia="zh-CN"/>
        </w:rPr>
      </w:pPr>
      <w:bookmarkStart w:id="22" w:name="_Toc15396605"/>
      <w:bookmarkStart w:id="23" w:name="_Toc15377207"/>
      <w:r>
        <w:rPr>
          <w:rFonts w:hint="eastAsia" w:eastAsia="仿宋_GB2312" w:cs="仿宋_GB2312"/>
          <w:sz w:val="32"/>
          <w:szCs w:val="32"/>
        </w:rPr>
        <w:t>（图2：收入决算结构图）</w:t>
      </w:r>
      <w:r>
        <w:rPr>
          <w:rFonts w:hint="eastAsia" w:eastAsia="仿宋_GB2312" w:cs="仿宋_GB2312"/>
          <w:sz w:val="32"/>
          <w:szCs w:val="32"/>
          <w:lang w:val="en-US" w:eastAsia="zh-CN"/>
        </w:rPr>
        <w:t xml:space="preserve"> </w:t>
      </w:r>
    </w:p>
    <w:p w14:paraId="27BDB19B">
      <w:pPr>
        <w:pStyle w:val="27"/>
        <w:spacing w:line="600" w:lineRule="exact"/>
        <w:ind w:firstLine="640"/>
        <w:outlineLvl w:val="1"/>
        <w:rPr>
          <w:rStyle w:val="29"/>
          <w:rFonts w:eastAsia="黑体"/>
          <w:b w:val="0"/>
        </w:rPr>
      </w:pPr>
      <w:r>
        <w:rPr>
          <w:rFonts w:hint="eastAsia" w:eastAsia="黑体"/>
          <w:sz w:val="32"/>
          <w:szCs w:val="32"/>
        </w:rPr>
        <w:t>三、支</w:t>
      </w:r>
      <w:r>
        <w:rPr>
          <w:rStyle w:val="29"/>
          <w:rFonts w:hint="eastAsia" w:eastAsia="黑体"/>
        </w:rPr>
        <w:t>出决算情况说明</w:t>
      </w:r>
      <w:bookmarkEnd w:id="22"/>
      <w:bookmarkEnd w:id="23"/>
    </w:p>
    <w:p w14:paraId="3353620C">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2024年度本年支出合计379.76万元，其中：基本支出324.82万元，占85.5%；项目支出54.94万元，占14.5%；上缴上级支出0万元，占0%；经营支出0万元，占0%；对附属单位补助支出0万元，占0%。</w:t>
      </w:r>
    </w:p>
    <w:p w14:paraId="20E53EED">
      <w:pPr>
        <w:ind w:firstLine="525" w:firstLineChars="250"/>
        <w:rPr>
          <w:rFonts w:eastAsia="仿宋_GB2312" w:cs="仿宋_GB2312"/>
          <w:color w:val="00B0F0"/>
          <w:sz w:val="32"/>
          <w:szCs w:val="32"/>
        </w:rPr>
      </w:pPr>
      <w:r>
        <w:rPr>
          <w:color w:val="00B0F0"/>
        </w:rPr>
        <w:drawing>
          <wp:inline distT="0" distB="0" distL="114300" distR="114300">
            <wp:extent cx="4504055" cy="2125980"/>
            <wp:effectExtent l="4445" t="4445" r="6350" b="22225"/>
            <wp:docPr id="155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ABD867">
      <w:pPr>
        <w:ind w:firstLine="800" w:firstLineChars="250"/>
        <w:rPr>
          <w:rFonts w:hint="eastAsia" w:eastAsia="仿宋_GB2312" w:cs="仿宋_GB2312"/>
          <w:sz w:val="32"/>
          <w:szCs w:val="32"/>
          <w:lang w:val="en-US" w:eastAsia="zh-CN"/>
        </w:rPr>
      </w:pPr>
      <w:bookmarkStart w:id="24" w:name="_Toc15396606"/>
      <w:bookmarkStart w:id="25" w:name="_Toc15377208"/>
      <w:r>
        <w:rPr>
          <w:rFonts w:hint="eastAsia" w:eastAsia="仿宋_GB2312" w:cs="仿宋_GB2312"/>
          <w:sz w:val="32"/>
          <w:szCs w:val="32"/>
        </w:rPr>
        <w:t>（图3：支出决算结构图）</w:t>
      </w:r>
      <w:r>
        <w:rPr>
          <w:rFonts w:hint="eastAsia" w:eastAsia="仿宋_GB2312" w:cs="仿宋_GB2312"/>
          <w:sz w:val="32"/>
          <w:szCs w:val="32"/>
          <w:lang w:val="en-US" w:eastAsia="zh-CN"/>
        </w:rPr>
        <w:t xml:space="preserve"> </w:t>
      </w:r>
    </w:p>
    <w:p w14:paraId="7C9993C6">
      <w:pPr>
        <w:spacing w:line="600" w:lineRule="exact"/>
        <w:ind w:firstLine="640" w:firstLineChars="200"/>
        <w:outlineLvl w:val="1"/>
        <w:rPr>
          <w:rFonts w:eastAsia="黑体"/>
          <w:color w:val="00B0F0"/>
          <w:sz w:val="32"/>
          <w:szCs w:val="32"/>
        </w:rPr>
      </w:pPr>
    </w:p>
    <w:p w14:paraId="2AC70127">
      <w:pPr>
        <w:spacing w:line="600" w:lineRule="exact"/>
        <w:ind w:firstLine="640" w:firstLineChars="200"/>
        <w:outlineLvl w:val="1"/>
        <w:rPr>
          <w:rStyle w:val="29"/>
          <w:rFonts w:eastAsia="黑体"/>
          <w:b w:val="0"/>
        </w:rPr>
      </w:pPr>
      <w:r>
        <w:rPr>
          <w:rFonts w:hint="eastAsia" w:eastAsia="黑体"/>
          <w:sz w:val="32"/>
          <w:szCs w:val="32"/>
        </w:rPr>
        <w:t>四、财</w:t>
      </w:r>
      <w:r>
        <w:rPr>
          <w:rStyle w:val="29"/>
          <w:rFonts w:hint="eastAsia" w:eastAsia="黑体"/>
        </w:rPr>
        <w:t>政拨款收入支出决算总体情况说明</w:t>
      </w:r>
      <w:bookmarkEnd w:id="24"/>
      <w:bookmarkEnd w:id="25"/>
    </w:p>
    <w:p w14:paraId="2F83F023">
      <w:pPr>
        <w:pStyle w:val="27"/>
        <w:spacing w:line="600" w:lineRule="exact"/>
        <w:ind w:firstLine="640"/>
        <w:outlineLvl w:val="1"/>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379.76</w:t>
      </w:r>
      <w:r>
        <w:rPr>
          <w:rFonts w:hint="eastAsia" w:eastAsia="仿宋_GB2312" w:cs="仿宋_GB2312"/>
          <w:sz w:val="32"/>
          <w:szCs w:val="32"/>
        </w:rPr>
        <w:t>万元。与2023年度相比，财政拨款收入总计、支出总计各增加28.44万元，增长8.1%。主要变动原因为本年度正常人员工资、社保递增等。</w:t>
      </w:r>
    </w:p>
    <w:p w14:paraId="73A046AE">
      <w:pPr>
        <w:pStyle w:val="12"/>
        <w:ind w:left="420"/>
        <w:rPr>
          <w:color w:val="00B0F0"/>
        </w:rPr>
      </w:pPr>
      <w:r>
        <w:rPr>
          <w:color w:val="00B0F0"/>
        </w:rPr>
        <w:drawing>
          <wp:inline distT="0" distB="0" distL="114300" distR="114300">
            <wp:extent cx="5039360" cy="2371725"/>
            <wp:effectExtent l="4445" t="4445" r="23495" b="5080"/>
            <wp:docPr id="155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C4647D">
      <w:pPr>
        <w:spacing w:line="600" w:lineRule="exact"/>
        <w:ind w:firstLine="640" w:firstLineChars="200"/>
        <w:rPr>
          <w:rFonts w:hint="eastAsia" w:eastAsia="仿宋_GB2312" w:cs="仿宋_GB2312"/>
          <w:sz w:val="32"/>
          <w:szCs w:val="32"/>
          <w:lang w:val="en-US" w:eastAsia="zh-CN"/>
        </w:rPr>
      </w:pPr>
      <w:bookmarkStart w:id="26" w:name="_Toc15396607"/>
      <w:bookmarkStart w:id="27" w:name="_Toc15377209"/>
      <w:r>
        <w:rPr>
          <w:rFonts w:hint="eastAsia" w:eastAsia="仿宋_GB2312" w:cs="仿宋_GB2312"/>
          <w:sz w:val="32"/>
          <w:szCs w:val="32"/>
        </w:rPr>
        <w:t>（图4：财政拨款收、支决算总计变动情况）</w:t>
      </w:r>
      <w:r>
        <w:rPr>
          <w:rFonts w:hint="eastAsia" w:eastAsia="仿宋_GB2312" w:cs="仿宋_GB2312"/>
          <w:sz w:val="32"/>
          <w:szCs w:val="32"/>
          <w:lang w:val="en-US" w:eastAsia="zh-CN"/>
        </w:rPr>
        <w:t xml:space="preserve"> </w:t>
      </w:r>
    </w:p>
    <w:p w14:paraId="1750032D">
      <w:pPr>
        <w:spacing w:line="600" w:lineRule="exact"/>
        <w:ind w:firstLine="640" w:firstLineChars="200"/>
        <w:outlineLvl w:val="1"/>
        <w:rPr>
          <w:rStyle w:val="29"/>
          <w:rFonts w:eastAsia="黑体"/>
          <w:b w:val="0"/>
        </w:rPr>
      </w:pPr>
      <w:r>
        <w:rPr>
          <w:rFonts w:hint="eastAsia" w:eastAsia="黑体"/>
          <w:sz w:val="32"/>
          <w:szCs w:val="32"/>
        </w:rPr>
        <w:t>五、</w:t>
      </w:r>
      <w:r>
        <w:rPr>
          <w:rFonts w:hint="eastAsia" w:eastAsia="黑体"/>
          <w:b/>
          <w:sz w:val="32"/>
          <w:szCs w:val="32"/>
        </w:rPr>
        <w:t>一</w:t>
      </w:r>
      <w:r>
        <w:rPr>
          <w:rStyle w:val="29"/>
          <w:rFonts w:hint="eastAsia" w:eastAsia="黑体"/>
        </w:rPr>
        <w:t>般公共预算财政拨款支出决算情况说明</w:t>
      </w:r>
      <w:bookmarkEnd w:id="26"/>
      <w:bookmarkEnd w:id="27"/>
    </w:p>
    <w:p w14:paraId="7396A12C">
      <w:pPr>
        <w:spacing w:line="600" w:lineRule="exact"/>
        <w:ind w:firstLine="643"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14:paraId="74B20E4A">
      <w:pPr>
        <w:spacing w:line="600" w:lineRule="exact"/>
        <w:ind w:firstLine="640"/>
        <w:rPr>
          <w:rFonts w:eastAsia="仿宋" w:cs="仿宋_GB2312"/>
          <w:sz w:val="32"/>
          <w:szCs w:val="32"/>
        </w:rPr>
      </w:pPr>
      <w:r>
        <w:rPr>
          <w:rFonts w:hint="eastAsia" w:ascii="仿宋_GB2312" w:hAnsi="仿宋_GB2312" w:eastAsia="仿宋_GB2312" w:cs="仿宋_GB2312"/>
          <w:sz w:val="32"/>
          <w:szCs w:val="32"/>
        </w:rPr>
        <w:t>2024年度一般公共预算财政拨款支出379.76万元，占本年支出合计的100%。与2023年度相比，一般公共预算财政拨款支出增加28.44万元，增长8.1%。主要变动原因是</w:t>
      </w:r>
      <w:r>
        <w:rPr>
          <w:rFonts w:hint="eastAsia" w:eastAsia="仿宋_GB2312" w:cs="仿宋_GB2312"/>
          <w:sz w:val="32"/>
          <w:szCs w:val="32"/>
        </w:rPr>
        <w:t>本年度安排支付以往年度欠款项目资金</w:t>
      </w:r>
      <w:r>
        <w:rPr>
          <w:rFonts w:hint="eastAsia" w:ascii="仿宋" w:hAnsi="仿宋" w:eastAsia="仿宋"/>
          <w:sz w:val="32"/>
          <w:szCs w:val="32"/>
        </w:rPr>
        <w:t>。</w:t>
      </w:r>
    </w:p>
    <w:p w14:paraId="6DDB3014">
      <w:pPr>
        <w:pStyle w:val="19"/>
        <w:jc w:val="center"/>
        <w:rPr>
          <w:color w:val="00B0F0"/>
        </w:rPr>
      </w:pPr>
      <w:bookmarkStart w:id="29" w:name="_Toc15377211"/>
      <w:r>
        <w:rPr>
          <w:color w:val="00B0F0"/>
        </w:rPr>
        <w:drawing>
          <wp:inline distT="0" distB="0" distL="114300" distR="114300">
            <wp:extent cx="4090035" cy="2365375"/>
            <wp:effectExtent l="5080" t="4445" r="19685" b="11430"/>
            <wp:docPr id="156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D07192">
      <w:pPr>
        <w:spacing w:line="600" w:lineRule="exact"/>
        <w:ind w:firstLine="320" w:firstLineChars="100"/>
        <w:rPr>
          <w:rFonts w:hint="eastAsia" w:eastAsia="仿宋_GB2312"/>
          <w:lang w:val="en-US" w:eastAsia="zh-CN"/>
        </w:rPr>
      </w:pPr>
      <w:r>
        <w:rPr>
          <w:rFonts w:hint="eastAsia" w:eastAsia="仿宋_GB2312" w:cs="仿宋_GB2312"/>
          <w:sz w:val="32"/>
          <w:szCs w:val="32"/>
        </w:rPr>
        <w:t>(图5：一般公共预算财政拨款支出决算变动情况)</w:t>
      </w:r>
      <w:r>
        <w:rPr>
          <w:rFonts w:hint="eastAsia" w:eastAsia="仿宋_GB2312" w:cs="仿宋_GB2312"/>
          <w:sz w:val="32"/>
          <w:szCs w:val="32"/>
          <w:lang w:val="en-US" w:eastAsia="zh-CN"/>
        </w:rPr>
        <w:t xml:space="preserve"> </w:t>
      </w:r>
    </w:p>
    <w:p w14:paraId="33A19CB8">
      <w:pPr>
        <w:spacing w:line="600" w:lineRule="exact"/>
        <w:ind w:firstLine="643" w:firstLineChars="200"/>
        <w:outlineLvl w:val="2"/>
        <w:rPr>
          <w:rFonts w:eastAsia="楷体_GB2312" w:cs="楷体_GB2312"/>
          <w:b/>
          <w:sz w:val="32"/>
          <w:szCs w:val="32"/>
        </w:rPr>
      </w:pPr>
    </w:p>
    <w:p w14:paraId="5A061EE7">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29"/>
    </w:p>
    <w:p w14:paraId="37DC5883">
      <w:pPr>
        <w:spacing w:line="600" w:lineRule="exact"/>
        <w:ind w:firstLine="640"/>
        <w:rPr>
          <w:rFonts w:eastAsia="仿宋_GB2312" w:cs="仿宋_GB2312"/>
          <w:b/>
          <w:bCs/>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379.76万元</w:t>
      </w:r>
      <w:r>
        <w:rPr>
          <w:rFonts w:hint="eastAsia" w:eastAsia="仿宋_GB2312" w:cs="仿宋_GB2312"/>
          <w:sz w:val="32"/>
          <w:szCs w:val="32"/>
        </w:rPr>
        <w:t>，主要用于以下方面：一般公共服务支出0万元，占0%；教育支出0万元，占0%；科学技术支出0万元，占0%；文化旅游体育与传媒支出0万元，占0%；社会保障和就业支出38.14万元，占10%；卫生健康支出18.38万元，占4.8%；自然资源海洋气象等支出301.1万元，占79.3%；住房保障支出22.14万元，占5.9%。</w:t>
      </w:r>
    </w:p>
    <w:p w14:paraId="1B3C7634">
      <w:pPr>
        <w:pStyle w:val="13"/>
        <w:ind w:left="0" w:leftChars="0" w:firstLine="0" w:firstLineChars="0"/>
        <w:jc w:val="center"/>
        <w:rPr>
          <w:color w:val="00B0F0"/>
        </w:rPr>
      </w:pPr>
      <w:r>
        <w:rPr>
          <w:color w:val="00B0F0"/>
        </w:rPr>
        <w:drawing>
          <wp:inline distT="0" distB="0" distL="114300" distR="114300">
            <wp:extent cx="4752340" cy="2743200"/>
            <wp:effectExtent l="4445" t="4445" r="5715" b="14605"/>
            <wp:docPr id="156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8F6FD8">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（图6：一般公共预算财政拨款支出决算结构）</w:t>
      </w:r>
      <w:r>
        <w:rPr>
          <w:rFonts w:hint="eastAsia" w:eastAsia="仿宋_GB2312" w:cs="仿宋_GB2312"/>
          <w:sz w:val="32"/>
          <w:szCs w:val="32"/>
          <w:lang w:val="en-US" w:eastAsia="zh-CN"/>
        </w:rPr>
        <w:t xml:space="preserve"> </w:t>
      </w:r>
    </w:p>
    <w:p w14:paraId="0EC2B233">
      <w:pPr>
        <w:pStyle w:val="12"/>
        <w:ind w:left="420"/>
        <w:rPr>
          <w:color w:val="00B0F0"/>
        </w:rPr>
      </w:pPr>
    </w:p>
    <w:p w14:paraId="5E3B0466">
      <w:pPr>
        <w:spacing w:line="600" w:lineRule="exact"/>
        <w:ind w:firstLine="643" w:firstLineChars="200"/>
        <w:outlineLvl w:val="2"/>
        <w:rPr>
          <w:rFonts w:eastAsia="楷体_GB2312" w:cs="楷体_GB2312"/>
          <w:b/>
          <w:sz w:val="32"/>
          <w:szCs w:val="32"/>
        </w:rPr>
      </w:pPr>
      <w:bookmarkStart w:id="30" w:name="_Toc15377212"/>
      <w:r>
        <w:rPr>
          <w:rFonts w:hint="eastAsia" w:eastAsia="楷体_GB2312" w:cs="楷体_GB2312"/>
          <w:b/>
          <w:sz w:val="32"/>
          <w:szCs w:val="32"/>
        </w:rPr>
        <w:t>（三）一般公共预算财政拨款支出决算具体情况</w:t>
      </w:r>
      <w:bookmarkEnd w:id="30"/>
    </w:p>
    <w:p w14:paraId="1924ADE6">
      <w:pPr>
        <w:spacing w:line="600" w:lineRule="exact"/>
        <w:ind w:firstLine="640"/>
        <w:rPr>
          <w:rFonts w:eastAsia="仿宋_GB2312" w:cs="仿宋_GB2312"/>
          <w:sz w:val="32"/>
          <w:szCs w:val="32"/>
        </w:rPr>
      </w:pPr>
      <w:bookmarkStart w:id="31" w:name="_Toc15378460"/>
      <w:bookmarkStart w:id="32" w:name="_Toc15377444"/>
      <w:bookmarkStart w:id="33"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379.76，</w:t>
      </w:r>
      <w:r>
        <w:rPr>
          <w:rFonts w:hint="eastAsia" w:eastAsia="仿宋_GB2312" w:cs="仿宋_GB2312"/>
          <w:sz w:val="32"/>
          <w:szCs w:val="32"/>
        </w:rPr>
        <w:t>完成预算100%。其中：</w:t>
      </w:r>
      <w:bookmarkEnd w:id="31"/>
      <w:bookmarkEnd w:id="32"/>
      <w:bookmarkEnd w:id="33"/>
    </w:p>
    <w:p w14:paraId="2F301929">
      <w:pPr>
        <w:spacing w:line="600" w:lineRule="exact"/>
        <w:ind w:firstLine="643" w:firstLineChars="200"/>
        <w:outlineLvl w:val="2"/>
        <w:rPr>
          <w:rFonts w:hint="eastAsia" w:ascii="仿宋" w:hAnsi="仿宋" w:eastAsia="仿宋"/>
          <w:sz w:val="32"/>
          <w:szCs w:val="32"/>
        </w:rPr>
      </w:pPr>
      <w:r>
        <w:rPr>
          <w:rFonts w:ascii="仿宋_GB2312" w:eastAsia="仿宋_GB2312" w:cs="仿宋_GB2312"/>
          <w:b/>
          <w:bCs/>
          <w:sz w:val="32"/>
          <w:szCs w:val="32"/>
        </w:rPr>
        <w:t>1.</w:t>
      </w:r>
      <w:r>
        <w:t xml:space="preserve"> </w:t>
      </w:r>
      <w:r>
        <w:rPr>
          <w:rFonts w:hint="eastAsia" w:ascii="仿宋_GB2312" w:eastAsia="仿宋_GB2312" w:cs="仿宋_GB2312"/>
          <w:b/>
          <w:bCs/>
          <w:sz w:val="32"/>
          <w:szCs w:val="32"/>
        </w:rPr>
        <w:t>社会保障和就业支出（类）行政事业单位养老支出（款）事业单位离退休（项）</w:t>
      </w:r>
      <w:r>
        <w:rPr>
          <w:rFonts w:ascii="仿宋_GB2312" w:eastAsia="仿宋_GB2312" w:cs="仿宋_GB2312"/>
          <w:b/>
          <w:bCs/>
          <w:sz w:val="32"/>
          <w:szCs w:val="32"/>
        </w:rPr>
        <w:t>:</w:t>
      </w:r>
      <w:r>
        <w:rPr>
          <w:rFonts w:ascii="仿宋_GB2312" w:eastAsia="仿宋_GB2312" w:cs="仿宋_GB2312"/>
          <w:sz w:val="32"/>
          <w:szCs w:val="32"/>
        </w:rPr>
        <w:t xml:space="preserve"> </w:t>
      </w:r>
      <w:r>
        <w:rPr>
          <w:rFonts w:hint="eastAsia" w:ascii="仿宋" w:eastAsia="仿宋" w:cs="仿宋"/>
          <w:sz w:val="32"/>
          <w:szCs w:val="32"/>
        </w:rPr>
        <w:t>支出决算为7.82万元，完成预算</w:t>
      </w:r>
      <w:r>
        <w:rPr>
          <w:rFonts w:ascii="仿宋" w:eastAsia="仿宋" w:cs="仿宋"/>
          <w:sz w:val="32"/>
          <w:szCs w:val="32"/>
        </w:rPr>
        <w:t>100%</w:t>
      </w:r>
      <w:r>
        <w:rPr>
          <w:rFonts w:hint="eastAsia" w:ascii="仿宋" w:eastAsia="仿宋" w:cs="仿宋"/>
          <w:sz w:val="32"/>
          <w:szCs w:val="32"/>
        </w:rPr>
        <w:t>，决算数等于预算数。</w:t>
      </w:r>
    </w:p>
    <w:p w14:paraId="6342141B">
      <w:pPr>
        <w:spacing w:line="600" w:lineRule="exact"/>
        <w:ind w:firstLine="643" w:firstLineChars="200"/>
        <w:outlineLvl w:val="2"/>
        <w:rPr>
          <w:rFonts w:hint="eastAsia" w:ascii="仿宋" w:hAnsi="仿宋" w:eastAsia="仿宋"/>
          <w:sz w:val="32"/>
          <w:szCs w:val="32"/>
        </w:rPr>
      </w:pPr>
      <w:r>
        <w:rPr>
          <w:rFonts w:ascii="仿宋_GB2312" w:eastAsia="仿宋_GB2312" w:cs="仿宋_GB2312"/>
          <w:b/>
          <w:bCs/>
          <w:sz w:val="32"/>
          <w:szCs w:val="32"/>
        </w:rPr>
        <w:t xml:space="preserve">2. </w:t>
      </w:r>
      <w:r>
        <w:rPr>
          <w:rFonts w:hint="eastAsia" w:ascii="仿宋_GB2312" w:eastAsia="仿宋_GB2312" w:cs="仿宋_GB2312"/>
          <w:b/>
          <w:bCs/>
          <w:sz w:val="32"/>
          <w:szCs w:val="32"/>
        </w:rPr>
        <w:t>社会保障和就业支出（类）行政事业单位养老支出（款）机关事业单位基本养老保险缴费支出（项）</w:t>
      </w:r>
      <w:r>
        <w:rPr>
          <w:rFonts w:ascii="仿宋_GB2312" w:eastAsia="仿宋_GB2312" w:cs="仿宋_GB2312"/>
          <w:b/>
          <w:bCs/>
          <w:sz w:val="32"/>
          <w:szCs w:val="32"/>
        </w:rPr>
        <w:t>:</w:t>
      </w:r>
      <w:r>
        <w:rPr>
          <w:rFonts w:hint="eastAsia" w:ascii="仿宋" w:eastAsia="仿宋" w:cs="仿宋"/>
          <w:sz w:val="32"/>
          <w:szCs w:val="32"/>
        </w:rPr>
        <w:t>支出决算为30.32万元，完成预算</w:t>
      </w:r>
      <w:r>
        <w:rPr>
          <w:rFonts w:ascii="仿宋" w:eastAsia="仿宋" w:cs="仿宋"/>
          <w:sz w:val="32"/>
          <w:szCs w:val="32"/>
        </w:rPr>
        <w:t>100%</w:t>
      </w:r>
      <w:r>
        <w:rPr>
          <w:rFonts w:hint="eastAsia" w:ascii="仿宋" w:eastAsia="仿宋" w:cs="仿宋"/>
          <w:sz w:val="32"/>
          <w:szCs w:val="32"/>
        </w:rPr>
        <w:t>，决算数等于预算数。</w:t>
      </w:r>
    </w:p>
    <w:p w14:paraId="790A4452">
      <w:pPr>
        <w:spacing w:line="600" w:lineRule="exact"/>
        <w:ind w:firstLine="643" w:firstLineChars="200"/>
        <w:outlineLvl w:val="2"/>
        <w:rPr>
          <w:rFonts w:ascii="仿宋" w:eastAsia="仿宋" w:cs="仿宋"/>
          <w:sz w:val="32"/>
          <w:szCs w:val="32"/>
        </w:rPr>
      </w:pPr>
      <w:r>
        <w:rPr>
          <w:rFonts w:ascii="仿宋_GB2312" w:eastAsia="仿宋_GB2312" w:cs="仿宋_GB2312"/>
          <w:b/>
          <w:bCs/>
          <w:sz w:val="32"/>
          <w:szCs w:val="32"/>
        </w:rPr>
        <w:t xml:space="preserve">3. </w:t>
      </w:r>
      <w:r>
        <w:rPr>
          <w:rFonts w:hint="eastAsia" w:ascii="仿宋_GB2312" w:eastAsia="仿宋_GB2312" w:cs="仿宋_GB2312"/>
          <w:b/>
          <w:bCs/>
          <w:sz w:val="32"/>
          <w:szCs w:val="32"/>
        </w:rPr>
        <w:t>卫生健康支出（类）行政事业单位医疗（款）事业单位医疗（项）</w:t>
      </w:r>
      <w:r>
        <w:rPr>
          <w:rFonts w:ascii="仿宋_GB2312" w:eastAsia="仿宋_GB2312" w:cs="仿宋_GB2312"/>
          <w:b/>
          <w:bCs/>
          <w:sz w:val="32"/>
          <w:szCs w:val="32"/>
        </w:rPr>
        <w:t>:</w:t>
      </w:r>
      <w:r>
        <w:rPr>
          <w:rFonts w:hint="eastAsia" w:ascii="仿宋" w:eastAsia="仿宋" w:cs="仿宋"/>
          <w:sz w:val="32"/>
          <w:szCs w:val="32"/>
        </w:rPr>
        <w:t>支出决算为14.36万元，完成预算</w:t>
      </w:r>
      <w:r>
        <w:rPr>
          <w:rFonts w:ascii="仿宋" w:eastAsia="仿宋" w:cs="仿宋"/>
          <w:sz w:val="32"/>
          <w:szCs w:val="32"/>
        </w:rPr>
        <w:t>100%</w:t>
      </w:r>
      <w:r>
        <w:rPr>
          <w:rFonts w:hint="eastAsia" w:ascii="仿宋" w:eastAsia="仿宋" w:cs="仿宋"/>
          <w:sz w:val="32"/>
          <w:szCs w:val="32"/>
        </w:rPr>
        <w:t>，决算数等于预算数。</w:t>
      </w:r>
    </w:p>
    <w:p w14:paraId="19EBE8F0">
      <w:pPr>
        <w:spacing w:line="600" w:lineRule="exact"/>
        <w:ind w:firstLine="643" w:firstLineChars="200"/>
        <w:outlineLvl w:val="2"/>
        <w:rPr>
          <w:rFonts w:hint="eastAsia" w:ascii="仿宋" w:hAnsi="仿宋" w:eastAsia="仿宋"/>
          <w:sz w:val="32"/>
          <w:szCs w:val="32"/>
        </w:rPr>
      </w:pPr>
      <w:r>
        <w:rPr>
          <w:rFonts w:hint="eastAsia" w:ascii="仿宋_GB2312" w:eastAsia="仿宋_GB2312" w:cs="仿宋_GB2312"/>
          <w:b/>
          <w:bCs/>
          <w:sz w:val="32"/>
          <w:szCs w:val="32"/>
        </w:rPr>
        <w:t>4</w:t>
      </w:r>
      <w:r>
        <w:rPr>
          <w:rFonts w:ascii="仿宋_GB2312" w:eastAsia="仿宋_GB2312" w:cs="仿宋_GB2312"/>
          <w:b/>
          <w:bCs/>
          <w:sz w:val="32"/>
          <w:szCs w:val="32"/>
        </w:rPr>
        <w:t>.</w:t>
      </w:r>
      <w:r>
        <w:rPr>
          <w:rFonts w:hint="eastAsia" w:ascii="仿宋_GB2312" w:eastAsia="仿宋_GB2312" w:cs="仿宋_GB2312"/>
          <w:b/>
          <w:bCs/>
          <w:sz w:val="32"/>
          <w:szCs w:val="32"/>
        </w:rPr>
        <w:t>卫生健康支出（类）行政事业单位医疗（款）公务员医疗补助（项）</w:t>
      </w:r>
      <w:r>
        <w:rPr>
          <w:rFonts w:ascii="仿宋_GB2312" w:eastAsia="仿宋_GB2312" w:cs="仿宋_GB2312"/>
          <w:b/>
          <w:bCs/>
          <w:sz w:val="32"/>
          <w:szCs w:val="32"/>
        </w:rPr>
        <w:t>:</w:t>
      </w:r>
      <w:r>
        <w:rPr>
          <w:rFonts w:hint="eastAsia" w:ascii="仿宋" w:eastAsia="仿宋" w:cs="仿宋"/>
          <w:sz w:val="32"/>
          <w:szCs w:val="32"/>
        </w:rPr>
        <w:t>支出决算为2.01万元，完成预算</w:t>
      </w:r>
      <w:r>
        <w:rPr>
          <w:rFonts w:ascii="仿宋" w:eastAsia="仿宋" w:cs="仿宋"/>
          <w:sz w:val="32"/>
          <w:szCs w:val="32"/>
        </w:rPr>
        <w:t>100%</w:t>
      </w:r>
      <w:r>
        <w:rPr>
          <w:rFonts w:hint="eastAsia" w:ascii="仿宋" w:eastAsia="仿宋" w:cs="仿宋"/>
          <w:sz w:val="32"/>
          <w:szCs w:val="32"/>
        </w:rPr>
        <w:t>，决算数等于预算数。</w:t>
      </w:r>
    </w:p>
    <w:p w14:paraId="0A540F70">
      <w:pPr>
        <w:spacing w:line="600" w:lineRule="exact"/>
        <w:ind w:firstLine="643" w:firstLineChars="200"/>
        <w:outlineLvl w:val="2"/>
        <w:rPr>
          <w:rFonts w:hint="eastAsia" w:ascii="仿宋" w:hAnsi="仿宋" w:eastAsia="仿宋"/>
          <w:sz w:val="32"/>
          <w:szCs w:val="32"/>
        </w:rPr>
      </w:pPr>
      <w:r>
        <w:rPr>
          <w:rFonts w:hint="eastAsia" w:ascii="仿宋_GB2312" w:eastAsia="仿宋_GB2312" w:cs="仿宋_GB2312"/>
          <w:b/>
          <w:bCs/>
          <w:sz w:val="32"/>
          <w:szCs w:val="32"/>
        </w:rPr>
        <w:t>5</w:t>
      </w:r>
      <w:r>
        <w:rPr>
          <w:rFonts w:ascii="仿宋_GB2312" w:eastAsia="仿宋_GB2312" w:cs="仿宋_GB2312"/>
          <w:b/>
          <w:bCs/>
          <w:sz w:val="32"/>
          <w:szCs w:val="32"/>
        </w:rPr>
        <w:t>.</w:t>
      </w:r>
      <w:r>
        <w:t xml:space="preserve"> </w:t>
      </w:r>
      <w:r>
        <w:rPr>
          <w:rFonts w:hint="eastAsia" w:ascii="仿宋_GB2312" w:eastAsia="仿宋_GB2312" w:cs="仿宋_GB2312"/>
          <w:b/>
          <w:bCs/>
          <w:sz w:val="32"/>
          <w:szCs w:val="32"/>
        </w:rPr>
        <w:t>卫生健康支出（类）行政事业单位医疗（款）其他行政事业单位医疗支出（项）</w:t>
      </w:r>
      <w:r>
        <w:rPr>
          <w:rFonts w:ascii="仿宋_GB2312" w:eastAsia="仿宋_GB2312" w:cs="仿宋_GB2312"/>
          <w:b/>
          <w:bCs/>
          <w:sz w:val="32"/>
          <w:szCs w:val="32"/>
        </w:rPr>
        <w:t>:</w:t>
      </w:r>
      <w:r>
        <w:rPr>
          <w:rFonts w:hint="eastAsia" w:ascii="仿宋" w:eastAsia="仿宋" w:cs="仿宋"/>
          <w:sz w:val="32"/>
          <w:szCs w:val="32"/>
        </w:rPr>
        <w:t>支出决算为2万元，完成预算</w:t>
      </w:r>
      <w:r>
        <w:rPr>
          <w:rFonts w:ascii="仿宋" w:eastAsia="仿宋" w:cs="仿宋"/>
          <w:sz w:val="32"/>
          <w:szCs w:val="32"/>
        </w:rPr>
        <w:t>100%</w:t>
      </w:r>
      <w:r>
        <w:rPr>
          <w:rFonts w:hint="eastAsia" w:ascii="仿宋" w:eastAsia="仿宋" w:cs="仿宋"/>
          <w:sz w:val="32"/>
          <w:szCs w:val="32"/>
        </w:rPr>
        <w:t>，决算数等于预算数。</w:t>
      </w:r>
    </w:p>
    <w:p w14:paraId="55E103C4">
      <w:pPr>
        <w:spacing w:line="600" w:lineRule="exact"/>
        <w:ind w:firstLine="643" w:firstLineChars="200"/>
        <w:outlineLvl w:val="2"/>
        <w:rPr>
          <w:rFonts w:ascii="仿宋" w:eastAsia="仿宋" w:cs="仿宋"/>
          <w:sz w:val="32"/>
          <w:szCs w:val="32"/>
        </w:rPr>
      </w:pPr>
      <w:r>
        <w:rPr>
          <w:rFonts w:hint="eastAsia" w:ascii="仿宋_GB2312" w:eastAsia="仿宋_GB2312" w:cs="仿宋_GB2312"/>
          <w:b/>
          <w:bCs/>
          <w:sz w:val="32"/>
          <w:szCs w:val="32"/>
        </w:rPr>
        <w:t>6.自然资源海洋气象等支出（类）自然资源事务（款）自然资源规划及管理（项）</w:t>
      </w:r>
      <w:r>
        <w:rPr>
          <w:rFonts w:ascii="仿宋_GB2312" w:eastAsia="仿宋_GB2312" w:cs="仿宋_GB2312"/>
          <w:b/>
          <w:bCs/>
          <w:sz w:val="32"/>
          <w:szCs w:val="32"/>
        </w:rPr>
        <w:t>:</w:t>
      </w:r>
      <w:r>
        <w:rPr>
          <w:rFonts w:hint="eastAsia" w:ascii="仿宋" w:eastAsia="仿宋" w:cs="仿宋"/>
          <w:sz w:val="32"/>
          <w:szCs w:val="32"/>
        </w:rPr>
        <w:t>支出决算为5万元，完成预算</w:t>
      </w:r>
      <w:r>
        <w:rPr>
          <w:rFonts w:ascii="仿宋" w:eastAsia="仿宋" w:cs="仿宋"/>
          <w:sz w:val="32"/>
          <w:szCs w:val="32"/>
        </w:rPr>
        <w:t>100%</w:t>
      </w:r>
      <w:r>
        <w:rPr>
          <w:rFonts w:hint="eastAsia" w:ascii="仿宋" w:eastAsia="仿宋" w:cs="仿宋"/>
          <w:sz w:val="32"/>
          <w:szCs w:val="32"/>
        </w:rPr>
        <w:t>，决算数等于预算数。</w:t>
      </w:r>
    </w:p>
    <w:p w14:paraId="345A6C5E">
      <w:pPr>
        <w:spacing w:line="600" w:lineRule="exact"/>
        <w:ind w:firstLine="643" w:firstLineChars="200"/>
        <w:outlineLvl w:val="2"/>
        <w:rPr>
          <w:rFonts w:ascii="仿宋" w:eastAsia="仿宋" w:cs="仿宋"/>
          <w:sz w:val="32"/>
          <w:szCs w:val="32"/>
        </w:rPr>
      </w:pPr>
      <w:r>
        <w:rPr>
          <w:rFonts w:ascii="仿宋_GB2312" w:eastAsia="仿宋_GB2312" w:cs="仿宋_GB2312"/>
          <w:b/>
          <w:bCs/>
          <w:sz w:val="32"/>
          <w:szCs w:val="32"/>
        </w:rPr>
        <w:t xml:space="preserve"> </w:t>
      </w:r>
      <w:r>
        <w:rPr>
          <w:rFonts w:hint="eastAsia" w:ascii="仿宋_GB2312" w:eastAsia="仿宋_GB2312" w:cs="仿宋_GB2312"/>
          <w:b/>
          <w:bCs/>
          <w:sz w:val="32"/>
          <w:szCs w:val="32"/>
        </w:rPr>
        <w:t>7</w:t>
      </w:r>
      <w:r>
        <w:rPr>
          <w:rFonts w:ascii="仿宋_GB2312" w:eastAsia="仿宋_GB2312" w:cs="仿宋_GB2312"/>
          <w:b/>
          <w:bCs/>
          <w:sz w:val="32"/>
          <w:szCs w:val="32"/>
        </w:rPr>
        <w:t>.</w:t>
      </w:r>
      <w:r>
        <w:rPr>
          <w:rFonts w:hint="eastAsia" w:ascii="仿宋_GB2312" w:eastAsia="仿宋_GB2312" w:cs="仿宋_GB2312"/>
          <w:b/>
          <w:bCs/>
          <w:sz w:val="32"/>
          <w:szCs w:val="32"/>
        </w:rPr>
        <w:t>自然资源海洋气象等支出（类）自然资源事务（款）事业运行（项）</w:t>
      </w:r>
      <w:r>
        <w:rPr>
          <w:rFonts w:ascii="仿宋_GB2312" w:eastAsia="仿宋_GB2312" w:cs="仿宋_GB2312"/>
          <w:b/>
          <w:bCs/>
          <w:sz w:val="32"/>
          <w:szCs w:val="32"/>
        </w:rPr>
        <w:t>:</w:t>
      </w:r>
      <w:r>
        <w:rPr>
          <w:rFonts w:hint="eastAsia" w:ascii="仿宋" w:eastAsia="仿宋" w:cs="仿宋"/>
          <w:sz w:val="32"/>
          <w:szCs w:val="32"/>
        </w:rPr>
        <w:t>支出决算为246.16万元，完成预算</w:t>
      </w:r>
      <w:r>
        <w:rPr>
          <w:rFonts w:ascii="仿宋" w:eastAsia="仿宋" w:cs="仿宋"/>
          <w:sz w:val="32"/>
          <w:szCs w:val="32"/>
        </w:rPr>
        <w:t>100%</w:t>
      </w:r>
      <w:r>
        <w:rPr>
          <w:rFonts w:hint="eastAsia" w:ascii="仿宋" w:eastAsia="仿宋" w:cs="仿宋"/>
          <w:sz w:val="32"/>
          <w:szCs w:val="32"/>
        </w:rPr>
        <w:t>，决算数等于预算数。</w:t>
      </w:r>
      <w:r>
        <w:t xml:space="preserve"> </w:t>
      </w:r>
    </w:p>
    <w:p w14:paraId="0BFC16C9">
      <w:pPr>
        <w:spacing w:line="600" w:lineRule="exact"/>
        <w:ind w:firstLine="643" w:firstLineChars="200"/>
        <w:outlineLvl w:val="2"/>
        <w:rPr>
          <w:rFonts w:hint="eastAsia" w:ascii="仿宋" w:hAnsi="仿宋" w:eastAsia="仿宋"/>
          <w:sz w:val="32"/>
          <w:szCs w:val="32"/>
        </w:rPr>
      </w:pPr>
      <w:r>
        <w:rPr>
          <w:rFonts w:hint="eastAsia" w:ascii="仿宋_GB2312" w:eastAsia="仿宋_GB2312" w:cs="仿宋_GB2312"/>
          <w:b/>
          <w:bCs/>
          <w:sz w:val="32"/>
          <w:szCs w:val="32"/>
        </w:rPr>
        <w:t>8</w:t>
      </w:r>
      <w:r>
        <w:rPr>
          <w:rFonts w:ascii="仿宋_GB2312" w:eastAsia="仿宋_GB2312" w:cs="仿宋_GB2312"/>
          <w:b/>
          <w:bCs/>
          <w:sz w:val="32"/>
          <w:szCs w:val="32"/>
        </w:rPr>
        <w:t>.</w:t>
      </w:r>
      <w:r>
        <w:t xml:space="preserve"> </w:t>
      </w:r>
      <w:r>
        <w:rPr>
          <w:rFonts w:hint="eastAsia" w:ascii="仿宋_GB2312" w:eastAsia="仿宋_GB2312" w:cs="仿宋_GB2312"/>
          <w:b/>
          <w:bCs/>
          <w:sz w:val="32"/>
          <w:szCs w:val="32"/>
        </w:rPr>
        <w:t>自然资源海洋气象等支出（类）自然资源事务（款）其他自然资源事务支出（项）</w:t>
      </w:r>
      <w:r>
        <w:rPr>
          <w:rFonts w:ascii="仿宋_GB2312" w:eastAsia="仿宋_GB2312" w:cs="仿宋_GB2312"/>
          <w:b/>
          <w:bCs/>
          <w:sz w:val="32"/>
          <w:szCs w:val="32"/>
        </w:rPr>
        <w:t>:</w:t>
      </w:r>
      <w:r>
        <w:rPr>
          <w:rFonts w:hint="eastAsia" w:ascii="仿宋" w:eastAsia="仿宋" w:cs="仿宋"/>
          <w:sz w:val="32"/>
          <w:szCs w:val="32"/>
        </w:rPr>
        <w:t>支出决算为49.94万元，完成预算</w:t>
      </w:r>
      <w:r>
        <w:rPr>
          <w:rFonts w:ascii="仿宋" w:eastAsia="仿宋" w:cs="仿宋"/>
          <w:sz w:val="32"/>
          <w:szCs w:val="32"/>
        </w:rPr>
        <w:t>100%</w:t>
      </w:r>
      <w:r>
        <w:rPr>
          <w:rFonts w:hint="eastAsia" w:ascii="仿宋" w:eastAsia="仿宋" w:cs="仿宋"/>
          <w:sz w:val="32"/>
          <w:szCs w:val="32"/>
        </w:rPr>
        <w:t>，决算数等于预算数。</w:t>
      </w:r>
    </w:p>
    <w:p w14:paraId="6102DF2E">
      <w:pPr>
        <w:spacing w:line="600" w:lineRule="exact"/>
        <w:ind w:firstLine="643" w:firstLineChars="200"/>
        <w:outlineLvl w:val="2"/>
        <w:rPr>
          <w:rFonts w:hint="eastAsia" w:ascii="仿宋" w:hAnsi="仿宋" w:eastAsia="仿宋"/>
          <w:sz w:val="32"/>
          <w:szCs w:val="32"/>
        </w:rPr>
      </w:pPr>
      <w:r>
        <w:rPr>
          <w:rFonts w:hint="eastAsia" w:ascii="仿宋_GB2312" w:eastAsia="仿宋_GB2312" w:cs="仿宋_GB2312"/>
          <w:b/>
          <w:bCs/>
          <w:sz w:val="32"/>
          <w:szCs w:val="32"/>
        </w:rPr>
        <w:t>9</w:t>
      </w:r>
      <w:r>
        <w:rPr>
          <w:rFonts w:ascii="仿宋_GB2312" w:eastAsia="仿宋_GB2312" w:cs="仿宋_GB2312"/>
          <w:b/>
          <w:bCs/>
          <w:sz w:val="32"/>
          <w:szCs w:val="32"/>
        </w:rPr>
        <w:t>.</w:t>
      </w:r>
      <w:r>
        <w:rPr>
          <w:rFonts w:hint="eastAsia" w:ascii="仿宋_GB2312" w:eastAsia="仿宋_GB2312" w:cs="仿宋_GB2312"/>
          <w:b/>
          <w:bCs/>
          <w:sz w:val="32"/>
          <w:szCs w:val="32"/>
        </w:rPr>
        <w:t>住房保障支出（类）住房改革支出（款）住房公积金（项）</w:t>
      </w:r>
      <w:r>
        <w:rPr>
          <w:rFonts w:ascii="仿宋_GB2312" w:eastAsia="仿宋_GB2312" w:cs="仿宋_GB2312"/>
          <w:b/>
          <w:bCs/>
          <w:sz w:val="32"/>
          <w:szCs w:val="32"/>
        </w:rPr>
        <w:t>:</w:t>
      </w:r>
      <w:r>
        <w:rPr>
          <w:rFonts w:hint="eastAsia" w:ascii="仿宋" w:eastAsia="仿宋" w:cs="仿宋"/>
          <w:sz w:val="32"/>
          <w:szCs w:val="32"/>
        </w:rPr>
        <w:t>支出决算为22.14万元，完成预算</w:t>
      </w:r>
      <w:r>
        <w:rPr>
          <w:rFonts w:ascii="仿宋" w:eastAsia="仿宋" w:cs="仿宋"/>
          <w:sz w:val="32"/>
          <w:szCs w:val="32"/>
        </w:rPr>
        <w:t>100%</w:t>
      </w:r>
      <w:r>
        <w:rPr>
          <w:rFonts w:hint="eastAsia" w:ascii="仿宋" w:eastAsia="仿宋" w:cs="仿宋"/>
          <w:sz w:val="32"/>
          <w:szCs w:val="32"/>
        </w:rPr>
        <w:t>，决算数等于预算数。</w:t>
      </w:r>
    </w:p>
    <w:p w14:paraId="4638D076">
      <w:pPr>
        <w:tabs>
          <w:tab w:val="right" w:pos="8306"/>
        </w:tabs>
        <w:spacing w:line="600" w:lineRule="exact"/>
        <w:ind w:firstLine="640" w:firstLineChars="200"/>
        <w:outlineLvl w:val="1"/>
        <w:rPr>
          <w:rStyle w:val="29"/>
        </w:rPr>
      </w:pPr>
      <w:bookmarkStart w:id="34" w:name="_Toc15396608"/>
      <w:bookmarkStart w:id="35" w:name="_Toc15377214"/>
      <w:r>
        <w:rPr>
          <w:rFonts w:hint="eastAsia" w:eastAsia="黑体"/>
          <w:sz w:val="32"/>
          <w:szCs w:val="32"/>
        </w:rPr>
        <w:t>六</w:t>
      </w:r>
      <w:r>
        <w:rPr>
          <w:rFonts w:hint="eastAsia" w:eastAsia="黑体"/>
          <w:b/>
          <w:sz w:val="32"/>
          <w:szCs w:val="32"/>
        </w:rPr>
        <w:t>、一</w:t>
      </w:r>
      <w:r>
        <w:rPr>
          <w:rStyle w:val="29"/>
          <w:rFonts w:hint="eastAsia" w:eastAsia="黑体"/>
        </w:rPr>
        <w:t>般公共预算财政拨款基本支出决算情况说明</w:t>
      </w:r>
      <w:bookmarkEnd w:id="34"/>
      <w:bookmarkEnd w:id="35"/>
      <w:r>
        <w:rPr>
          <w:rStyle w:val="29"/>
          <w:rFonts w:eastAsia="黑体"/>
        </w:rPr>
        <w:tab/>
      </w:r>
    </w:p>
    <w:p w14:paraId="0CA21629">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324.82万</w:t>
      </w:r>
      <w:r>
        <w:rPr>
          <w:rFonts w:hint="eastAsia" w:eastAsia="仿宋_GB2312" w:cs="仿宋_GB2312"/>
          <w:sz w:val="32"/>
          <w:szCs w:val="32"/>
        </w:rPr>
        <w:t>元，其中：</w:t>
      </w:r>
    </w:p>
    <w:p w14:paraId="4138EDD3">
      <w:pPr>
        <w:spacing w:line="600" w:lineRule="exact"/>
        <w:ind w:firstLine="640"/>
        <w:rPr>
          <w:rFonts w:eastAsia="仿宋_GB2312" w:cs="仿宋_GB2312"/>
          <w:b/>
          <w:bCs/>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305.06万</w:t>
      </w:r>
      <w:r>
        <w:rPr>
          <w:rFonts w:hint="eastAsia" w:eastAsia="仿宋_GB2312" w:cs="仿宋_GB2312"/>
          <w:sz w:val="32"/>
          <w:szCs w:val="32"/>
        </w:rPr>
        <w:t>元，主要包括：基本工资、津贴补贴、绩效工资、机关事业单位基本养老保险缴费、职工基本医疗保险缴费、公务员医疗补助缴费、其他社会保障缴费、住房公积金、其他工资福利支出、生活补助、医疗费补助、奖励金。</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19.75万</w:t>
      </w:r>
      <w:r>
        <w:rPr>
          <w:rFonts w:hint="eastAsia" w:eastAsia="仿宋_GB2312" w:cs="仿宋_GB2312"/>
          <w:sz w:val="32"/>
          <w:szCs w:val="32"/>
        </w:rPr>
        <w:t>元，主要包括：办公费、电费、邮电费、差旅费、维修（护）费、租赁费、会议费、公务接待费、劳务费、委托业务费、工会经费、福利费、公务用车运行维护费、其他交通费、其他商品和服务支出、资本性支出、办公设备购置。</w:t>
      </w:r>
    </w:p>
    <w:p w14:paraId="400883B4">
      <w:pPr>
        <w:spacing w:line="600" w:lineRule="exact"/>
        <w:ind w:firstLine="640"/>
        <w:rPr>
          <w:rFonts w:eastAsia="仿宋_GB2312" w:cs="仿宋_GB2312"/>
          <w:sz w:val="32"/>
          <w:szCs w:val="32"/>
        </w:rPr>
      </w:pPr>
    </w:p>
    <w:p w14:paraId="21B1783E">
      <w:pPr>
        <w:spacing w:line="600" w:lineRule="exact"/>
        <w:ind w:firstLine="640"/>
        <w:outlineLvl w:val="1"/>
        <w:rPr>
          <w:rStyle w:val="29"/>
          <w:rFonts w:eastAsia="黑体"/>
          <w:b w:val="0"/>
        </w:rPr>
      </w:pPr>
      <w:bookmarkStart w:id="36" w:name="_Toc15396609"/>
      <w:bookmarkStart w:id="37" w:name="_Toc15377215"/>
      <w:r>
        <w:rPr>
          <w:rFonts w:hint="eastAsia" w:eastAsia="黑体"/>
          <w:sz w:val="32"/>
          <w:szCs w:val="32"/>
        </w:rPr>
        <w:t>七、</w:t>
      </w:r>
      <w:r>
        <w:rPr>
          <w:rStyle w:val="29"/>
          <w:rFonts w:hint="eastAsia" w:eastAsia="黑体"/>
        </w:rPr>
        <w:t>财政拨款“三公”经费支出决算情况说明</w:t>
      </w:r>
      <w:bookmarkEnd w:id="36"/>
      <w:bookmarkEnd w:id="37"/>
    </w:p>
    <w:p w14:paraId="305EB2EC">
      <w:pPr>
        <w:spacing w:line="600" w:lineRule="exact"/>
        <w:ind w:firstLine="643" w:firstLineChars="200"/>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14:paraId="3C02DDC1">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0.88万元，完成预算100%，</w:t>
      </w:r>
      <w:r>
        <w:rPr>
          <w:rFonts w:hint="eastAsia" w:eastAsia="仿宋_GB2312" w:cs="仿宋_GB2312"/>
          <w:sz w:val="32"/>
          <w:szCs w:val="32"/>
        </w:rPr>
        <w:t>较上年度减少0.28万元，下降24.2%。决算数与预算数持平的主要原因是</w:t>
      </w:r>
      <w:r>
        <w:rPr>
          <w:rFonts w:ascii="仿宋" w:hAnsi="仿宋" w:eastAsia="仿宋"/>
          <w:sz w:val="32"/>
          <w:szCs w:val="32"/>
        </w:rPr>
        <w:t>本年度</w:t>
      </w:r>
      <w:r>
        <w:rPr>
          <w:rFonts w:hint="eastAsia" w:ascii="仿宋" w:hAnsi="仿宋" w:eastAsia="仿宋"/>
          <w:sz w:val="32"/>
          <w:szCs w:val="32"/>
        </w:rPr>
        <w:t>严格压减三公经费支出。</w:t>
      </w:r>
    </w:p>
    <w:p w14:paraId="5501FCAB">
      <w:pPr>
        <w:spacing w:line="600" w:lineRule="exact"/>
        <w:ind w:firstLine="643" w:firstLineChars="200"/>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14:paraId="484717DE">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2024年度“三公”经费财政拨款支出决算中，因公出国（境）费支出决算0万元，占0%；公务用车购置及运行维护费支出决算0.88万元，占100%；公务接待费支出决算0万元，占0%。具体情况如下：</w:t>
      </w:r>
    </w:p>
    <w:p w14:paraId="6A6B8121">
      <w:pPr>
        <w:pStyle w:val="12"/>
        <w:ind w:left="420"/>
        <w:jc w:val="center"/>
        <w:rPr>
          <w:color w:val="00B0F0"/>
        </w:rPr>
      </w:pPr>
      <w:r>
        <w:rPr>
          <w:color w:val="00B0F0"/>
        </w:rPr>
        <w:drawing>
          <wp:inline distT="0" distB="0" distL="114300" distR="114300">
            <wp:extent cx="4508500" cy="2426335"/>
            <wp:effectExtent l="4445" t="4445" r="20955" b="7620"/>
            <wp:docPr id="156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45B4E4">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（图7：“三公”经费财政拨款支出结构）</w:t>
      </w:r>
      <w:r>
        <w:rPr>
          <w:rFonts w:hint="eastAsia" w:eastAsia="仿宋_GB2312" w:cs="仿宋_GB2312"/>
          <w:sz w:val="32"/>
          <w:szCs w:val="32"/>
          <w:lang w:val="en-US" w:eastAsia="zh-CN"/>
        </w:rPr>
        <w:t xml:space="preserve"> </w:t>
      </w:r>
      <w:bookmarkStart w:id="66" w:name="_GoBack"/>
      <w:bookmarkEnd w:id="66"/>
    </w:p>
    <w:p w14:paraId="423969DE">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。因公出国（境）支出决算比2023年增加/减少0万元，增长/下降0%。</w:t>
      </w:r>
    </w:p>
    <w:p w14:paraId="2F9F37BA">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0.88万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公务用车购置及运行维护费支出决算比2023年度减少0.28万元，下降24.2%。主要原因压减“三公”经费。</w:t>
      </w:r>
    </w:p>
    <w:p w14:paraId="0A299864">
      <w:pPr>
        <w:spacing w:line="600" w:lineRule="exact"/>
        <w:ind w:firstLine="640"/>
        <w:rPr>
          <w:rFonts w:eastAsia="仿宋_GB2312" w:cs="仿宋_GB2312"/>
          <w:color w:val="auto"/>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万元。全年按规定更新购置公务用车0辆，其中：轿车0辆、金额0万元，越野车0辆、金额0万元，载客汽车0辆、金额0万元。截至2024年12月31日，单位共有公务用车1辆，其中：</w:t>
      </w:r>
      <w:r>
        <w:rPr>
          <w:rFonts w:hint="eastAsia" w:eastAsia="仿宋_GB2312" w:cs="仿宋_GB2312"/>
          <w:color w:val="auto"/>
          <w:sz w:val="32"/>
          <w:szCs w:val="32"/>
        </w:rPr>
        <w:t>轿车1辆、越野车</w:t>
      </w:r>
      <w:r>
        <w:rPr>
          <w:rFonts w:hint="eastAsia" w:eastAsia="仿宋_GB2312" w:cs="仿宋_GB2312"/>
          <w:color w:val="auto"/>
          <w:sz w:val="32"/>
          <w:szCs w:val="32"/>
          <w:lang w:val="en-US" w:eastAsia="zh-CN"/>
        </w:rPr>
        <w:t>0</w:t>
      </w:r>
      <w:r>
        <w:rPr>
          <w:rFonts w:hint="eastAsia" w:eastAsia="仿宋_GB2312" w:cs="仿宋_GB2312"/>
          <w:color w:val="auto"/>
          <w:sz w:val="32"/>
          <w:szCs w:val="32"/>
        </w:rPr>
        <w:t>辆、载客汽车0辆。</w:t>
      </w:r>
    </w:p>
    <w:p w14:paraId="78C7E22E">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出0.88</w:t>
      </w:r>
      <w:r>
        <w:rPr>
          <w:rFonts w:hint="eastAsia" w:eastAsia="仿宋_GB2312" w:cs="仿宋_GB2312"/>
          <w:sz w:val="32"/>
          <w:szCs w:val="32"/>
        </w:rPr>
        <w:t>万元。主要用于开展国土空间规划公务工作增加等所需的公务用车燃料费、维修费、过路过桥费、保险费等支出。</w:t>
      </w:r>
    </w:p>
    <w:p w14:paraId="273D0536">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元，完成预算0.00%。</w:t>
      </w:r>
      <w:r>
        <w:rPr>
          <w:rFonts w:hint="eastAsia" w:eastAsia="仿宋_GB2312" w:cs="仿宋_GB2312"/>
          <w:sz w:val="32"/>
          <w:szCs w:val="32"/>
        </w:rPr>
        <w:t>公务接待费支出决算比2023年度减少0万元，增长/下降0%。主要原因为我中心本年度及上年度均</w:t>
      </w:r>
      <w:r>
        <w:rPr>
          <w:rFonts w:eastAsia="仿宋_GB2312" w:cs="仿宋_GB2312"/>
          <w:sz w:val="32"/>
          <w:szCs w:val="32"/>
        </w:rPr>
        <w:t>无公务接待事项支出</w:t>
      </w:r>
      <w:r>
        <w:rPr>
          <w:rFonts w:hint="eastAsia" w:eastAsia="仿宋_GB2312" w:cs="仿宋_GB2312"/>
          <w:sz w:val="32"/>
          <w:szCs w:val="32"/>
        </w:rPr>
        <w:t>。</w:t>
      </w:r>
    </w:p>
    <w:p w14:paraId="6AFD9DE4">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元。国内公务接</w:t>
      </w:r>
      <w:r>
        <w:rPr>
          <w:rFonts w:hint="eastAsia" w:ascii="仿宋_GB2312" w:hAnsi="仿宋_GB2312" w:eastAsia="仿宋_GB2312" w:cs="仿宋_GB2312"/>
          <w:sz w:val="32"/>
          <w:szCs w:val="32"/>
        </w:rPr>
        <w:t>待0批次，0</w:t>
      </w:r>
      <w:r>
        <w:rPr>
          <w:rFonts w:hint="eastAsia" w:eastAsia="仿宋_GB2312" w:cs="仿宋_GB2312"/>
          <w:sz w:val="32"/>
          <w:szCs w:val="32"/>
        </w:rPr>
        <w:t>人次（不包括陪同人员），共计支出0万元。</w:t>
      </w:r>
    </w:p>
    <w:p w14:paraId="1E9F134A">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14:paraId="57B3C13E">
      <w:pPr>
        <w:spacing w:line="600" w:lineRule="exact"/>
        <w:ind w:firstLine="640"/>
        <w:outlineLvl w:val="1"/>
        <w:rPr>
          <w:rStyle w:val="29"/>
          <w:rFonts w:eastAsia="黑体"/>
        </w:rPr>
      </w:pPr>
      <w:bookmarkStart w:id="40" w:name="_Toc15396610"/>
      <w:bookmarkStart w:id="41" w:name="_Toc15377218"/>
      <w:r>
        <w:rPr>
          <w:rFonts w:hint="eastAsia" w:eastAsia="黑体"/>
          <w:sz w:val="32"/>
          <w:szCs w:val="32"/>
        </w:rPr>
        <w:t>八、</w:t>
      </w:r>
      <w:r>
        <w:rPr>
          <w:rStyle w:val="29"/>
          <w:rFonts w:hint="eastAsia" w:eastAsia="黑体"/>
        </w:rPr>
        <w:t>政府性基金预算支出决算情况说明</w:t>
      </w:r>
      <w:bookmarkEnd w:id="40"/>
      <w:bookmarkEnd w:id="41"/>
    </w:p>
    <w:p w14:paraId="26094CAE">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2024年度政府性基金预算财政拨款支出0万元，占本年支出合计的0%</w:t>
      </w:r>
      <w:r>
        <w:rPr>
          <w:rFonts w:hint="eastAsia" w:eastAsia="仿宋_GB2312" w:cs="仿宋_GB2312"/>
          <w:sz w:val="32"/>
          <w:szCs w:val="32"/>
        </w:rPr>
        <w:t>。与2023年度相比，政府性基金预算财政拨款支出增加/减少0万元，增长/下降0%。主要原因为我单中心无政府性基金预算财政拨款。</w:t>
      </w:r>
    </w:p>
    <w:p w14:paraId="4DCF6AEE">
      <w:pPr>
        <w:spacing w:line="600" w:lineRule="exact"/>
        <w:ind w:left="630"/>
        <w:outlineLvl w:val="1"/>
        <w:rPr>
          <w:rStyle w:val="29"/>
          <w:rFonts w:eastAsia="黑体"/>
          <w:b w:val="0"/>
        </w:rPr>
      </w:pPr>
      <w:bookmarkStart w:id="42" w:name="_Toc15396611"/>
      <w:bookmarkStart w:id="43" w:name="_Toc15377219"/>
      <w:r>
        <w:rPr>
          <w:rStyle w:val="29"/>
          <w:rFonts w:hint="eastAsia" w:eastAsia="黑体"/>
        </w:rPr>
        <w:t>九、国有资本经营预算支出决算情况说明</w:t>
      </w:r>
      <w:bookmarkEnd w:id="42"/>
      <w:bookmarkEnd w:id="43"/>
    </w:p>
    <w:p w14:paraId="2945FD63">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。与2023年度相比，国有资本经营预算财政拨款支出增加/减少0万元，增长/下降0%。</w:t>
      </w:r>
    </w:p>
    <w:p w14:paraId="7D167908">
      <w:pPr>
        <w:spacing w:line="600" w:lineRule="exact"/>
        <w:ind w:left="630"/>
        <w:outlineLvl w:val="1"/>
        <w:rPr>
          <w:rStyle w:val="29"/>
          <w:rFonts w:eastAsia="黑体"/>
          <w:b w:val="0"/>
        </w:rPr>
      </w:pPr>
      <w:bookmarkStart w:id="44" w:name="_Toc15377221"/>
      <w:bookmarkStart w:id="45" w:name="_Toc15396612"/>
      <w:r>
        <w:rPr>
          <w:rStyle w:val="29"/>
          <w:rFonts w:hint="eastAsia" w:eastAsia="黑体"/>
        </w:rPr>
        <w:t>十、其他重要事项的情况说明</w:t>
      </w:r>
      <w:bookmarkEnd w:id="44"/>
      <w:bookmarkEnd w:id="45"/>
    </w:p>
    <w:p w14:paraId="622E1F57">
      <w:pPr>
        <w:spacing w:line="600" w:lineRule="exact"/>
        <w:ind w:firstLine="643"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14:paraId="1E753B21">
      <w:pPr>
        <w:spacing w:line="600" w:lineRule="exact"/>
        <w:ind w:firstLine="640"/>
        <w:rPr>
          <w:rFonts w:eastAsia="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，攀枝花市国土空间规划编制研究中心机关运行经费支出0万</w:t>
      </w:r>
      <w:r>
        <w:rPr>
          <w:rFonts w:hint="eastAsia" w:eastAsia="仿宋_GB2312" w:cs="仿宋_GB2312"/>
          <w:sz w:val="32"/>
          <w:szCs w:val="32"/>
        </w:rPr>
        <w:t>元，</w:t>
      </w:r>
      <w:bookmarkStart w:id="47" w:name="_Toc15377223"/>
      <w:r>
        <w:rPr>
          <w:rFonts w:eastAsia="仿宋_GB2312"/>
          <w:sz w:val="32"/>
          <w:szCs w:val="32"/>
        </w:rPr>
        <w:t>与202</w:t>
      </w:r>
      <w:r>
        <w:rPr>
          <w:rFonts w:hint="eastAsia" w:eastAsia="仿宋_GB2312"/>
          <w:sz w:val="32"/>
          <w:szCs w:val="32"/>
        </w:rPr>
        <w:t>3</w:t>
      </w:r>
      <w:r>
        <w:rPr>
          <w:rFonts w:eastAsia="仿宋_GB2312"/>
          <w:sz w:val="32"/>
          <w:szCs w:val="32"/>
        </w:rPr>
        <w:t>年度决算数持平</w:t>
      </w:r>
      <w:r>
        <w:rPr>
          <w:rFonts w:hint="eastAsia" w:eastAsia="仿宋_GB2312"/>
          <w:sz w:val="32"/>
          <w:szCs w:val="32"/>
        </w:rPr>
        <w:t>。</w:t>
      </w:r>
    </w:p>
    <w:p w14:paraId="126A1165">
      <w:pPr>
        <w:spacing w:line="600" w:lineRule="exact"/>
        <w:ind w:firstLine="640"/>
        <w:rPr>
          <w:rFonts w:eastAsia="楷体_GB2312" w:cs="楷体_GB2312"/>
          <w:b/>
          <w:sz w:val="32"/>
          <w:szCs w:val="32"/>
        </w:rPr>
      </w:pPr>
      <w:r>
        <w:rPr>
          <w:rFonts w:hint="eastAsia" w:eastAsia="楷体_GB2312" w:cs="楷体_GB2312"/>
          <w:b/>
          <w:sz w:val="32"/>
          <w:szCs w:val="32"/>
        </w:rPr>
        <w:t>（二）政府采购支出情况</w:t>
      </w:r>
      <w:bookmarkEnd w:id="47"/>
    </w:p>
    <w:p w14:paraId="0A2A1035">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攀枝花市国土空间规划编制研究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0ABC83CB">
      <w:pPr>
        <w:spacing w:line="600" w:lineRule="exact"/>
        <w:ind w:firstLine="643"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14:paraId="7D18C19C">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截至2024年12月31日，攀枝花市国土空间规划编制研究中心共有车辆1辆，</w:t>
      </w:r>
      <w:r>
        <w:rPr>
          <w:rFonts w:eastAsia="仿宋_GB2312"/>
          <w:sz w:val="32"/>
          <w:szCs w:val="32"/>
        </w:rPr>
        <w:t>其中：主要领导干部用车0辆、机要通信用车0辆、应急保障用车0辆、其他用车1辆，其他用车主要是用于开展国土空间总体规划和乡村国土空间规划的编制工作。</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14:paraId="39C866B9">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58199428">
      <w:pPr>
        <w:spacing w:line="600" w:lineRule="exact"/>
        <w:ind w:firstLine="640" w:firstLineChars="200"/>
        <w:rPr>
          <w:rFonts w:eastAsia="仿宋_GB2312"/>
          <w:sz w:val="32"/>
          <w:szCs w:val="32"/>
        </w:rPr>
      </w:pPr>
      <w:r>
        <w:rPr>
          <w:rFonts w:eastAsia="仿宋_GB2312"/>
          <w:sz w:val="32"/>
          <w:szCs w:val="32"/>
        </w:rPr>
        <w:t>根据预算绩效管理要求，本单位在202</w:t>
      </w:r>
      <w:r>
        <w:rPr>
          <w:rFonts w:hint="eastAsia" w:eastAsia="仿宋_GB2312"/>
          <w:sz w:val="32"/>
          <w:szCs w:val="32"/>
        </w:rPr>
        <w:t>4</w:t>
      </w:r>
      <w:r>
        <w:rPr>
          <w:rFonts w:eastAsia="仿宋_GB2312"/>
          <w:sz w:val="32"/>
          <w:szCs w:val="32"/>
        </w:rPr>
        <w:t>年度预算编制阶段，组织对</w:t>
      </w:r>
      <w:r>
        <w:rPr>
          <w:rFonts w:hint="eastAsia" w:eastAsia="仿宋_GB2312"/>
          <w:sz w:val="32"/>
          <w:szCs w:val="32"/>
        </w:rPr>
        <w:t>劳务派遣服务</w:t>
      </w:r>
      <w:r>
        <w:rPr>
          <w:rFonts w:eastAsia="仿宋_GB2312"/>
          <w:sz w:val="32"/>
          <w:szCs w:val="32"/>
        </w:rPr>
        <w:t>、</w:t>
      </w:r>
      <w:r>
        <w:rPr>
          <w:rFonts w:hint="eastAsia" w:eastAsia="仿宋_GB2312"/>
          <w:sz w:val="32"/>
          <w:szCs w:val="32"/>
        </w:rPr>
        <w:t>城市及规划设计、非税生产成本3</w:t>
      </w:r>
      <w:r>
        <w:rPr>
          <w:rFonts w:eastAsia="仿宋_GB2312"/>
          <w:sz w:val="32"/>
          <w:szCs w:val="32"/>
        </w:rPr>
        <w:t>个项目开展了预算事前绩效评估，对</w:t>
      </w:r>
      <w:r>
        <w:rPr>
          <w:rFonts w:hint="eastAsia" w:eastAsia="仿宋_GB2312"/>
          <w:sz w:val="32"/>
          <w:szCs w:val="32"/>
        </w:rPr>
        <w:t>3</w:t>
      </w:r>
      <w:r>
        <w:rPr>
          <w:rFonts w:eastAsia="仿宋_GB2312"/>
          <w:sz w:val="32"/>
          <w:szCs w:val="32"/>
        </w:rPr>
        <w:t>个项目编制了绩效目标，预算执行过程中，选取</w:t>
      </w:r>
      <w:r>
        <w:rPr>
          <w:rFonts w:hint="eastAsia" w:eastAsia="仿宋_GB2312"/>
          <w:sz w:val="32"/>
          <w:szCs w:val="32"/>
        </w:rPr>
        <w:t>3</w:t>
      </w:r>
      <w:r>
        <w:rPr>
          <w:rFonts w:eastAsia="仿宋_GB2312"/>
          <w:sz w:val="32"/>
          <w:szCs w:val="32"/>
        </w:rPr>
        <w:t>个项目开展绩效监控，组织对</w:t>
      </w:r>
      <w:r>
        <w:rPr>
          <w:rFonts w:hint="eastAsia" w:eastAsia="仿宋_GB2312"/>
          <w:sz w:val="32"/>
          <w:szCs w:val="32"/>
        </w:rPr>
        <w:t>3</w:t>
      </w:r>
      <w:r>
        <w:rPr>
          <w:rFonts w:eastAsia="仿宋_GB2312"/>
          <w:sz w:val="32"/>
          <w:szCs w:val="32"/>
        </w:rPr>
        <w:t>个项目开展绩效自评，绩效自评表详见第四部分附件。</w:t>
      </w:r>
    </w:p>
    <w:p w14:paraId="6855B146">
      <w:pPr>
        <w:spacing w:line="600" w:lineRule="exact"/>
        <w:ind w:firstLine="640"/>
        <w:rPr>
          <w:rFonts w:eastAsia="仿宋_GB2312" w:cs="仿宋_GB2312"/>
          <w:sz w:val="32"/>
          <w:szCs w:val="32"/>
        </w:rPr>
      </w:pPr>
    </w:p>
    <w:p w14:paraId="3A7EB61A">
      <w:pPr>
        <w:spacing w:line="600" w:lineRule="exact"/>
        <w:ind w:firstLine="640"/>
        <w:rPr>
          <w:rFonts w:eastAsia="仿宋_GB2312" w:cs="仿宋_GB2312"/>
          <w:sz w:val="32"/>
          <w:szCs w:val="32"/>
        </w:rPr>
      </w:pPr>
    </w:p>
    <w:p w14:paraId="2A1CDDF6">
      <w:pPr>
        <w:spacing w:line="600" w:lineRule="exact"/>
        <w:jc w:val="center"/>
        <w:outlineLvl w:val="0"/>
        <w:rPr>
          <w:rFonts w:eastAsia="黑体"/>
          <w:sz w:val="44"/>
          <w:szCs w:val="44"/>
        </w:rPr>
      </w:pPr>
      <w:bookmarkStart w:id="49" w:name="_Toc15396613"/>
      <w:bookmarkStart w:id="50" w:name="_Toc15377225"/>
    </w:p>
    <w:p w14:paraId="307BEA07">
      <w:pPr>
        <w:spacing w:line="600" w:lineRule="exact"/>
        <w:jc w:val="center"/>
        <w:outlineLvl w:val="0"/>
        <w:rPr>
          <w:rFonts w:eastAsia="黑体"/>
          <w:sz w:val="44"/>
          <w:szCs w:val="44"/>
        </w:rPr>
      </w:pPr>
    </w:p>
    <w:p w14:paraId="1CCDE935">
      <w:pPr>
        <w:spacing w:line="600" w:lineRule="exact"/>
        <w:jc w:val="center"/>
        <w:outlineLvl w:val="0"/>
        <w:rPr>
          <w:rFonts w:eastAsia="黑体"/>
          <w:sz w:val="44"/>
          <w:szCs w:val="44"/>
        </w:rPr>
      </w:pPr>
    </w:p>
    <w:p w14:paraId="227867DA">
      <w:pPr>
        <w:spacing w:line="600" w:lineRule="exact"/>
        <w:jc w:val="center"/>
        <w:outlineLvl w:val="0"/>
        <w:rPr>
          <w:rFonts w:eastAsia="黑体"/>
          <w:sz w:val="44"/>
          <w:szCs w:val="44"/>
        </w:rPr>
      </w:pPr>
    </w:p>
    <w:p w14:paraId="0034E89F">
      <w:pPr>
        <w:spacing w:line="600" w:lineRule="exact"/>
        <w:jc w:val="center"/>
        <w:outlineLvl w:val="0"/>
        <w:rPr>
          <w:rFonts w:eastAsia="黑体"/>
          <w:sz w:val="44"/>
          <w:szCs w:val="44"/>
        </w:rPr>
      </w:pPr>
    </w:p>
    <w:p w14:paraId="08CCC7C0">
      <w:pPr>
        <w:pStyle w:val="19"/>
      </w:pPr>
    </w:p>
    <w:p w14:paraId="3317B5C4"/>
    <w:p w14:paraId="2FA4FE15">
      <w:pPr>
        <w:pStyle w:val="19"/>
      </w:pPr>
    </w:p>
    <w:p w14:paraId="67B426B5"/>
    <w:p w14:paraId="053DE35C">
      <w:pPr>
        <w:pStyle w:val="19"/>
      </w:pPr>
    </w:p>
    <w:p w14:paraId="7E19BDAD"/>
    <w:p w14:paraId="2BFF3E10">
      <w:pPr>
        <w:pStyle w:val="2"/>
      </w:pPr>
    </w:p>
    <w:p w14:paraId="3247E3F0"/>
    <w:p w14:paraId="0B004BC7">
      <w:pPr>
        <w:pStyle w:val="19"/>
      </w:pPr>
    </w:p>
    <w:p w14:paraId="2567BFC0"/>
    <w:p w14:paraId="1833F3E8">
      <w:pPr>
        <w:spacing w:line="600" w:lineRule="exact"/>
        <w:jc w:val="center"/>
        <w:outlineLvl w:val="0"/>
        <w:rPr>
          <w:rFonts w:eastAsia="黑体"/>
          <w:sz w:val="44"/>
          <w:szCs w:val="44"/>
        </w:rPr>
      </w:pPr>
      <w:r>
        <w:rPr>
          <w:rFonts w:hint="eastAsia" w:eastAsia="黑体"/>
          <w:sz w:val="44"/>
          <w:szCs w:val="44"/>
        </w:rPr>
        <w:t>第三部分  名词解释</w:t>
      </w:r>
      <w:bookmarkEnd w:id="49"/>
      <w:bookmarkEnd w:id="50"/>
    </w:p>
    <w:p w14:paraId="1C20C5E1">
      <w:pPr>
        <w:spacing w:line="600" w:lineRule="exact"/>
        <w:jc w:val="left"/>
        <w:rPr>
          <w:b/>
          <w:sz w:val="44"/>
          <w:szCs w:val="44"/>
        </w:rPr>
      </w:pPr>
    </w:p>
    <w:p w14:paraId="3053FDDD">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213ED8CF">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14:paraId="031048A8">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14:paraId="22C00523">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14:paraId="3B91DAB9">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14:paraId="6580AEDE">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14:paraId="14C15551">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57F2AFA9">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14:paraId="1449B8D2">
      <w:pPr>
        <w:spacing w:line="580" w:lineRule="exact"/>
        <w:ind w:firstLine="640" w:firstLineChars="200"/>
        <w:rPr>
          <w:rFonts w:eastAsia="仿宋_GB2312"/>
          <w:kern w:val="0"/>
          <w:sz w:val="32"/>
          <w:szCs w:val="32"/>
        </w:rPr>
      </w:pPr>
      <w:r>
        <w:rPr>
          <w:rFonts w:eastAsia="仿宋_GB2312"/>
          <w:kern w:val="0"/>
          <w:sz w:val="32"/>
          <w:szCs w:val="32"/>
        </w:rPr>
        <w:t>9. 社会保障和就业支出（类）行政事业单位离退休（款）事业单位离退休（项）指：事业单位开支的离退休经费。</w:t>
      </w:r>
    </w:p>
    <w:p w14:paraId="6B43FC45">
      <w:pPr>
        <w:spacing w:line="580" w:lineRule="exact"/>
        <w:ind w:firstLine="640" w:firstLineChars="200"/>
        <w:rPr>
          <w:rFonts w:eastAsia="仿宋_GB2312"/>
          <w:kern w:val="0"/>
          <w:sz w:val="32"/>
          <w:szCs w:val="32"/>
        </w:rPr>
      </w:pPr>
      <w:r>
        <w:rPr>
          <w:rFonts w:eastAsia="仿宋_GB2312"/>
          <w:kern w:val="0"/>
          <w:sz w:val="32"/>
          <w:szCs w:val="32"/>
        </w:rPr>
        <w:t>10. 社会保障和就业支出（类）行政事业单位离退休（款）机关事业单位基本养老保险缴费支出（项）指：反映机关事业单位实施养老保险制度由单位缴纳的基本养老保险缴费支出。</w:t>
      </w:r>
    </w:p>
    <w:p w14:paraId="2A31D4CF">
      <w:pPr>
        <w:spacing w:line="580" w:lineRule="exact"/>
        <w:ind w:firstLine="640" w:firstLineChars="200"/>
        <w:rPr>
          <w:rFonts w:eastAsia="仿宋_GB2312"/>
          <w:kern w:val="0"/>
          <w:sz w:val="32"/>
          <w:szCs w:val="32"/>
        </w:rPr>
      </w:pPr>
      <w:r>
        <w:rPr>
          <w:rFonts w:eastAsia="仿宋_GB2312"/>
          <w:kern w:val="0"/>
          <w:sz w:val="32"/>
          <w:szCs w:val="32"/>
        </w:rPr>
        <w:t>11. 卫生健康支出（类）行政事业单位医疗（款）事业单位医疗（项）指：反映财政部门安排的事业单位基本医疗保险缴费经费，未参加医疗保险的事业单位的公费医疗经费，按照国家规定享受离退休人员待遇的医疗经费。</w:t>
      </w:r>
    </w:p>
    <w:p w14:paraId="54BDD8D9">
      <w:pPr>
        <w:spacing w:line="580" w:lineRule="exact"/>
        <w:ind w:firstLine="640" w:firstLineChars="200"/>
        <w:rPr>
          <w:rFonts w:eastAsia="仿宋_GB2312"/>
          <w:kern w:val="0"/>
          <w:sz w:val="32"/>
          <w:szCs w:val="32"/>
        </w:rPr>
      </w:pPr>
      <w:r>
        <w:rPr>
          <w:rFonts w:eastAsia="仿宋_GB2312"/>
          <w:kern w:val="0"/>
          <w:sz w:val="32"/>
          <w:szCs w:val="32"/>
        </w:rPr>
        <w:t>12. 卫生健康支出（类）行政事业单位医疗（款）公务员医疗补助（项）指：反映财政部门安排的公务员医疗补助经费。</w:t>
      </w:r>
    </w:p>
    <w:p w14:paraId="1234D9E5">
      <w:pPr>
        <w:spacing w:line="580" w:lineRule="exact"/>
        <w:ind w:firstLine="640" w:firstLineChars="200"/>
        <w:rPr>
          <w:rFonts w:eastAsia="仿宋_GB2312"/>
          <w:kern w:val="0"/>
          <w:sz w:val="32"/>
          <w:szCs w:val="32"/>
        </w:rPr>
      </w:pPr>
      <w:r>
        <w:rPr>
          <w:rFonts w:eastAsia="仿宋_GB2312"/>
          <w:kern w:val="0"/>
          <w:sz w:val="32"/>
          <w:szCs w:val="32"/>
        </w:rPr>
        <w:t>13. 卫生健康支出（类）行政事业单位医疗（款）</w:t>
      </w:r>
      <w:r>
        <w:rPr>
          <w:rFonts w:hint="eastAsia" w:eastAsia="仿宋_GB2312"/>
          <w:kern w:val="0"/>
          <w:sz w:val="32"/>
          <w:szCs w:val="32"/>
        </w:rPr>
        <w:t>事业单位医疗</w:t>
      </w:r>
      <w:r>
        <w:rPr>
          <w:rFonts w:eastAsia="仿宋_GB2312"/>
          <w:kern w:val="0"/>
          <w:sz w:val="32"/>
          <w:szCs w:val="32"/>
        </w:rPr>
        <w:t>（项）指：用于行政事业单位医疗</w:t>
      </w:r>
      <w:r>
        <w:rPr>
          <w:rFonts w:hint="eastAsia" w:eastAsia="仿宋_GB2312"/>
          <w:kern w:val="0"/>
          <w:sz w:val="32"/>
          <w:szCs w:val="32"/>
        </w:rPr>
        <w:t>保险</w:t>
      </w:r>
      <w:r>
        <w:rPr>
          <w:rFonts w:eastAsia="仿宋_GB2312"/>
          <w:kern w:val="0"/>
          <w:sz w:val="32"/>
          <w:szCs w:val="32"/>
        </w:rPr>
        <w:t>的支出。</w:t>
      </w:r>
    </w:p>
    <w:p w14:paraId="1097F099">
      <w:pPr>
        <w:spacing w:line="580" w:lineRule="exact"/>
        <w:ind w:firstLine="640" w:firstLineChars="200"/>
        <w:rPr>
          <w:rFonts w:eastAsia="仿宋_GB2312"/>
          <w:kern w:val="0"/>
          <w:sz w:val="32"/>
          <w:szCs w:val="32"/>
        </w:rPr>
      </w:pPr>
      <w:r>
        <w:rPr>
          <w:rFonts w:eastAsia="仿宋_GB2312"/>
          <w:sz w:val="32"/>
          <w:szCs w:val="32"/>
        </w:rPr>
        <w:t>14.</w:t>
      </w:r>
      <w:r>
        <w:rPr>
          <w:rFonts w:eastAsia="仿宋_GB2312"/>
          <w:kern w:val="0"/>
          <w:sz w:val="32"/>
          <w:szCs w:val="32"/>
        </w:rPr>
        <w:t xml:space="preserve"> 卫生健康支出（类）行政事业单位医疗（款）其他行政事业单位医疗支出（项）指：其他用于行政事业单位医疗方面的支出。</w:t>
      </w:r>
    </w:p>
    <w:p w14:paraId="2FF5DF38">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15.自然资源海洋气象等支出（类）自然资源事务（款）事业运行（项）：指反应事业单位的基本支出，不包括行政单位（包括实施公务员管理的事业单位）后勤服务中心，医务室等附属事业单位。</w:t>
      </w:r>
    </w:p>
    <w:p w14:paraId="068145AF">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.住房保障支出（类）住房改革支出（款）住房公积金（项）:指行政事业单位按人力资源和社会保障部，财政部规定的基本工资和津贴补贴以及规定比例为职工缴纳的住房公积金。</w:t>
      </w:r>
    </w:p>
    <w:p w14:paraId="285AF1FD">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.基本支出：指为保障机构正常运转、完成日常工作任务而发生的人员支出和公用支出。</w:t>
      </w:r>
    </w:p>
    <w:p w14:paraId="44023F37">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.项目支出：指在基本支出之外为完成特定行政任务和事业发展目标所发生的支出。</w:t>
      </w:r>
    </w:p>
    <w:p w14:paraId="254005B0">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19</w:t>
      </w:r>
      <w:r>
        <w:rPr>
          <w:rFonts w:ascii="Times New Roman" w:hAnsi="Times New Roman" w:eastAsia="仿宋_GB2312" w:cs="Times New Roman"/>
          <w:color w:val="auto"/>
          <w:sz w:val="32"/>
          <w:szCs w:val="32"/>
        </w:rPr>
        <w:t>.经营支出：指事业单位在专业业务活动及其辅助活动之外开展非独立核算经营活动发生的支出。</w:t>
      </w:r>
    </w:p>
    <w:p w14:paraId="2426E936">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3CD7FE8">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B09F19">
      <w:pPr>
        <w:spacing w:line="600" w:lineRule="exact"/>
        <w:jc w:val="center"/>
        <w:rPr>
          <w:rStyle w:val="28"/>
          <w:rFonts w:eastAsia="黑体"/>
          <w:b w:val="0"/>
        </w:rPr>
      </w:pPr>
      <w:bookmarkStart w:id="51" w:name="_Toc15377226"/>
      <w:r>
        <w:rPr>
          <w:rFonts w:hint="eastAsia" w:eastAsia="仿宋_GB2312" w:cs="仿宋_GB2312"/>
          <w:sz w:val="32"/>
          <w:szCs w:val="32"/>
        </w:rPr>
        <w:br w:type="page"/>
      </w:r>
      <w:bookmarkStart w:id="52" w:name="_Toc15396614"/>
      <w:r>
        <w:rPr>
          <w:rFonts w:hint="eastAsia" w:eastAsia="黑体"/>
          <w:sz w:val="44"/>
          <w:szCs w:val="44"/>
        </w:rPr>
        <w:t>第四部分  附件</w:t>
      </w:r>
      <w:bookmarkEnd w:id="52"/>
    </w:p>
    <w:bookmarkEnd w:id="51"/>
    <w:p w14:paraId="7BD48EA5">
      <w:pPr>
        <w:pStyle w:val="13"/>
        <w:spacing w:line="560" w:lineRule="exact"/>
        <w:ind w:left="0" w:leftChars="0" w:firstLine="0" w:firstLineChars="0"/>
        <w:jc w:val="center"/>
        <w:rPr>
          <w:rFonts w:hint="eastAsia" w:ascii="Times New Roman" w:eastAsia="仿宋_GB2312"/>
          <w:sz w:val="32"/>
          <w:lang w:val="en-US" w:eastAsia="zh-CN"/>
        </w:rPr>
      </w:pPr>
      <w:r>
        <w:rPr>
          <w:rFonts w:hint="eastAsia" w:ascii="Times New Roman" w:eastAsia="仿宋_GB2312"/>
          <w:sz w:val="32"/>
          <w:lang w:val="en-US" w:eastAsia="zh-CN"/>
        </w:rPr>
        <w:t>攀枝花市国土空间规划编制研究中心</w:t>
      </w:r>
      <w:r>
        <w:rPr>
          <w:rFonts w:ascii="Times New Roman" w:eastAsia="仿宋_GB2312"/>
          <w:sz w:val="32"/>
        </w:rPr>
        <w:t>部门预算项目支出绩效自评表（202</w:t>
      </w:r>
      <w:r>
        <w:rPr>
          <w:rFonts w:hint="eastAsia" w:ascii="Times New Roman" w:eastAsia="仿宋_GB2312"/>
          <w:sz w:val="32"/>
        </w:rPr>
        <w:t>4</w:t>
      </w:r>
      <w:r>
        <w:rPr>
          <w:rFonts w:ascii="Times New Roman" w:eastAsia="仿宋_GB2312"/>
          <w:sz w:val="32"/>
        </w:rPr>
        <w:t>年度）</w:t>
      </w:r>
      <w:r>
        <w:rPr>
          <w:rFonts w:hint="eastAsia" w:ascii="Times New Roman" w:eastAsia="仿宋_GB2312"/>
          <w:sz w:val="32"/>
          <w:lang w:val="en-US" w:eastAsia="zh-CN"/>
        </w:rPr>
        <w:t xml:space="preserve"> </w:t>
      </w:r>
    </w:p>
    <w:p w14:paraId="247146DB">
      <w:pPr>
        <w:pStyle w:val="2"/>
        <w:spacing w:before="93"/>
        <w:rPr>
          <w:rFonts w:ascii="Times New Roman"/>
          <w:sz w:val="32"/>
          <w:szCs w:val="32"/>
        </w:rPr>
      </w:pPr>
    </w:p>
    <w:p w14:paraId="28B7FD3A">
      <w:pPr>
        <w:pStyle w:val="2"/>
        <w:spacing w:before="93"/>
        <w:rPr>
          <w:rFonts w:ascii="Times New Roman"/>
          <w:sz w:val="32"/>
          <w:szCs w:val="32"/>
        </w:rPr>
      </w:pPr>
    </w:p>
    <w:p w14:paraId="357A605B">
      <w:pPr>
        <w:pStyle w:val="2"/>
        <w:spacing w:before="93"/>
        <w:rPr>
          <w:rFonts w:ascii="Times New Roman"/>
          <w:sz w:val="32"/>
          <w:szCs w:val="32"/>
        </w:rPr>
      </w:pPr>
    </w:p>
    <w:p w14:paraId="32CF4512">
      <w:pPr>
        <w:pStyle w:val="2"/>
        <w:spacing w:before="93"/>
        <w:rPr>
          <w:rFonts w:ascii="Times New Roman"/>
          <w:sz w:val="32"/>
          <w:szCs w:val="32"/>
        </w:rPr>
      </w:pPr>
    </w:p>
    <w:p w14:paraId="54999E5A">
      <w:pPr>
        <w:pStyle w:val="2"/>
        <w:spacing w:before="93"/>
        <w:rPr>
          <w:rFonts w:ascii="Times New Roman"/>
          <w:sz w:val="32"/>
          <w:szCs w:val="32"/>
        </w:rPr>
      </w:pPr>
    </w:p>
    <w:p w14:paraId="245CC23B">
      <w:pPr>
        <w:pStyle w:val="2"/>
        <w:spacing w:before="93"/>
        <w:rPr>
          <w:rFonts w:ascii="Times New Roman"/>
          <w:sz w:val="32"/>
          <w:szCs w:val="32"/>
        </w:rPr>
      </w:pPr>
    </w:p>
    <w:p w14:paraId="15941B9E">
      <w:pPr>
        <w:pStyle w:val="2"/>
        <w:spacing w:before="93"/>
        <w:rPr>
          <w:rFonts w:ascii="Times New Roman"/>
          <w:sz w:val="32"/>
          <w:szCs w:val="32"/>
        </w:rPr>
      </w:pPr>
    </w:p>
    <w:p w14:paraId="6DF42921">
      <w:pPr>
        <w:pStyle w:val="2"/>
        <w:spacing w:before="93"/>
        <w:rPr>
          <w:rFonts w:ascii="Times New Roman"/>
          <w:sz w:val="32"/>
          <w:szCs w:val="32"/>
        </w:rPr>
      </w:pPr>
    </w:p>
    <w:p w14:paraId="4ADAC1B0">
      <w:pPr>
        <w:pStyle w:val="2"/>
        <w:spacing w:before="93"/>
        <w:rPr>
          <w:rFonts w:ascii="Times New Roman"/>
          <w:sz w:val="32"/>
          <w:szCs w:val="32"/>
        </w:rPr>
      </w:pPr>
    </w:p>
    <w:p w14:paraId="45454997">
      <w:pPr>
        <w:pStyle w:val="2"/>
        <w:spacing w:before="93"/>
        <w:rPr>
          <w:rFonts w:ascii="Times New Roman"/>
          <w:sz w:val="32"/>
          <w:szCs w:val="32"/>
        </w:rPr>
      </w:pPr>
    </w:p>
    <w:p w14:paraId="0E24F8BB">
      <w:pPr>
        <w:pStyle w:val="2"/>
        <w:spacing w:before="93"/>
        <w:rPr>
          <w:rFonts w:ascii="Times New Roman"/>
          <w:sz w:val="32"/>
          <w:szCs w:val="32"/>
        </w:rPr>
      </w:pPr>
    </w:p>
    <w:p w14:paraId="3B66CD5D">
      <w:pPr>
        <w:pStyle w:val="2"/>
        <w:spacing w:before="93"/>
        <w:rPr>
          <w:rFonts w:ascii="Times New Roman"/>
          <w:sz w:val="32"/>
          <w:szCs w:val="32"/>
        </w:rPr>
      </w:pPr>
    </w:p>
    <w:p w14:paraId="71E141CC">
      <w:pPr>
        <w:pStyle w:val="2"/>
        <w:spacing w:before="93"/>
        <w:rPr>
          <w:rFonts w:ascii="Times New Roman"/>
          <w:sz w:val="32"/>
          <w:szCs w:val="32"/>
        </w:rPr>
      </w:pPr>
    </w:p>
    <w:p w14:paraId="69A62738">
      <w:pPr>
        <w:pStyle w:val="2"/>
        <w:spacing w:before="93"/>
        <w:rPr>
          <w:rFonts w:ascii="Times New Roman"/>
          <w:sz w:val="32"/>
          <w:szCs w:val="32"/>
        </w:rPr>
      </w:pPr>
    </w:p>
    <w:p w14:paraId="263B6FC7">
      <w:pPr>
        <w:pStyle w:val="2"/>
        <w:spacing w:before="93"/>
        <w:rPr>
          <w:rFonts w:ascii="Times New Roman"/>
          <w:sz w:val="32"/>
          <w:szCs w:val="32"/>
        </w:rPr>
      </w:pPr>
    </w:p>
    <w:p w14:paraId="513BF65D">
      <w:pPr>
        <w:spacing w:line="600" w:lineRule="exact"/>
        <w:jc w:val="center"/>
        <w:outlineLvl w:val="0"/>
        <w:rPr>
          <w:rFonts w:eastAsia="仿宋"/>
        </w:rPr>
      </w:pPr>
      <w:r>
        <w:rPr>
          <w:rFonts w:eastAsia="黑体"/>
          <w:sz w:val="44"/>
          <w:szCs w:val="44"/>
        </w:rPr>
        <w:t>第</w:t>
      </w:r>
      <w:r>
        <w:rPr>
          <w:rStyle w:val="28"/>
          <w:rFonts w:eastAsia="黑体"/>
        </w:rPr>
        <w:t>五部分 附表</w:t>
      </w:r>
      <w:bookmarkStart w:id="53" w:name="_Toc15396619"/>
    </w:p>
    <w:p w14:paraId="04673C29">
      <w:pPr>
        <w:pStyle w:val="4"/>
        <w:rPr>
          <w:rFonts w:ascii="Times New Roman" w:hAnsi="Times New Roman" w:eastAsia="仿宋" w:cs="Times New Roman"/>
        </w:rPr>
      </w:pPr>
      <w:r>
        <w:rPr>
          <w:rFonts w:ascii="Times New Roman" w:hAnsi="Times New Roman" w:eastAsia="仿宋" w:cs="Times New Roman"/>
          <w:b w:val="0"/>
        </w:rPr>
        <w:t>一、收</w:t>
      </w:r>
      <w:r>
        <w:rPr>
          <w:rStyle w:val="29"/>
          <w:rFonts w:eastAsia="仿宋" w:cs="Times New Roman"/>
          <w:b w:val="0"/>
          <w:bCs w:val="0"/>
        </w:rPr>
        <w:t>入支出决算总表</w:t>
      </w:r>
      <w:bookmarkEnd w:id="53"/>
    </w:p>
    <w:p w14:paraId="077B935E">
      <w:pPr>
        <w:pStyle w:val="4"/>
        <w:rPr>
          <w:rFonts w:ascii="Times New Roman" w:hAnsi="Times New Roman" w:eastAsia="仿宋" w:cs="Times New Roman"/>
        </w:rPr>
      </w:pPr>
      <w:bookmarkStart w:id="54" w:name="_Toc15396620"/>
      <w:r>
        <w:rPr>
          <w:rFonts w:ascii="Times New Roman" w:hAnsi="Times New Roman" w:eastAsia="仿宋" w:cs="Times New Roman"/>
          <w:b w:val="0"/>
        </w:rPr>
        <w:t>二、收</w:t>
      </w:r>
      <w:r>
        <w:rPr>
          <w:rStyle w:val="29"/>
          <w:rFonts w:eastAsia="仿宋" w:cs="Times New Roman"/>
          <w:b w:val="0"/>
          <w:bCs w:val="0"/>
        </w:rPr>
        <w:t>入决算表</w:t>
      </w:r>
      <w:bookmarkEnd w:id="54"/>
    </w:p>
    <w:p w14:paraId="2AD11F8B">
      <w:pPr>
        <w:pStyle w:val="4"/>
        <w:rPr>
          <w:rFonts w:ascii="Times New Roman" w:hAnsi="Times New Roman" w:eastAsia="仿宋" w:cs="Times New Roman"/>
        </w:rPr>
      </w:pPr>
      <w:bookmarkStart w:id="55" w:name="_Toc15396621"/>
      <w:r>
        <w:rPr>
          <w:rStyle w:val="29"/>
          <w:rFonts w:eastAsia="仿宋" w:cs="Times New Roman"/>
          <w:b w:val="0"/>
          <w:bCs w:val="0"/>
        </w:rPr>
        <w:t>三、</w:t>
      </w:r>
      <w:r>
        <w:rPr>
          <w:rFonts w:ascii="Times New Roman" w:hAnsi="Times New Roman" w:eastAsia="仿宋" w:cs="Times New Roman"/>
          <w:b w:val="0"/>
        </w:rPr>
        <w:t>支</w:t>
      </w:r>
      <w:r>
        <w:rPr>
          <w:rStyle w:val="29"/>
          <w:rFonts w:eastAsia="仿宋" w:cs="Times New Roman"/>
          <w:b w:val="0"/>
          <w:bCs w:val="0"/>
        </w:rPr>
        <w:t>出决算表</w:t>
      </w:r>
      <w:bookmarkEnd w:id="55"/>
    </w:p>
    <w:p w14:paraId="33B3D949">
      <w:pPr>
        <w:pStyle w:val="4"/>
        <w:rPr>
          <w:rFonts w:ascii="Times New Roman" w:hAnsi="Times New Roman" w:eastAsia="仿宋" w:cs="Times New Roman"/>
          <w:b w:val="0"/>
        </w:rPr>
      </w:pPr>
      <w:bookmarkStart w:id="56" w:name="_Toc15396622"/>
      <w:r>
        <w:rPr>
          <w:rStyle w:val="29"/>
          <w:rFonts w:eastAsia="仿宋" w:cs="Times New Roman"/>
          <w:b w:val="0"/>
          <w:bCs w:val="0"/>
        </w:rPr>
        <w:t>四、</w:t>
      </w:r>
      <w:r>
        <w:rPr>
          <w:rFonts w:ascii="Times New Roman" w:hAnsi="Times New Roman" w:eastAsia="仿宋" w:cs="Times New Roman"/>
          <w:b w:val="0"/>
        </w:rPr>
        <w:t>财</w:t>
      </w:r>
      <w:r>
        <w:rPr>
          <w:rStyle w:val="29"/>
          <w:rFonts w:eastAsia="仿宋" w:cs="Times New Roman"/>
          <w:b w:val="0"/>
          <w:bCs w:val="0"/>
        </w:rPr>
        <w:t>政拨款收入支出决算总表</w:t>
      </w:r>
      <w:bookmarkEnd w:id="56"/>
    </w:p>
    <w:p w14:paraId="15A38B6E">
      <w:pPr>
        <w:pStyle w:val="4"/>
        <w:rPr>
          <w:rStyle w:val="29"/>
          <w:rFonts w:eastAsia="仿宋" w:cs="Times New Roman"/>
          <w:b w:val="0"/>
          <w:bCs w:val="0"/>
        </w:rPr>
      </w:pPr>
      <w:bookmarkStart w:id="57" w:name="_Toc15396623"/>
      <w:r>
        <w:rPr>
          <w:rStyle w:val="29"/>
          <w:rFonts w:eastAsia="仿宋" w:cs="Times New Roman"/>
          <w:b w:val="0"/>
          <w:bCs w:val="0"/>
        </w:rPr>
        <w:t>五、</w:t>
      </w:r>
      <w:r>
        <w:rPr>
          <w:rFonts w:ascii="Times New Roman" w:hAnsi="Times New Roman" w:eastAsia="仿宋" w:cs="Times New Roman"/>
          <w:b w:val="0"/>
        </w:rPr>
        <w:t>财</w:t>
      </w:r>
      <w:r>
        <w:rPr>
          <w:rStyle w:val="29"/>
          <w:rFonts w:eastAsia="仿宋" w:cs="Times New Roman"/>
          <w:b w:val="0"/>
          <w:bCs w:val="0"/>
        </w:rPr>
        <w:t>政拨款支出决算明细表</w:t>
      </w:r>
      <w:bookmarkEnd w:id="57"/>
      <w:bookmarkStart w:id="58" w:name="_Toc15396624"/>
    </w:p>
    <w:p w14:paraId="3E28C07F">
      <w:pPr>
        <w:pStyle w:val="4"/>
        <w:rPr>
          <w:rFonts w:ascii="Times New Roman" w:hAnsi="Times New Roman" w:eastAsia="仿宋" w:cs="Times New Roman"/>
        </w:rPr>
      </w:pPr>
      <w:r>
        <w:rPr>
          <w:rStyle w:val="29"/>
          <w:rFonts w:eastAsia="仿宋" w:cs="Times New Roman"/>
          <w:b w:val="0"/>
          <w:bCs w:val="0"/>
        </w:rPr>
        <w:t>六、</w:t>
      </w:r>
      <w:r>
        <w:rPr>
          <w:rFonts w:ascii="Times New Roman" w:hAnsi="Times New Roman" w:eastAsia="仿宋" w:cs="Times New Roman"/>
          <w:b w:val="0"/>
        </w:rPr>
        <w:t>一</w:t>
      </w:r>
      <w:r>
        <w:rPr>
          <w:rStyle w:val="29"/>
          <w:rFonts w:eastAsia="仿宋" w:cs="Times New Roman"/>
          <w:b w:val="0"/>
          <w:bCs w:val="0"/>
        </w:rPr>
        <w:t>般公共预算财政拨款支出决算表</w:t>
      </w:r>
      <w:bookmarkEnd w:id="58"/>
    </w:p>
    <w:p w14:paraId="3C6D9131">
      <w:pPr>
        <w:pStyle w:val="4"/>
        <w:rPr>
          <w:rFonts w:ascii="Times New Roman" w:hAnsi="Times New Roman" w:eastAsia="仿宋" w:cs="Times New Roman"/>
        </w:rPr>
      </w:pPr>
      <w:bookmarkStart w:id="59" w:name="_Toc15396625"/>
      <w:r>
        <w:rPr>
          <w:rStyle w:val="29"/>
          <w:rFonts w:eastAsia="仿宋" w:cs="Times New Roman"/>
          <w:b w:val="0"/>
          <w:bCs w:val="0"/>
        </w:rPr>
        <w:t>七、</w:t>
      </w:r>
      <w:r>
        <w:rPr>
          <w:rFonts w:ascii="Times New Roman" w:hAnsi="Times New Roman" w:eastAsia="仿宋" w:cs="Times New Roman"/>
          <w:b w:val="0"/>
        </w:rPr>
        <w:t>一</w:t>
      </w:r>
      <w:r>
        <w:rPr>
          <w:rStyle w:val="29"/>
          <w:rFonts w:eastAsia="仿宋" w:cs="Times New Roman"/>
          <w:b w:val="0"/>
          <w:bCs w:val="0"/>
        </w:rPr>
        <w:t>般公共预算财政拨款支出决算明细表</w:t>
      </w:r>
      <w:bookmarkEnd w:id="59"/>
    </w:p>
    <w:p w14:paraId="5267E276">
      <w:pPr>
        <w:pStyle w:val="4"/>
        <w:rPr>
          <w:rFonts w:ascii="Times New Roman" w:hAnsi="Times New Roman" w:eastAsia="仿宋" w:cs="Times New Roman"/>
        </w:rPr>
      </w:pPr>
      <w:bookmarkStart w:id="60" w:name="_Toc15396626"/>
      <w:r>
        <w:rPr>
          <w:rStyle w:val="29"/>
          <w:rFonts w:eastAsia="仿宋" w:cs="Times New Roman"/>
          <w:b w:val="0"/>
          <w:bCs w:val="0"/>
        </w:rPr>
        <w:t>八、</w:t>
      </w:r>
      <w:r>
        <w:rPr>
          <w:rFonts w:ascii="Times New Roman" w:hAnsi="Times New Roman" w:eastAsia="仿宋" w:cs="Times New Roman"/>
          <w:b w:val="0"/>
        </w:rPr>
        <w:t>一</w:t>
      </w:r>
      <w:r>
        <w:rPr>
          <w:rStyle w:val="29"/>
          <w:rFonts w:eastAsia="仿宋" w:cs="Times New Roman"/>
          <w:b w:val="0"/>
          <w:bCs w:val="0"/>
        </w:rPr>
        <w:t>般公共预算财政拨款基本支出决算表</w:t>
      </w:r>
      <w:bookmarkEnd w:id="60"/>
    </w:p>
    <w:p w14:paraId="7667A4A7">
      <w:pPr>
        <w:pStyle w:val="4"/>
        <w:rPr>
          <w:rFonts w:ascii="Times New Roman" w:hAnsi="Times New Roman" w:eastAsia="仿宋" w:cs="Times New Roman"/>
        </w:rPr>
      </w:pPr>
      <w:bookmarkStart w:id="61" w:name="_Toc15396627"/>
      <w:r>
        <w:rPr>
          <w:rStyle w:val="29"/>
          <w:rFonts w:eastAsia="仿宋" w:cs="Times New Roman"/>
          <w:b w:val="0"/>
          <w:bCs w:val="0"/>
        </w:rPr>
        <w:t>九、</w:t>
      </w:r>
      <w:r>
        <w:rPr>
          <w:rFonts w:ascii="Times New Roman" w:hAnsi="Times New Roman" w:eastAsia="仿宋" w:cs="Times New Roman"/>
          <w:b w:val="0"/>
        </w:rPr>
        <w:t>一</w:t>
      </w:r>
      <w:r>
        <w:rPr>
          <w:rStyle w:val="29"/>
          <w:rFonts w:eastAsia="仿宋" w:cs="Times New Roman"/>
          <w:b w:val="0"/>
          <w:bCs w:val="0"/>
        </w:rPr>
        <w:t>般公共预算财政拨款项目支出决算表</w:t>
      </w:r>
      <w:bookmarkEnd w:id="61"/>
    </w:p>
    <w:p w14:paraId="01248811">
      <w:pPr>
        <w:pStyle w:val="4"/>
        <w:rPr>
          <w:rFonts w:ascii="Times New Roman" w:hAnsi="Times New Roman" w:eastAsia="仿宋" w:cs="Times New Roman"/>
        </w:rPr>
      </w:pPr>
      <w:bookmarkStart w:id="62" w:name="_Toc15396628"/>
      <w:r>
        <w:rPr>
          <w:rStyle w:val="29"/>
          <w:rFonts w:eastAsia="仿宋" w:cs="Times New Roman"/>
          <w:b w:val="0"/>
          <w:bCs w:val="0"/>
        </w:rPr>
        <w:t>十、</w:t>
      </w:r>
      <w:bookmarkEnd w:id="62"/>
      <w:r>
        <w:rPr>
          <w:rFonts w:ascii="Times New Roman" w:hAnsi="Times New Roman" w:eastAsia="仿宋" w:cs="Times New Roman"/>
          <w:b w:val="0"/>
        </w:rPr>
        <w:t>政</w:t>
      </w:r>
      <w:r>
        <w:rPr>
          <w:rStyle w:val="29"/>
          <w:rFonts w:eastAsia="仿宋" w:cs="Times New Roman"/>
          <w:b w:val="0"/>
          <w:bCs w:val="0"/>
        </w:rPr>
        <w:t>府性基金预算财政拨款收入支出决算表</w:t>
      </w:r>
    </w:p>
    <w:p w14:paraId="7184AF24">
      <w:pPr>
        <w:pStyle w:val="4"/>
        <w:rPr>
          <w:rFonts w:ascii="Times New Roman" w:hAnsi="Times New Roman" w:eastAsia="仿宋" w:cs="Times New Roman"/>
        </w:rPr>
      </w:pPr>
      <w:bookmarkStart w:id="63" w:name="_Toc15396629"/>
      <w:r>
        <w:rPr>
          <w:rStyle w:val="29"/>
          <w:rFonts w:eastAsia="仿宋" w:cs="Times New Roman"/>
          <w:b w:val="0"/>
          <w:bCs w:val="0"/>
        </w:rPr>
        <w:t>十一、</w:t>
      </w:r>
      <w:bookmarkEnd w:id="63"/>
      <w:r>
        <w:rPr>
          <w:rFonts w:ascii="Times New Roman" w:hAnsi="Times New Roman" w:eastAsia="仿宋" w:cs="Times New Roman"/>
          <w:b w:val="0"/>
        </w:rPr>
        <w:t>国</w:t>
      </w:r>
      <w:r>
        <w:rPr>
          <w:rStyle w:val="29"/>
          <w:rFonts w:eastAsia="仿宋" w:cs="Times New Roman"/>
          <w:b w:val="0"/>
          <w:bCs w:val="0"/>
        </w:rPr>
        <w:t>有资本经营预算财政拨款收入支出决算表</w:t>
      </w:r>
    </w:p>
    <w:p w14:paraId="0A3FF669">
      <w:pPr>
        <w:pStyle w:val="4"/>
        <w:rPr>
          <w:rFonts w:ascii="Times New Roman" w:hAnsi="Times New Roman" w:eastAsia="仿宋" w:cs="Times New Roman"/>
        </w:rPr>
      </w:pPr>
      <w:bookmarkStart w:id="64" w:name="_Toc15396630"/>
      <w:r>
        <w:rPr>
          <w:rStyle w:val="29"/>
          <w:rFonts w:eastAsia="仿宋" w:cs="Times New Roman"/>
          <w:b w:val="0"/>
          <w:bCs w:val="0"/>
        </w:rPr>
        <w:t>十二、</w:t>
      </w:r>
      <w:bookmarkEnd w:id="64"/>
      <w:r>
        <w:rPr>
          <w:rStyle w:val="29"/>
          <w:rFonts w:eastAsia="仿宋" w:cs="Times New Roman"/>
          <w:b w:val="0"/>
          <w:bCs w:val="0"/>
        </w:rPr>
        <w:t>国有资本经营预算财政拨款支出决算表</w:t>
      </w:r>
    </w:p>
    <w:p w14:paraId="52DCE299">
      <w:pPr>
        <w:pStyle w:val="4"/>
        <w:rPr>
          <w:rFonts w:ascii="Times New Roman" w:hAnsi="Times New Roman" w:eastAsia="仿宋" w:cs="Times New Roman"/>
        </w:rPr>
      </w:pPr>
      <w:bookmarkStart w:id="65" w:name="_Toc15396631"/>
      <w:r>
        <w:rPr>
          <w:rStyle w:val="29"/>
          <w:rFonts w:eastAsia="仿宋" w:cs="Times New Roman"/>
          <w:b w:val="0"/>
          <w:bCs w:val="0"/>
        </w:rPr>
        <w:t>十三、</w:t>
      </w:r>
      <w:bookmarkEnd w:id="65"/>
      <w:r>
        <w:rPr>
          <w:rStyle w:val="29"/>
          <w:rFonts w:eastAsia="仿宋" w:cs="Times New Roman"/>
          <w:b w:val="0"/>
          <w:bCs w:val="0"/>
        </w:rPr>
        <w:t>财政拨款“三公”经费支出决算表</w:t>
      </w:r>
    </w:p>
    <w:p w14:paraId="7EEDFA38"/>
    <w:p w14:paraId="632A7FC6">
      <w:pPr>
        <w:spacing w:line="600" w:lineRule="exact"/>
        <w:jc w:val="center"/>
        <w:outlineLvl w:val="0"/>
        <w:rPr>
          <w:rFonts w:eastAsia="仿宋"/>
        </w:rPr>
      </w:pPr>
    </w:p>
    <w:sectPr>
      <w:footerReference r:id="rId13" w:type="first"/>
      <w:headerReference r:id="rId11" w:type="default"/>
      <w:footerReference r:id="rId12" w:type="default"/>
      <w:pgSz w:w="11906" w:h="16838"/>
      <w:pgMar w:top="1440" w:right="1800" w:bottom="1440" w:left="1800" w:header="851" w:footer="992" w:gutter="0"/>
      <w:pgNumType w:fmt="numberInDash"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4564">
    <w:pPr>
      <w:pStyle w:val="9"/>
      <w:jc w:val="center"/>
    </w:pPr>
  </w:p>
  <w:p w14:paraId="0E7C1E5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4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4A70">
    <w:pPr>
      <w:pStyle w:val="9"/>
      <w:jc w:val="center"/>
    </w:pPr>
  </w:p>
  <w:p w14:paraId="70DE9B7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D9FC">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0331">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1441499"/>
                          </w:sdtPr>
                          <w:sdtContent>
                            <w:p w14:paraId="0D3E1E14">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16</w:t>
                              </w:r>
                              <w:r>
                                <w:rPr>
                                  <w:rFonts w:hint="eastAsia" w:asciiTheme="minorEastAsia" w:hAnsiTheme="minorEastAsia" w:eastAsiaTheme="minorEastAsia" w:cstheme="minorEastAsia"/>
                                  <w:sz w:val="28"/>
                                  <w:szCs w:val="28"/>
                                </w:rPr>
                                <w:fldChar w:fldCharType="end"/>
                              </w:r>
                            </w:p>
                          </w:sdtContent>
                        </w:sdt>
                        <w:p w14:paraId="23149260">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721441499"/>
                    </w:sdtPr>
                    <w:sdtContent>
                      <w:p w14:paraId="0D3E1E14">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16</w:t>
                        </w:r>
                        <w:r>
                          <w:rPr>
                            <w:rFonts w:hint="eastAsia" w:asciiTheme="minorEastAsia" w:hAnsiTheme="minorEastAsia" w:eastAsiaTheme="minorEastAsia" w:cstheme="minorEastAsia"/>
                            <w:sz w:val="28"/>
                            <w:szCs w:val="28"/>
                          </w:rPr>
                          <w:fldChar w:fldCharType="end"/>
                        </w:r>
                      </w:p>
                    </w:sdtContent>
                  </w:sdt>
                  <w:p w14:paraId="23149260">
                    <w:pPr>
                      <w:pStyle w:val="19"/>
                    </w:pPr>
                  </w:p>
                </w:txbxContent>
              </v:textbox>
            </v:shape>
          </w:pict>
        </mc:Fallback>
      </mc:AlternateContent>
    </w:r>
  </w:p>
  <w:p w14:paraId="5EB52CC4">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D5C7">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05592271"/>
                          </w:sdtPr>
                          <w:sdtContent>
                            <w:p w14:paraId="71E4BB96">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14:paraId="6EFD6280">
                          <w:pPr>
                            <w:pStyle w:val="1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sdt>
                    <w:sdtPr>
                      <w:id w:val="1205592271"/>
                    </w:sdtPr>
                    <w:sdtContent>
                      <w:p w14:paraId="71E4BB96">
                        <w:pPr>
                          <w:pStyle w:val="9"/>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14:paraId="6EFD6280">
                    <w:pPr>
                      <w:pStyle w:val="19"/>
                    </w:pPr>
                  </w:p>
                </w:txbxContent>
              </v:textbox>
            </v:shape>
          </w:pict>
        </mc:Fallback>
      </mc:AlternateContent>
    </w:r>
  </w:p>
  <w:p w14:paraId="1677079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192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2BD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357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F3FA5"/>
    <w:multiLevelType w:val="singleLevel"/>
    <w:tmpl w:val="DE7F3F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86F40"/>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2BF6"/>
    <w:rsid w:val="001415BE"/>
    <w:rsid w:val="00142216"/>
    <w:rsid w:val="00144D6A"/>
    <w:rsid w:val="0014729F"/>
    <w:rsid w:val="00157BAB"/>
    <w:rsid w:val="001654D1"/>
    <w:rsid w:val="001662B0"/>
    <w:rsid w:val="00174518"/>
    <w:rsid w:val="0018106D"/>
    <w:rsid w:val="001877A7"/>
    <w:rsid w:val="00191536"/>
    <w:rsid w:val="00196687"/>
    <w:rsid w:val="001A1DAD"/>
    <w:rsid w:val="001C0962"/>
    <w:rsid w:val="001C4FA6"/>
    <w:rsid w:val="001D1481"/>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A5DBC"/>
    <w:rsid w:val="002B2613"/>
    <w:rsid w:val="002C5004"/>
    <w:rsid w:val="002D6D05"/>
    <w:rsid w:val="002E2993"/>
    <w:rsid w:val="002F1818"/>
    <w:rsid w:val="002F567B"/>
    <w:rsid w:val="003216A9"/>
    <w:rsid w:val="00335A74"/>
    <w:rsid w:val="0035363E"/>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91AD3"/>
    <w:rsid w:val="004A711F"/>
    <w:rsid w:val="004B199D"/>
    <w:rsid w:val="004B4690"/>
    <w:rsid w:val="004C71EE"/>
    <w:rsid w:val="004E0A2D"/>
    <w:rsid w:val="004E206B"/>
    <w:rsid w:val="004E6DF7"/>
    <w:rsid w:val="004F0FBD"/>
    <w:rsid w:val="00505A47"/>
    <w:rsid w:val="00512FDA"/>
    <w:rsid w:val="00520DA0"/>
    <w:rsid w:val="005479E2"/>
    <w:rsid w:val="005533CF"/>
    <w:rsid w:val="00557A31"/>
    <w:rsid w:val="00564941"/>
    <w:rsid w:val="005664BB"/>
    <w:rsid w:val="00566FFA"/>
    <w:rsid w:val="0057481D"/>
    <w:rsid w:val="0058486E"/>
    <w:rsid w:val="00585B33"/>
    <w:rsid w:val="0059014D"/>
    <w:rsid w:val="005B5C64"/>
    <w:rsid w:val="005B6E8A"/>
    <w:rsid w:val="005C5337"/>
    <w:rsid w:val="005C6BD0"/>
    <w:rsid w:val="005D1C8B"/>
    <w:rsid w:val="005D2140"/>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2ACD"/>
    <w:rsid w:val="00683E73"/>
    <w:rsid w:val="006A3141"/>
    <w:rsid w:val="006A5E34"/>
    <w:rsid w:val="006B2422"/>
    <w:rsid w:val="006B2B9A"/>
    <w:rsid w:val="006C1937"/>
    <w:rsid w:val="006E7334"/>
    <w:rsid w:val="006F020C"/>
    <w:rsid w:val="0071021A"/>
    <w:rsid w:val="007127B7"/>
    <w:rsid w:val="0071798E"/>
    <w:rsid w:val="00737F49"/>
    <w:rsid w:val="007416B6"/>
    <w:rsid w:val="00746F48"/>
    <w:rsid w:val="0075404D"/>
    <w:rsid w:val="0076182A"/>
    <w:rsid w:val="00767B7E"/>
    <w:rsid w:val="007770C3"/>
    <w:rsid w:val="00784D24"/>
    <w:rsid w:val="00785FBA"/>
    <w:rsid w:val="00786E4A"/>
    <w:rsid w:val="007875EB"/>
    <w:rsid w:val="0079144A"/>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45DD"/>
    <w:rsid w:val="00885AF4"/>
    <w:rsid w:val="008939CD"/>
    <w:rsid w:val="008B10BE"/>
    <w:rsid w:val="008B768C"/>
    <w:rsid w:val="008C0C07"/>
    <w:rsid w:val="008C4DB1"/>
    <w:rsid w:val="008C4EAF"/>
    <w:rsid w:val="008C5176"/>
    <w:rsid w:val="008C7FD0"/>
    <w:rsid w:val="008C7FD8"/>
    <w:rsid w:val="008E1DE7"/>
    <w:rsid w:val="008E707C"/>
    <w:rsid w:val="00900B08"/>
    <w:rsid w:val="009013B6"/>
    <w:rsid w:val="00902155"/>
    <w:rsid w:val="00902FA3"/>
    <w:rsid w:val="00923564"/>
    <w:rsid w:val="0092392E"/>
    <w:rsid w:val="009315F9"/>
    <w:rsid w:val="00933499"/>
    <w:rsid w:val="00935C98"/>
    <w:rsid w:val="00946945"/>
    <w:rsid w:val="00951248"/>
    <w:rsid w:val="0095152F"/>
    <w:rsid w:val="00954C49"/>
    <w:rsid w:val="00955E37"/>
    <w:rsid w:val="009631B2"/>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4E0C"/>
    <w:rsid w:val="00AB64C9"/>
    <w:rsid w:val="00AC3C6A"/>
    <w:rsid w:val="00AD2D42"/>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6131"/>
    <w:rsid w:val="00B53C56"/>
    <w:rsid w:val="00B57DAF"/>
    <w:rsid w:val="00B77EA6"/>
    <w:rsid w:val="00B81598"/>
    <w:rsid w:val="00B841F1"/>
    <w:rsid w:val="00B944D6"/>
    <w:rsid w:val="00BB4DF0"/>
    <w:rsid w:val="00BC289F"/>
    <w:rsid w:val="00BC2D50"/>
    <w:rsid w:val="00BC5361"/>
    <w:rsid w:val="00BC5460"/>
    <w:rsid w:val="00BC6B50"/>
    <w:rsid w:val="00BD0E25"/>
    <w:rsid w:val="00BD3C84"/>
    <w:rsid w:val="00BF5BD6"/>
    <w:rsid w:val="00C03E31"/>
    <w:rsid w:val="00C11C9E"/>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33DE"/>
    <w:rsid w:val="00CC666F"/>
    <w:rsid w:val="00CD1E3F"/>
    <w:rsid w:val="00CD55DE"/>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9618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47654"/>
    <w:rsid w:val="00E50624"/>
    <w:rsid w:val="00E568DF"/>
    <w:rsid w:val="00E64269"/>
    <w:rsid w:val="00E82267"/>
    <w:rsid w:val="00E853CE"/>
    <w:rsid w:val="00E867B6"/>
    <w:rsid w:val="00EA010F"/>
    <w:rsid w:val="00EA568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601"/>
    <w:rsid w:val="00F36D8F"/>
    <w:rsid w:val="00F417B1"/>
    <w:rsid w:val="00F45853"/>
    <w:rsid w:val="00F602DF"/>
    <w:rsid w:val="00F7549D"/>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305BFB"/>
    <w:rsid w:val="30B46D73"/>
    <w:rsid w:val="319F7F4E"/>
    <w:rsid w:val="356A28F1"/>
    <w:rsid w:val="357C035A"/>
    <w:rsid w:val="368E000D"/>
    <w:rsid w:val="383D272C"/>
    <w:rsid w:val="39AE70AB"/>
    <w:rsid w:val="3A4DCE41"/>
    <w:rsid w:val="3BCB56FA"/>
    <w:rsid w:val="3C0C0783"/>
    <w:rsid w:val="3DE7294E"/>
    <w:rsid w:val="3EE7C2F4"/>
    <w:rsid w:val="3F371B56"/>
    <w:rsid w:val="3F7644AC"/>
    <w:rsid w:val="3F792ED8"/>
    <w:rsid w:val="3F9F3A96"/>
    <w:rsid w:val="3FECA4B2"/>
    <w:rsid w:val="3FF58C48"/>
    <w:rsid w:val="42FF6694"/>
    <w:rsid w:val="48BF60AB"/>
    <w:rsid w:val="493C27E9"/>
    <w:rsid w:val="496F39ED"/>
    <w:rsid w:val="49FF41D3"/>
    <w:rsid w:val="4BDE2BD8"/>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4DE527E"/>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A96F8E89"/>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D1E4A"/>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next w:val="13"/>
    <w:link w:val="35"/>
    <w:semiHidden/>
    <w:qFormat/>
    <w:uiPriority w:val="0"/>
    <w:pPr>
      <w:snapToGrid w:val="0"/>
      <w:jc w:val="left"/>
    </w:pPr>
    <w:rPr>
      <w:sz w:val="18"/>
      <w:szCs w:val="18"/>
    </w:rPr>
  </w:style>
  <w:style w:type="paragraph" w:styleId="13">
    <w:name w:val="Body Text First Indent 2"/>
    <w:basedOn w:val="6"/>
    <w:unhideWhenUsed/>
    <w:qFormat/>
    <w:uiPriority w:val="99"/>
    <w:pPr>
      <w:ind w:firstLine="420" w:firstLineChars="200"/>
    </w:p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spacing w:after="160" w:line="278" w:lineRule="auto"/>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uppressAutoHyphens/>
      <w:spacing w:line="360" w:lineRule="auto"/>
    </w:pPr>
    <w:rPr>
      <w:rFonts w:ascii="??" w:hAnsi="??"/>
      <w:color w:val="000000"/>
      <w:kern w:val="0"/>
      <w:sz w:val="28"/>
      <w:szCs w:val="21"/>
      <w:lang w:val="zh-CN"/>
    </w:rPr>
  </w:style>
  <w:style w:type="character" w:customStyle="1" w:styleId="35">
    <w:name w:val="脚注文本 字符"/>
    <w:basedOn w:val="16"/>
    <w:link w:val="12"/>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844;&#24320;&#20915;&#31639;&#27604;&#2354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sz="1105"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[公开决算比对表.xls]Sheet1!$B$5</c:f>
              <c:strCache>
                <c:ptCount val="1"/>
                <c:pt idx="0">
                  <c:v>2023</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3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[公开决算比对表.xls]Sheet1!$C$4:$D$4</c:f>
              <c:strCache>
                <c:ptCount val="2"/>
                <c:pt idx="0">
                  <c:v>收入</c:v>
                </c:pt>
                <c:pt idx="1">
                  <c:v>支出</c:v>
                </c:pt>
              </c:strCache>
            </c:strRef>
          </c:cat>
          <c:val>
            <c:numRef>
              <c:f>[公开决算比对表.xls]Sheet1!$C$5:$D$5</c:f>
              <c:numCache>
                <c:formatCode>#,##0.00</c:formatCode>
                <c:ptCount val="2"/>
                <c:pt idx="0">
                  <c:v>351.32</c:v>
                </c:pt>
                <c:pt idx="1">
                  <c:v>351.32</c:v>
                </c:pt>
              </c:numCache>
            </c:numRef>
          </c:val>
        </c:ser>
        <c:ser>
          <c:idx val="1"/>
          <c:order val="1"/>
          <c:tx>
            <c:strRef>
              <c:f>[公开决算比对表.xls]Sheet1!$B$6</c:f>
              <c:strCache>
                <c:ptCount val="1"/>
                <c:pt idx="0">
                  <c:v>2024</c:v>
                </c:pt>
              </c:strCache>
            </c:strRef>
          </c:tx>
          <c:spPr>
            <a:solidFill>
              <a:srgbClr val="993366">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83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[公开决算比对表.xls]Sheet1!$C$4:$D$4</c:f>
              <c:strCache>
                <c:ptCount val="2"/>
                <c:pt idx="0">
                  <c:v>收入</c:v>
                </c:pt>
                <c:pt idx="1">
                  <c:v>支出</c:v>
                </c:pt>
              </c:strCache>
            </c:strRef>
          </c:cat>
          <c:val>
            <c:numRef>
              <c:f>[公开决算比对表.xls]Sheet1!$C$6:$D$6</c:f>
              <c:numCache>
                <c:formatCode>General</c:formatCode>
                <c:ptCount val="2"/>
                <c:pt idx="0">
                  <c:v>379.76</c:v>
                </c:pt>
                <c:pt idx="1">
                  <c:v>379.76</c:v>
                </c:pt>
              </c:numCache>
            </c:numRef>
          </c:val>
        </c:ser>
        <c:dLbls>
          <c:showLegendKey val="0"/>
          <c:showVal val="0"/>
          <c:showCatName val="0"/>
          <c:showSerName val="0"/>
          <c:showPercent val="0"/>
          <c:showBubbleSize val="0"/>
        </c:dLbls>
        <c:gapWidth val="150"/>
        <c:axId val="176493381"/>
        <c:axId val="979431166"/>
      </c:barChart>
      <c:catAx>
        <c:axId val="176493381"/>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3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79431166"/>
        <c:crosses val="autoZero"/>
        <c:auto val="1"/>
        <c:lblAlgn val="ctr"/>
        <c:lblOffset val="100"/>
        <c:noMultiLvlLbl val="0"/>
      </c:catAx>
      <c:valAx>
        <c:axId val="979431166"/>
        <c:scaling>
          <c:orientation val="minMax"/>
        </c:scaling>
        <c:delete val="0"/>
        <c:axPos val="l"/>
        <c:majorGridlines>
          <c:spPr>
            <a:ln w="3175" cap="flat" cmpd="sng" algn="ctr">
              <a:solidFill>
                <a:srgbClr val="000000">
                  <a:alpha val="100000"/>
                </a:srgbClr>
              </a:solidFill>
              <a:prstDash val="solid"/>
              <a:round/>
            </a:ln>
          </c:spPr>
        </c:majorGridlines>
        <c:numFmt formatCode="#,##0.00"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3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76493381"/>
        <c:crosses val="autoZero"/>
        <c:crossBetween val="between"/>
      </c:valAx>
      <c:spPr>
        <a:solidFill>
          <a:srgbClr val="C0C0C0">
            <a:alpha val="100000"/>
          </a:srgbClr>
        </a:solidFill>
        <a:ln w="3175">
          <a:solidFill>
            <a:srgbClr val="808080">
              <a:alpha val="100000"/>
            </a:srgbClr>
          </a:solidFill>
          <a:prstDash val="solid"/>
        </a:ln>
      </c:spPr>
    </c:plotArea>
    <c:legend>
      <c:legendPos val="t"/>
      <c:layout>
        <c:manualLayout>
          <c:xMode val="edge"/>
          <c:yMode val="edge"/>
          <c:x val="0.4415"/>
          <c:y val="0.1315"/>
          <c:w val="0.16575"/>
          <c:h val="0.060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3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e8f82926-0f2e-4c79-be2d-478091214564}"/>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3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2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sz="1025"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141451527567782"/>
          <c:y val="0.0317376355461518"/>
        </c:manualLayout>
      </c:layout>
      <c:overlay val="0"/>
      <c:spPr>
        <a:noFill/>
        <a:ln w="3175">
          <a:noFill/>
        </a:ln>
      </c:spPr>
    </c:title>
    <c:autoTitleDeleted val="0"/>
    <c:plotArea>
      <c:layout>
        <c:manualLayout>
          <c:layoutTarget val="inner"/>
          <c:xMode val="edge"/>
          <c:yMode val="edge"/>
          <c:x val="0.47"/>
          <c:y val="0.19675"/>
          <c:w val="0.3605"/>
          <c:h val="0.706"/>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Lbls>
            <c:dLbl>
              <c:idx val="0"/>
              <c:layout>
                <c:manualLayout>
                  <c:x val="0.0727751594122539"/>
                  <c:y val="-0.015868817773075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395065151095093"/>
                  <c:y val="-0.0039672044432689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0812309398392"/>
                  <c:y val="-0.083311293308648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0812309398392"/>
                  <c:y val="-0.023803226659613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77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[公开决算比对表.xls]Sheet1!$H$4:$K$4</c:f>
              <c:strCache>
                <c:ptCount val="4"/>
                <c:pt idx="0">
                  <c:v>一般公共预算财政拨款收入</c:v>
                </c:pt>
                <c:pt idx="1">
                  <c:v>政府性基金预算财政拨款收入</c:v>
                </c:pt>
                <c:pt idx="2">
                  <c:v>国有资本经营预算财政拨款</c:v>
                </c:pt>
                <c:pt idx="3">
                  <c:v>其他收入</c:v>
                </c:pt>
              </c:strCache>
            </c:strRef>
          </c:cat>
          <c:val>
            <c:numRef>
              <c:f>[公开决算比对表.xls]Sheet1!$H$5:$K$5</c:f>
              <c:numCache>
                <c:formatCode>General</c:formatCode>
                <c:ptCount val="4"/>
                <c:pt idx="0">
                  <c:v>379.76</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0300186443027447"/>
          <c:y val="0.19593493784713"/>
          <c:w val="0.31475"/>
          <c:h val="0.22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7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634b41d-2451-4d49-80b3-ebfba2734a1e}"/>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77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sz="9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68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[公开决算比对表.xls]Sheet1!$N$4:$O$4</c:f>
              <c:strCache>
                <c:ptCount val="2"/>
                <c:pt idx="0">
                  <c:v>基本支出</c:v>
                </c:pt>
                <c:pt idx="1">
                  <c:v>项目支出</c:v>
                </c:pt>
              </c:strCache>
            </c:strRef>
          </c:cat>
          <c:val>
            <c:numRef>
              <c:f>[公开决算比对表.xls]Sheet1!$N$5:$O$5</c:f>
              <c:numCache>
                <c:formatCode>General</c:formatCode>
                <c:ptCount val="2"/>
                <c:pt idx="0">
                  <c:v>324.82</c:v>
                </c:pt>
                <c:pt idx="1">
                  <c:v>54.94</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b"/>
      <c:layout>
        <c:manualLayout>
          <c:xMode val="edge"/>
          <c:yMode val="edge"/>
          <c:x val="0.389"/>
          <c:y val="0.914"/>
          <c:w val="0.22175"/>
          <c:h val="0.066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68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e7e75433-ea8d-4762-9363-91afe3e17997}"/>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68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15"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1015"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[公开决算比对表.xls]Sheet1!$B$28</c:f>
              <c:strCache>
                <c:ptCount val="1"/>
                <c:pt idx="0">
                  <c:v>2023</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[公开决算比对表.xls]Sheet1!$C$27:$D$27</c:f>
              <c:strCache>
                <c:ptCount val="2"/>
                <c:pt idx="0">
                  <c:v>收入</c:v>
                </c:pt>
                <c:pt idx="1">
                  <c:v>支出</c:v>
                </c:pt>
              </c:strCache>
            </c:strRef>
          </c:cat>
          <c:val>
            <c:numRef>
              <c:f>[公开决算比对表.xls]Sheet1!$C$28:$D$28</c:f>
              <c:numCache>
                <c:formatCode>#,##0.00</c:formatCode>
                <c:ptCount val="2"/>
                <c:pt idx="0">
                  <c:v>351.32</c:v>
                </c:pt>
                <c:pt idx="1">
                  <c:v>351.32</c:v>
                </c:pt>
              </c:numCache>
            </c:numRef>
          </c:val>
        </c:ser>
        <c:ser>
          <c:idx val="1"/>
          <c:order val="1"/>
          <c:tx>
            <c:strRef>
              <c:f>[公开决算比对表.xls]Sheet1!$B$29</c:f>
              <c:strCache>
                <c:ptCount val="1"/>
                <c:pt idx="0">
                  <c:v>2024</c:v>
                </c:pt>
              </c:strCache>
            </c:strRef>
          </c:tx>
          <c:spPr>
            <a:solidFill>
              <a:srgbClr val="993366">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[公开决算比对表.xls]Sheet1!$C$27:$D$27</c:f>
              <c:strCache>
                <c:ptCount val="2"/>
                <c:pt idx="0">
                  <c:v>收入</c:v>
                </c:pt>
                <c:pt idx="1">
                  <c:v>支出</c:v>
                </c:pt>
              </c:strCache>
            </c:strRef>
          </c:cat>
          <c:val>
            <c:numRef>
              <c:f>[公开决算比对表.xls]Sheet1!$C$29:$D$29</c:f>
              <c:numCache>
                <c:formatCode>General</c:formatCode>
                <c:ptCount val="2"/>
                <c:pt idx="0">
                  <c:v>379.76</c:v>
                </c:pt>
                <c:pt idx="1">
                  <c:v>379.76</c:v>
                </c:pt>
              </c:numCache>
            </c:numRef>
          </c:val>
        </c:ser>
        <c:dLbls>
          <c:showLegendKey val="0"/>
          <c:showVal val="0"/>
          <c:showCatName val="0"/>
          <c:showSerName val="0"/>
          <c:showPercent val="0"/>
          <c:showBubbleSize val="0"/>
        </c:dLbls>
        <c:gapWidth val="150"/>
        <c:axId val="124855764"/>
        <c:axId val="998723142"/>
      </c:barChart>
      <c:catAx>
        <c:axId val="124855764"/>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98723142"/>
        <c:crosses val="autoZero"/>
        <c:auto val="1"/>
        <c:lblAlgn val="ctr"/>
        <c:lblOffset val="100"/>
        <c:noMultiLvlLbl val="0"/>
      </c:catAx>
      <c:valAx>
        <c:axId val="998723142"/>
        <c:scaling>
          <c:orientation val="minMax"/>
        </c:scaling>
        <c:delete val="0"/>
        <c:axPos val="l"/>
        <c:majorGridlines>
          <c:spPr>
            <a:ln w="3175" cap="flat" cmpd="sng" algn="ctr">
              <a:solidFill>
                <a:srgbClr val="000000">
                  <a:alpha val="100000"/>
                </a:srgbClr>
              </a:solidFill>
              <a:prstDash val="solid"/>
              <a:round/>
            </a:ln>
          </c:spPr>
        </c:majorGridlines>
        <c:numFmt formatCode="#,##0.00"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4855764"/>
        <c:crosses val="autoZero"/>
        <c:crossBetween val="between"/>
      </c:valAx>
      <c:spPr>
        <a:solidFill>
          <a:srgbClr val="C0C0C0">
            <a:alpha val="100000"/>
          </a:srgbClr>
        </a:solidFill>
        <a:ln w="3175">
          <a:solidFill>
            <a:srgbClr val="808080">
              <a:alpha val="100000"/>
            </a:srgbClr>
          </a:solidFill>
          <a:prstDash val="solid"/>
        </a:ln>
      </c:spPr>
    </c:plotArea>
    <c:legend>
      <c:legendPos val="t"/>
      <c:layout>
        <c:manualLayout>
          <c:xMode val="edge"/>
          <c:yMode val="edge"/>
          <c:x val="0.45"/>
          <c:y val="0.133"/>
          <c:w val="0.14225"/>
          <c:h val="0.060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333d073f-c27d-4c01-ad1c-c8c0ea38d0fd}"/>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7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76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sz="76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1"/>
          <c:order val="0"/>
          <c:tx>
            <c:strRef>
              <c:f>"一般公共预算财政拨款支出决算变动情况"</c:f>
              <c:strCache>
                <c:ptCount val="1"/>
                <c:pt idx="0">
                  <c:v>一般公共预算财政拨款支出决算变动情况</c:v>
                </c:pt>
              </c:strCache>
            </c:strRef>
          </c:tx>
          <c:spPr>
            <a:solidFill>
              <a:srgbClr val="993366">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[公开决算比对表.xls]Sheet1!$H$27:$I$27</c:f>
              <c:numCache>
                <c:formatCode>General</c:formatCode>
                <c:ptCount val="2"/>
                <c:pt idx="0">
                  <c:v>2023</c:v>
                </c:pt>
                <c:pt idx="1">
                  <c:v>2024</c:v>
                </c:pt>
              </c:numCache>
            </c:numRef>
          </c:cat>
          <c:val>
            <c:numRef>
              <c:f>[公开决算比对表.xls]Sheet1!$H$28:$I$28</c:f>
              <c:numCache>
                <c:formatCode>#,##0.00</c:formatCode>
                <c:ptCount val="2"/>
                <c:pt idx="0">
                  <c:v>351.32</c:v>
                </c:pt>
                <c:pt idx="1" c:formatCode="General">
                  <c:v>379.76</c:v>
                </c:pt>
              </c:numCache>
            </c:numRef>
          </c:val>
        </c:ser>
        <c:dLbls>
          <c:showLegendKey val="0"/>
          <c:showVal val="0"/>
          <c:showCatName val="0"/>
          <c:showSerName val="0"/>
          <c:showPercent val="0"/>
          <c:showBubbleSize val="0"/>
        </c:dLbls>
        <c:gapWidth val="150"/>
        <c:axId val="252853285"/>
        <c:axId val="12244732"/>
      </c:barChart>
      <c:catAx>
        <c:axId val="252853285"/>
        <c:scaling>
          <c:orientation val="minMax"/>
        </c:scaling>
        <c:delete val="0"/>
        <c:axPos val="b"/>
        <c:numFmt formatCode="General" sourceLinked="0"/>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244732"/>
        <c:crosses val="autoZero"/>
        <c:auto val="1"/>
        <c:lblAlgn val="ctr"/>
        <c:lblOffset val="100"/>
        <c:noMultiLvlLbl val="0"/>
      </c:catAx>
      <c:valAx>
        <c:axId val="12244732"/>
        <c:scaling>
          <c:orientation val="minMax"/>
        </c:scaling>
        <c:delete val="0"/>
        <c:axPos val="l"/>
        <c:majorGridlines>
          <c:spPr>
            <a:ln w="3175" cap="flat" cmpd="sng" algn="ctr">
              <a:solidFill>
                <a:srgbClr val="000000">
                  <a:alpha val="100000"/>
                </a:srgbClr>
              </a:solidFill>
              <a:prstDash val="solid"/>
              <a:round/>
            </a:ln>
          </c:spPr>
        </c:majorGridlines>
        <c:numFmt formatCode="#,##0.00"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7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52853285"/>
        <c:crosses val="autoZero"/>
        <c:crossBetween val="between"/>
      </c:valAx>
      <c:spPr>
        <a:solidFill>
          <a:srgbClr val="C0C0C0">
            <a:alpha val="100000"/>
          </a:srgbClr>
        </a:solidFill>
        <a:ln w="3175">
          <a:solidFill>
            <a:srgbClr val="808080">
              <a:alpha val="100000"/>
            </a:srgbClr>
          </a:solidFill>
          <a:prstDash val="solid"/>
        </a:ln>
      </c:spPr>
    </c:plotArea>
    <c:legend>
      <c:legendPos val="b"/>
      <c:layout>
        <c:manualLayout>
          <c:xMode val="edge"/>
          <c:yMode val="edge"/>
          <c:x val="0.29075"/>
          <c:y val="0.916"/>
          <c:w val="0.46975"/>
          <c:h val="0.066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6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80f1344-7d52-4d9c-9cb6-17ed9429c14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7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0" b="1"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一般公共预算财政拨款支出决算情况</a:t>
            </a:r>
            <a:endParaRPr lang="zh-CN" altLang="en-US" sz="1420" b="1" i="0" u="sng"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24375"/>
          <c:y val="0.29"/>
          <c:w val="0.28825"/>
          <c:h val="0.515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chemeClr val="accent1">
                  <a:lumMod val="20000"/>
                  <a:lumOff val="80000"/>
                </a:schemeClr>
              </a:solidFill>
              <a:ln w="12700">
                <a:solidFill>
                  <a:srgbClr val="000000">
                    <a:alpha val="100000"/>
                  </a:srgbClr>
                </a:solidFill>
                <a:prstDash val="solid"/>
              </a:ln>
            </c:spPr>
          </c:dPt>
          <c:dPt>
            <c:idx val="1"/>
            <c:bubble3D val="0"/>
            <c:spPr>
              <a:solidFill>
                <a:srgbClr val="993366">
                  <a:alpha val="100000"/>
                </a:srgbClr>
              </a:solidFill>
              <a:ln w="19050">
                <a:solidFill>
                  <a:srgbClr val="000000">
                    <a:alpha val="100000"/>
                  </a:srgbClr>
                </a:solidFill>
                <a:prstDash val="solid"/>
              </a:ln>
            </c:spPr>
          </c:dPt>
          <c:dPt>
            <c:idx val="2"/>
            <c:bubble3D val="0"/>
            <c:spPr>
              <a:solidFill>
                <a:srgbClr val="FFFFCC">
                  <a:alpha val="100000"/>
                </a:srgbClr>
              </a:solidFill>
              <a:ln w="19050">
                <a:solidFill>
                  <a:srgbClr val="000000">
                    <a:alpha val="100000"/>
                  </a:srgbClr>
                </a:solidFill>
                <a:prstDash val="solid"/>
              </a:ln>
            </c:spPr>
          </c:dPt>
          <c:dPt>
            <c:idx val="3"/>
            <c:bubble3D val="0"/>
            <c:spPr>
              <a:solidFill>
                <a:srgbClr val="CCFFFF">
                  <a:alpha val="100000"/>
                </a:srgbClr>
              </a:solidFill>
              <a:ln w="19050">
                <a:solidFill>
                  <a:srgbClr val="000000">
                    <a:alpha val="100000"/>
                  </a:srgbClr>
                </a:solidFill>
                <a:prstDash val="solid"/>
              </a:ln>
            </c:spPr>
          </c:dPt>
          <c:dLbls>
            <c:dLbl>
              <c:idx val="0"/>
              <c:layout>
                <c:manualLayout>
                  <c:x val="0.15916193409827"/>
                  <c:y val="-0.0554151273575734"/>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75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814673360384058"/>
                  <c:y val="-0.0206035131812813"/>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75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00573704506644"/>
                  <c:y val="-0.0165273076545401"/>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75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0335746328168933"/>
                  <c:y val="-0.125256232685955"/>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75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06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[公开决算比对表.xls]Sheet1!$N$26:$Q$26</c:f>
              <c:strCache>
                <c:ptCount val="4"/>
                <c:pt idx="0">
                  <c:v>社会保障和就业支出</c:v>
                </c:pt>
                <c:pt idx="1">
                  <c:v>卫生健康支出</c:v>
                </c:pt>
                <c:pt idx="2">
                  <c:v>自然资源海洋气象等支出</c:v>
                </c:pt>
                <c:pt idx="3">
                  <c:v>住房保障支出</c:v>
                </c:pt>
              </c:strCache>
            </c:strRef>
          </c:cat>
          <c:val>
            <c:numRef>
              <c:f>[公开决算比对表.xls]Sheet1!$N$27:$Q$27</c:f>
              <c:numCache>
                <c:formatCode>General</c:formatCode>
                <c:ptCount val="4"/>
                <c:pt idx="0">
                  <c:v>38.14</c:v>
                </c:pt>
                <c:pt idx="1">
                  <c:v>18.38</c:v>
                </c:pt>
                <c:pt idx="2">
                  <c:v>301.1</c:v>
                </c:pt>
                <c:pt idx="3">
                  <c:v>22.14</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12835432574605"/>
          <c:y val="0.398211160801089"/>
          <c:w val="0.25375"/>
          <c:h val="0.444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65" b="0" i="0" u="sng"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0e963219-4322-42f2-bcbb-45e2db47ac22}"/>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065" b="0" i="0" u="sng"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88908450704225"/>
          <c:y val="0.0209053912588328"/>
        </c:manualLayout>
      </c:layout>
      <c:overlay val="0"/>
      <c:spPr>
        <a:noFill/>
        <a:ln w="3175">
          <a:noFill/>
        </a:ln>
      </c:spPr>
      <c:txPr>
        <a:bodyPr rot="0" spcFirstLastPara="0" vertOverflow="ellipsis" vert="horz" wrap="square" anchor="ctr" anchorCtr="1"/>
        <a:lstStyle/>
        <a:p>
          <a:pPr>
            <a:defRPr lang="zh-CN" sz="920"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31975"/>
          <c:y val="0.2935"/>
          <c:w val="0.26575"/>
          <c:h val="0.55975"/>
        </c:manualLayout>
      </c:layout>
      <c:pieChart>
        <c:varyColors val="1"/>
        <c:ser>
          <c:idx val="0"/>
          <c:order val="0"/>
          <c:tx>
            <c:strRef>
              <c:f>"“三公”经费财政拨款支出结构"</c:f>
              <c:strCache>
                <c:ptCount val="1"/>
                <c:pt idx="0">
                  <c:v>“三公”经费财政拨款支出结构</c:v>
                </c:pt>
              </c:strCache>
            </c:strRef>
          </c:tx>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3175">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numFmt formatCode="0%" sourceLinked="0"/>
              <c:spPr>
                <a:noFill/>
                <a:ln w="3175">
                  <a:noFill/>
                </a:ln>
                <a:effectLst/>
              </c:spPr>
              <c:txPr>
                <a:bodyPr rot="0" spcFirstLastPara="0" vertOverflow="ellipsis" vert="horz" wrap="square" lIns="38100" tIns="19050" rIns="38100" bIns="19050" anchor="ctr" anchorCtr="1"/>
                <a:lstStyle/>
                <a:p>
                  <a:pPr>
                    <a:defRPr lang="zh-CN" sz="530"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1"/>
              <c:showBubbleSize val="0"/>
              <c:extLst>
                <c:ext xmlns:c15="http://schemas.microsoft.com/office/drawing/2012/chart" uri="{CE6537A1-D6FC-4f65-9D91-7224C49458BB}"/>
              </c:extLst>
            </c:dLbl>
            <c:dLbl>
              <c:idx val="1"/>
              <c:layout/>
              <c:numFmt formatCode="0%" sourceLinked="0"/>
              <c:spPr>
                <a:noFill/>
                <a:ln w="3175">
                  <a:noFill/>
                </a:ln>
                <a:effectLst/>
              </c:spPr>
              <c:txPr>
                <a:bodyPr rot="0" spcFirstLastPara="0" vertOverflow="ellipsis" vert="horz" wrap="square" lIns="38100" tIns="19050" rIns="38100" bIns="19050" anchor="ctr" anchorCtr="1"/>
                <a:lstStyle/>
                <a:p>
                  <a:pPr>
                    <a:defRPr lang="zh-CN" sz="530"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1"/>
              <c:showBubbleSize val="0"/>
              <c:extLst>
                <c:ext xmlns:c15="http://schemas.microsoft.com/office/drawing/2012/chart" uri="{CE6537A1-D6FC-4f65-9D91-7224C49458BB}"/>
              </c:extLst>
            </c:dLbl>
            <c:dLbl>
              <c:idx val="2"/>
              <c:layout/>
              <c:numFmt formatCode="0%" sourceLinked="0"/>
              <c:spPr>
                <a:noFill/>
                <a:ln w="3175">
                  <a:noFill/>
                </a:ln>
                <a:effectLst/>
              </c:spPr>
              <c:txPr>
                <a:bodyPr rot="0" spcFirstLastPara="0" vertOverflow="ellipsis" vert="horz" wrap="square" lIns="38100" tIns="19050" rIns="38100" bIns="19050" anchor="ctr" anchorCtr="1"/>
                <a:lstStyle/>
                <a:p>
                  <a:pPr>
                    <a:defRPr lang="zh-CN" sz="530"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1"/>
              <c:showBubbleSize val="0"/>
              <c:extLst>
                <c:ext xmlns:c15="http://schemas.microsoft.com/office/drawing/2012/chart" uri="{CE6537A1-D6FC-4f65-9D91-7224C49458BB}"/>
              </c:extLst>
            </c:dLbl>
            <c:numFmt formatCode="0%" sourceLinked="0"/>
            <c:spPr>
              <a:noFill/>
              <a:ln w="3175">
                <a:noFill/>
              </a:ln>
              <a:effectLst/>
            </c:spPr>
            <c:txPr>
              <a:bodyPr rot="0" spcFirstLastPara="0" vertOverflow="ellipsis" vert="horz" wrap="square" lIns="38100" tIns="19050" rIns="38100" bIns="19050" anchor="ctr" anchorCtr="1"/>
              <a:lstStyle/>
              <a:p>
                <a:pPr>
                  <a:defRPr lang="zh-CN" sz="695"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1"/>
            <c:showVal val="1"/>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[公开决算比对表.xls]Sheet1!$B$49:$D$49</c:f>
              <c:strCache>
                <c:ptCount val="3"/>
                <c:pt idx="0">
                  <c:v>因公出国（境）费支出决算</c:v>
                </c:pt>
                <c:pt idx="1">
                  <c:v>公务用车购置及运行维护费支出决算</c:v>
                </c:pt>
                <c:pt idx="2">
                  <c:v>公务接待费支出决算</c:v>
                </c:pt>
              </c:strCache>
            </c:strRef>
          </c:cat>
          <c:val>
            <c:numRef>
              <c:f>[公开决算比对表.xls]Sheet1!$B$50:$D$50</c:f>
              <c:numCache>
                <c:formatCode>General</c:formatCode>
                <c:ptCount val="3"/>
                <c:pt idx="0">
                  <c:v>0</c:v>
                </c:pt>
                <c:pt idx="1">
                  <c:v>0.88</c:v>
                </c:pt>
                <c:pt idx="2">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73"/>
          <c:y val="0.3825"/>
          <c:w val="0.31175"/>
          <c:h val="0.308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695" b="0" i="1"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2c063f68-c51d-44af-9e1f-d011750c421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695" b="0" i="1"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755</Words>
  <Characters>790</Characters>
  <Lines>193</Lines>
  <Paragraphs>142</Paragraphs>
  <TotalTime>9</TotalTime>
  <ScaleCrop>false</ScaleCrop>
  <LinksUpToDate>false</LinksUpToDate>
  <CharactersWithSpaces>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2024-09-14T09:42:00Z</dcterms:created>
  <dc:creator>曹颖</dc:creator>
  <cp:lastModifiedBy>leelyeel</cp:lastModifiedBy>
  <cp:lastPrinted>2023-08-04T02:35:00Z</cp:lastPrinted>
  <dcterms:modified xsi:type="dcterms:W3CDTF">2025-09-12T00:25:46Z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eyJoZGlkIjoiYjIzN2QyMWFmODZmNTg4YTI0NmUxYTE4YzFiMTY0NGUiLCJ1c2VySWQiOiI4NzkyNzA0NjIifQ==</vt:lpwstr>
  </property>
  <property fmtid="{D5CDD505-2E9C-101B-9397-08002B2CF9AE}" pid="4" name="ICV">
    <vt:lpwstr>94ECEADEED0D4A4E8FC16CB1E5092037_12</vt:lpwstr>
  </property>
</Properties>
</file>