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44FA8">
      <w:pPr>
        <w:pStyle w:val="2"/>
        <w:spacing w:before="93" w:beforeLines="0"/>
        <w:rPr>
          <w:rFonts w:ascii="Times New Roman" w:hAnsi="Times New Roman" w:eastAsia="方正小标宋简体"/>
          <w:kern w:val="2"/>
          <w:sz w:val="72"/>
          <w:szCs w:val="72"/>
        </w:rPr>
      </w:pPr>
      <w:bookmarkStart w:id="0" w:name="_Toc15377193"/>
      <w:bookmarkStart w:id="1" w:name="_Toc15377425"/>
      <w:bookmarkStart w:id="2" w:name="_Toc15378441"/>
      <w:bookmarkStart w:id="3" w:name="_Toc15396597"/>
      <w:bookmarkStart w:id="4" w:name="_Toc15396475"/>
      <w:bookmarkStart w:id="5" w:name="_Toc15306267"/>
    </w:p>
    <w:p w14:paraId="54143F5B">
      <w:pPr>
        <w:pStyle w:val="2"/>
        <w:spacing w:before="93" w:beforeLines="0"/>
        <w:rPr>
          <w:rFonts w:ascii="Times New Roman" w:hAnsi="Times New Roman" w:eastAsia="方正小标宋简体"/>
          <w:kern w:val="2"/>
          <w:sz w:val="72"/>
          <w:szCs w:val="72"/>
        </w:rPr>
      </w:pPr>
    </w:p>
    <w:p w14:paraId="3935D4B5">
      <w:pPr>
        <w:pStyle w:val="2"/>
        <w:spacing w:before="93" w:beforeLines="0"/>
        <w:rPr>
          <w:rFonts w:ascii="Times New Roman" w:hAnsi="Times New Roman" w:eastAsia="方正小标宋简体"/>
          <w:kern w:val="2"/>
          <w:sz w:val="72"/>
          <w:szCs w:val="72"/>
        </w:rPr>
      </w:pPr>
    </w:p>
    <w:p w14:paraId="20D65112">
      <w:pPr>
        <w:pStyle w:val="2"/>
        <w:spacing w:before="93" w:beforeLines="0"/>
        <w:jc w:val="center"/>
        <w:rPr>
          <w:rFonts w:ascii="Times New Roman" w:hAnsi="Times New Roman" w:eastAsia="方正小标宋简体"/>
          <w:kern w:val="2"/>
          <w:sz w:val="44"/>
          <w:szCs w:val="44"/>
        </w:rPr>
      </w:pPr>
      <w:r>
        <w:rPr>
          <w:rFonts w:hint="eastAsia" w:ascii="Times New Roman" w:hAnsi="Times New Roman" w:eastAsia="方正小标宋简体"/>
          <w:kern w:val="2"/>
          <w:sz w:val="44"/>
          <w:szCs w:val="44"/>
        </w:rPr>
        <w:t>2024年度四川省攀枝花市地理信息中心</w:t>
      </w:r>
    </w:p>
    <w:p w14:paraId="6A5C7DF4">
      <w:pPr>
        <w:pStyle w:val="2"/>
        <w:spacing w:before="93" w:beforeLines="0"/>
        <w:jc w:val="center"/>
        <w:rPr>
          <w:rFonts w:ascii="Times New Roman" w:hAnsi="Times New Roman" w:eastAsia="方正小标宋简体"/>
          <w:kern w:val="2"/>
          <w:sz w:val="44"/>
          <w:szCs w:val="44"/>
        </w:rPr>
      </w:pPr>
      <w:r>
        <w:rPr>
          <w:rFonts w:hint="eastAsia" w:ascii="Times New Roman" w:hAnsi="Times New Roman" w:eastAsia="方正小标宋简体"/>
          <w:kern w:val="2"/>
          <w:sz w:val="44"/>
          <w:szCs w:val="44"/>
        </w:rPr>
        <w:t>决算公开文字说明</w:t>
      </w:r>
    </w:p>
    <w:p w14:paraId="0D2874EB">
      <w:pPr>
        <w:spacing w:line="600" w:lineRule="exact"/>
        <w:jc w:val="center"/>
        <w:outlineLvl w:val="0"/>
        <w:rPr>
          <w:rFonts w:eastAsia="方正小标宋简体"/>
          <w:sz w:val="72"/>
          <w:szCs w:val="72"/>
        </w:rPr>
      </w:pPr>
    </w:p>
    <w:p w14:paraId="579F0EF7">
      <w:pPr>
        <w:pStyle w:val="21"/>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720" w:num="1"/>
          <w:titlePg/>
          <w:docGrid w:type="lines" w:linePitch="312" w:charSpace="0"/>
        </w:sectPr>
      </w:pPr>
    </w:p>
    <w:p w14:paraId="5371247A"/>
    <w:p w14:paraId="5402C349">
      <w:pPr>
        <w:pStyle w:val="2"/>
        <w:spacing w:before="93" w:beforeLines="0"/>
        <w:jc w:val="center"/>
        <w:rPr>
          <w:rFonts w:ascii="Times New Roman" w:hAnsi="Times New Roman" w:eastAsia="方正小标宋简体"/>
          <w:kern w:val="2"/>
          <w:sz w:val="44"/>
          <w:szCs w:val="44"/>
        </w:rPr>
      </w:pPr>
    </w:p>
    <w:p w14:paraId="7E5DB72F">
      <w:pPr>
        <w:pStyle w:val="2"/>
        <w:spacing w:before="93" w:beforeLines="0"/>
        <w:jc w:val="center"/>
        <w:rPr>
          <w:rFonts w:ascii="Times New Roman" w:hAnsi="Times New Roman" w:eastAsia="方正小标宋简体"/>
          <w:kern w:val="2"/>
          <w:sz w:val="44"/>
          <w:szCs w:val="44"/>
        </w:rPr>
      </w:pPr>
    </w:p>
    <w:p w14:paraId="2E18163C">
      <w:pPr>
        <w:pStyle w:val="2"/>
        <w:spacing w:before="93" w:beforeLines="0"/>
        <w:jc w:val="center"/>
        <w:rPr>
          <w:rFonts w:ascii="Times New Roman" w:hAnsi="Times New Roman" w:eastAsia="方正小标宋简体"/>
          <w:kern w:val="2"/>
          <w:sz w:val="44"/>
          <w:szCs w:val="44"/>
        </w:rPr>
      </w:pPr>
    </w:p>
    <w:p w14:paraId="01DEB7BB">
      <w:pPr>
        <w:pStyle w:val="2"/>
        <w:spacing w:before="93" w:beforeLines="0"/>
        <w:jc w:val="center"/>
        <w:rPr>
          <w:rFonts w:ascii="Times New Roman" w:hAnsi="Times New Roman" w:eastAsia="方正小标宋简体"/>
          <w:kern w:val="2"/>
          <w:sz w:val="44"/>
          <w:szCs w:val="44"/>
        </w:rPr>
      </w:pPr>
    </w:p>
    <w:bookmarkEnd w:id="0"/>
    <w:bookmarkEnd w:id="1"/>
    <w:bookmarkEnd w:id="2"/>
    <w:bookmarkEnd w:id="3"/>
    <w:bookmarkEnd w:id="4"/>
    <w:p w14:paraId="79BE7FB1">
      <w:pPr>
        <w:pStyle w:val="2"/>
        <w:spacing w:before="93" w:beforeLines="0"/>
        <w:jc w:val="center"/>
        <w:rPr>
          <w:rFonts w:ascii="Times New Roman" w:hAnsi="Times New Roman" w:eastAsia="方正小标宋简体"/>
          <w:kern w:val="2"/>
          <w:sz w:val="44"/>
          <w:szCs w:val="44"/>
        </w:rPr>
      </w:pPr>
      <w:bookmarkStart w:id="6" w:name="_Toc15378442"/>
      <w:bookmarkStart w:id="7" w:name="_Toc15396476"/>
      <w:bookmarkStart w:id="8" w:name="_Toc15377194"/>
      <w:bookmarkStart w:id="9" w:name="_Toc15396598"/>
      <w:bookmarkStart w:id="10" w:name="_Toc15377426"/>
      <w:r>
        <w:rPr>
          <w:rFonts w:hint="eastAsia" w:ascii="Times New Roman" w:hAnsi="Times New Roman" w:eastAsia="方正小标宋简体"/>
          <w:kern w:val="2"/>
          <w:sz w:val="44"/>
          <w:szCs w:val="44"/>
        </w:rPr>
        <w:t>2024年度四川省</w:t>
      </w:r>
      <w:bookmarkEnd w:id="5"/>
      <w:bookmarkStart w:id="11" w:name="_Toc15306268"/>
      <w:r>
        <w:rPr>
          <w:rFonts w:hint="eastAsia" w:ascii="Times New Roman" w:hAnsi="Times New Roman" w:eastAsia="方正小标宋简体"/>
          <w:kern w:val="2"/>
          <w:sz w:val="44"/>
          <w:szCs w:val="44"/>
        </w:rPr>
        <w:t>攀枝花市地理信息中心</w:t>
      </w:r>
    </w:p>
    <w:p w14:paraId="6B212C0A">
      <w:pPr>
        <w:pStyle w:val="2"/>
        <w:spacing w:before="93" w:beforeLines="0"/>
        <w:jc w:val="center"/>
        <w:rPr>
          <w:rFonts w:ascii="Times New Roman" w:hAnsi="Times New Roman" w:eastAsia="方正小标宋简体"/>
          <w:kern w:val="2"/>
          <w:sz w:val="44"/>
          <w:szCs w:val="44"/>
        </w:rPr>
      </w:pPr>
      <w:r>
        <w:rPr>
          <w:rFonts w:hint="eastAsia" w:ascii="Times New Roman" w:hAnsi="Times New Roman" w:eastAsia="方正小标宋简体"/>
          <w:kern w:val="2"/>
          <w:sz w:val="44"/>
          <w:szCs w:val="44"/>
        </w:rPr>
        <w:t>单位决算</w:t>
      </w:r>
      <w:bookmarkEnd w:id="6"/>
      <w:bookmarkEnd w:id="7"/>
      <w:bookmarkEnd w:id="8"/>
      <w:bookmarkEnd w:id="9"/>
      <w:bookmarkEnd w:id="10"/>
      <w:bookmarkEnd w:id="11"/>
    </w:p>
    <w:p w14:paraId="199582F7"/>
    <w:p w14:paraId="1E40BDBA">
      <w:pPr>
        <w:widowControl/>
        <w:spacing w:line="560" w:lineRule="exact"/>
        <w:jc w:val="left"/>
        <w:rPr>
          <w:rFonts w:eastAsia="仿宋_GB2312" w:cs="仿宋_GB2312"/>
          <w:b/>
          <w:sz w:val="32"/>
          <w:szCs w:val="32"/>
        </w:rPr>
      </w:pPr>
      <w:bookmarkStart w:id="12" w:name="_Toc15377196"/>
      <w:bookmarkStart w:id="13" w:name="_Toc15396599"/>
      <w:r>
        <w:rPr>
          <w:rFonts w:hint="eastAsia" w:eastAsia="仿宋_GB2312" w:cs="仿宋_GB2312"/>
          <w:b/>
          <w:sz w:val="32"/>
          <w:szCs w:val="32"/>
        </w:rPr>
        <w:br w:type="page"/>
      </w:r>
    </w:p>
    <w:sdt>
      <w:sdtPr>
        <w:rPr>
          <w:rFonts w:ascii="Times New Roman" w:hAnsi="Times New Roman" w:eastAsia="宋体" w:cs="Times New Roman"/>
          <w:b w:val="0"/>
          <w:bCs w:val="0"/>
          <w:color w:val="auto"/>
          <w:kern w:val="2"/>
          <w:sz w:val="21"/>
          <w:szCs w:val="24"/>
          <w:lang w:val="zh-CN"/>
        </w:rPr>
        <w:id w:val="2120745852"/>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14:paraId="44E61B83">
          <w:pPr>
            <w:pStyle w:val="30"/>
            <w:jc w:val="center"/>
            <w:rPr>
              <w:rFonts w:ascii="黑体" w:eastAsia="黑体"/>
              <w:color w:val="auto"/>
              <w:sz w:val="48"/>
              <w:szCs w:val="48"/>
              <w:lang w:val="zh-CN"/>
            </w:rPr>
          </w:pPr>
          <w:r>
            <w:rPr>
              <w:rFonts w:hint="eastAsia" w:ascii="黑体" w:eastAsia="黑体"/>
              <w:color w:val="auto"/>
              <w:sz w:val="48"/>
              <w:szCs w:val="48"/>
              <w:lang w:val="zh-CN"/>
            </w:rPr>
            <w:t>目录</w:t>
          </w:r>
        </w:p>
        <w:p w14:paraId="280FB837">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eastAsia="仿宋_GB2312" w:cs="仿宋_GB2312"/>
              <w:sz w:val="32"/>
              <w:szCs w:val="32"/>
              <w:lang w:val="en-US" w:eastAsia="zh-CN"/>
            </w:rPr>
            <w:t>5</w:t>
          </w:r>
          <w:r>
            <w:rPr>
              <w:rFonts w:hint="eastAsia" w:ascii="Times New Roman" w:hAnsi="Times New Roman" w:eastAsia="仿宋_GB2312" w:cs="仿宋_GB2312"/>
              <w:sz w:val="32"/>
              <w:szCs w:val="32"/>
            </w:rPr>
            <w:t xml:space="preserve">年 </w:t>
          </w:r>
          <w:r>
            <w:rPr>
              <w:rFonts w:hint="eastAsia" w:ascii="Times New Roman" w:eastAsia="仿宋_GB2312" w:cs="仿宋_GB2312"/>
              <w:sz w:val="32"/>
              <w:szCs w:val="32"/>
              <w:lang w:val="en-US" w:eastAsia="zh-CN"/>
            </w:rPr>
            <w:t>9</w:t>
          </w:r>
          <w:r>
            <w:rPr>
              <w:rFonts w:hint="eastAsia" w:ascii="Times New Roman" w:hAnsi="Times New Roman" w:eastAsia="仿宋_GB2312" w:cs="仿宋_GB2312"/>
              <w:sz w:val="32"/>
              <w:szCs w:val="32"/>
            </w:rPr>
            <w:t xml:space="preserve"> 月</w:t>
          </w:r>
          <w:r>
            <w:rPr>
              <w:rFonts w:hint="eastAsia" w:ascii="Times New Roman" w:eastAsia="仿宋_GB2312" w:cs="仿宋_GB2312"/>
              <w:sz w:val="32"/>
              <w:szCs w:val="32"/>
              <w:lang w:val="en-US" w:eastAsia="zh-CN"/>
            </w:rPr>
            <w:t>12</w:t>
          </w:r>
          <w:r>
            <w:rPr>
              <w:rFonts w:hint="eastAsia" w:ascii="Times New Roman" w:hAnsi="Times New Roman" w:eastAsia="仿宋_GB2312" w:cs="仿宋_GB2312"/>
              <w:sz w:val="32"/>
              <w:szCs w:val="32"/>
            </w:rPr>
            <w:t>日</w:t>
          </w:r>
        </w:p>
        <w:p w14:paraId="40D1208E">
          <w:pPr>
            <w:rPr>
              <w:lang w:val="zh-CN"/>
            </w:rPr>
          </w:pPr>
        </w:p>
        <w:p w14:paraId="7A53A9BF">
          <w:pPr>
            <w:pStyle w:val="13"/>
            <w:rPr>
              <w:lang w:val="zh-CN"/>
            </w:rPr>
          </w:pPr>
        </w:p>
        <w:p w14:paraId="036CED7C">
          <w:pPr>
            <w:pStyle w:val="8"/>
            <w:rPr>
              <w:lang w:val="zh-CN"/>
            </w:rPr>
          </w:pPr>
        </w:p>
        <w:p w14:paraId="6CD8E969">
          <w:pPr>
            <w:pStyle w:val="12"/>
            <w:rPr>
              <w:rFonts w:cs="Arial"/>
              <w:sz w:val="32"/>
              <w:szCs w:val="32"/>
            </w:rPr>
          </w:pPr>
          <w:r>
            <w:fldChar w:fldCharType="begin"/>
          </w:r>
          <w:r>
            <w:instrText xml:space="preserve"> TOC \o "1-3" \h \z \u </w:instrText>
          </w:r>
          <w:r>
            <w:fldChar w:fldCharType="separate"/>
          </w:r>
          <w:r>
            <w:fldChar w:fldCharType="begin"/>
          </w:r>
          <w:r>
            <w:instrText xml:space="preserve">Hyperlink \l "_Toc208217880"</w:instrText>
          </w:r>
          <w:r>
            <w:fldChar w:fldCharType="separate"/>
          </w:r>
          <w:r>
            <w:rPr>
              <w:rFonts w:hint="eastAsia" w:ascii="黑体" w:eastAsia="黑体" w:cs="方正小标宋简体"/>
              <w:sz w:val="32"/>
              <w:szCs w:val="32"/>
            </w:rPr>
            <w:t>第一部分  部门概况</w:t>
          </w:r>
          <w:r>
            <w:rPr>
              <w:sz w:val="32"/>
              <w:szCs w:val="32"/>
            </w:rPr>
            <w:tab/>
          </w:r>
          <w:r>
            <w:rPr>
              <w:sz w:val="32"/>
              <w:szCs w:val="32"/>
            </w:rPr>
            <w:fldChar w:fldCharType="begin"/>
          </w:r>
          <w:r>
            <w:rPr>
              <w:sz w:val="32"/>
              <w:szCs w:val="32"/>
            </w:rPr>
            <w:instrText xml:space="preserve"> PAGEREF _Toc208217880 \h </w:instrText>
          </w:r>
          <w:r>
            <w:rPr>
              <w:sz w:val="32"/>
              <w:szCs w:val="32"/>
            </w:rPr>
            <w:fldChar w:fldCharType="separate"/>
          </w:r>
          <w:r>
            <w:rPr>
              <w:sz w:val="32"/>
              <w:szCs w:val="32"/>
            </w:rPr>
            <w:t>- 4 -</w:t>
          </w:r>
          <w:r>
            <w:rPr>
              <w:sz w:val="32"/>
              <w:szCs w:val="32"/>
            </w:rPr>
            <w:fldChar w:fldCharType="end"/>
          </w:r>
          <w:r>
            <w:fldChar w:fldCharType="end"/>
          </w:r>
        </w:p>
        <w:p w14:paraId="069D8A46">
          <w:pPr>
            <w:pStyle w:val="14"/>
            <w:rPr>
              <w:rFonts w:ascii="仿宋" w:eastAsia="仿宋" w:cs="Arial"/>
              <w:sz w:val="32"/>
              <w:szCs w:val="32"/>
            </w:rPr>
          </w:pPr>
          <w:r>
            <w:fldChar w:fldCharType="begin"/>
          </w:r>
          <w:r>
            <w:instrText xml:space="preserve">Hyperlink \l "_Toc208217881"</w:instrText>
          </w:r>
          <w:r>
            <w:fldChar w:fldCharType="separate"/>
          </w:r>
          <w:r>
            <w:rPr>
              <w:rFonts w:hint="eastAsia" w:ascii="仿宋" w:eastAsia="仿宋"/>
              <w:sz w:val="32"/>
              <w:szCs w:val="32"/>
            </w:rPr>
            <w:t>一、部门职责</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_Toc208217881 \h </w:instrText>
          </w:r>
          <w:r>
            <w:rPr>
              <w:rFonts w:ascii="仿宋" w:eastAsia="仿宋"/>
              <w:sz w:val="32"/>
              <w:szCs w:val="32"/>
            </w:rPr>
            <w:fldChar w:fldCharType="separate"/>
          </w:r>
          <w:r>
            <w:rPr>
              <w:rFonts w:ascii="仿宋" w:eastAsia="仿宋"/>
              <w:sz w:val="32"/>
              <w:szCs w:val="32"/>
            </w:rPr>
            <w:t>- 4 -</w:t>
          </w:r>
          <w:r>
            <w:rPr>
              <w:rFonts w:ascii="仿宋" w:eastAsia="仿宋"/>
              <w:sz w:val="32"/>
              <w:szCs w:val="32"/>
            </w:rPr>
            <w:fldChar w:fldCharType="end"/>
          </w:r>
          <w:r>
            <w:fldChar w:fldCharType="end"/>
          </w:r>
        </w:p>
        <w:p w14:paraId="3148417C">
          <w:pPr>
            <w:pStyle w:val="14"/>
            <w:rPr>
              <w:rFonts w:ascii="仿宋" w:eastAsia="仿宋" w:cs="Arial"/>
              <w:sz w:val="32"/>
              <w:szCs w:val="32"/>
            </w:rPr>
          </w:pPr>
          <w:r>
            <w:fldChar w:fldCharType="begin"/>
          </w:r>
          <w:r>
            <w:instrText xml:space="preserve">Hyperlink \l "_Toc208217882"</w:instrText>
          </w:r>
          <w:r>
            <w:fldChar w:fldCharType="separate"/>
          </w:r>
          <w:r>
            <w:rPr>
              <w:rFonts w:hint="eastAsia" w:ascii="仿宋" w:eastAsia="仿宋"/>
              <w:sz w:val="32"/>
              <w:szCs w:val="32"/>
            </w:rPr>
            <w:t>二、机构设置</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_Toc208217882 \h </w:instrText>
          </w:r>
          <w:r>
            <w:rPr>
              <w:rFonts w:ascii="仿宋" w:eastAsia="仿宋"/>
              <w:sz w:val="32"/>
              <w:szCs w:val="32"/>
            </w:rPr>
            <w:fldChar w:fldCharType="separate"/>
          </w:r>
          <w:r>
            <w:rPr>
              <w:rFonts w:ascii="仿宋" w:eastAsia="仿宋"/>
              <w:sz w:val="32"/>
              <w:szCs w:val="32"/>
            </w:rPr>
            <w:t>- 4 -</w:t>
          </w:r>
          <w:r>
            <w:rPr>
              <w:rFonts w:ascii="仿宋" w:eastAsia="仿宋"/>
              <w:sz w:val="32"/>
              <w:szCs w:val="32"/>
            </w:rPr>
            <w:fldChar w:fldCharType="end"/>
          </w:r>
          <w:r>
            <w:fldChar w:fldCharType="end"/>
          </w:r>
        </w:p>
        <w:p w14:paraId="3C15BFC8">
          <w:pPr>
            <w:pStyle w:val="12"/>
            <w:rPr>
              <w:rFonts w:cs="Arial"/>
              <w:sz w:val="32"/>
              <w:szCs w:val="32"/>
            </w:rPr>
          </w:pPr>
          <w:r>
            <w:fldChar w:fldCharType="begin"/>
          </w:r>
          <w:r>
            <w:instrText xml:space="preserve">Hyperlink \l "_Toc208217883"</w:instrText>
          </w:r>
          <w:r>
            <w:fldChar w:fldCharType="separate"/>
          </w:r>
          <w:r>
            <w:rPr>
              <w:rFonts w:hint="eastAsia" w:ascii="黑体" w:eastAsia="黑体" w:cs="方正小标宋简体"/>
              <w:sz w:val="32"/>
              <w:szCs w:val="32"/>
            </w:rPr>
            <w:t>第二部分  2024年度部门决算情况说明</w:t>
          </w:r>
          <w:r>
            <w:rPr>
              <w:sz w:val="32"/>
              <w:szCs w:val="32"/>
            </w:rPr>
            <w:tab/>
          </w:r>
          <w:r>
            <w:rPr>
              <w:sz w:val="32"/>
              <w:szCs w:val="32"/>
            </w:rPr>
            <w:fldChar w:fldCharType="begin"/>
          </w:r>
          <w:r>
            <w:rPr>
              <w:sz w:val="32"/>
              <w:szCs w:val="32"/>
            </w:rPr>
            <w:instrText xml:space="preserve"> PAGEREF _Toc208217883 \h </w:instrText>
          </w:r>
          <w:r>
            <w:rPr>
              <w:sz w:val="32"/>
              <w:szCs w:val="32"/>
            </w:rPr>
            <w:fldChar w:fldCharType="separate"/>
          </w:r>
          <w:r>
            <w:rPr>
              <w:sz w:val="32"/>
              <w:szCs w:val="32"/>
            </w:rPr>
            <w:t>- 5 -</w:t>
          </w:r>
          <w:r>
            <w:rPr>
              <w:sz w:val="32"/>
              <w:szCs w:val="32"/>
            </w:rPr>
            <w:fldChar w:fldCharType="end"/>
          </w:r>
          <w:r>
            <w:fldChar w:fldCharType="end"/>
          </w:r>
        </w:p>
        <w:p w14:paraId="066E2C65">
          <w:pPr>
            <w:pStyle w:val="14"/>
            <w:rPr>
              <w:rFonts w:ascii="仿宋" w:eastAsia="仿宋" w:cs="Arial"/>
              <w:sz w:val="32"/>
              <w:szCs w:val="32"/>
            </w:rPr>
          </w:pPr>
          <w:r>
            <w:fldChar w:fldCharType="begin"/>
          </w:r>
          <w:r>
            <w:instrText xml:space="preserve">Hyperlink \l "_Toc208217884"</w:instrText>
          </w:r>
          <w:r>
            <w:fldChar w:fldCharType="separate"/>
          </w:r>
          <w:r>
            <w:rPr>
              <w:rFonts w:hint="eastAsia" w:ascii="仿宋" w:eastAsia="仿宋"/>
              <w:sz w:val="32"/>
              <w:szCs w:val="32"/>
            </w:rPr>
            <w:t>一、收</w:t>
          </w:r>
          <w:r>
            <w:rPr>
              <w:rFonts w:hint="eastAsia" w:ascii="仿宋" w:eastAsia="仿宋" w:cs="Times New Roman"/>
              <w:bCs/>
              <w:sz w:val="32"/>
              <w:szCs w:val="32"/>
            </w:rPr>
            <w:t>入支出决算总体情况说明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_Toc208217884 \h </w:instrText>
          </w:r>
          <w:r>
            <w:rPr>
              <w:rFonts w:ascii="仿宋" w:eastAsia="仿宋"/>
              <w:sz w:val="32"/>
              <w:szCs w:val="32"/>
            </w:rPr>
            <w:fldChar w:fldCharType="separate"/>
          </w:r>
          <w:r>
            <w:rPr>
              <w:rFonts w:ascii="仿宋" w:eastAsia="仿宋"/>
              <w:sz w:val="32"/>
              <w:szCs w:val="32"/>
            </w:rPr>
            <w:t>- 5 -</w:t>
          </w:r>
          <w:r>
            <w:rPr>
              <w:rFonts w:ascii="仿宋" w:eastAsia="仿宋"/>
              <w:sz w:val="32"/>
              <w:szCs w:val="32"/>
            </w:rPr>
            <w:fldChar w:fldCharType="end"/>
          </w:r>
          <w:r>
            <w:fldChar w:fldCharType="end"/>
          </w:r>
        </w:p>
        <w:p w14:paraId="39C379F3">
          <w:pPr>
            <w:pStyle w:val="14"/>
            <w:rPr>
              <w:rFonts w:ascii="仿宋" w:eastAsia="仿宋" w:cs="Arial"/>
              <w:sz w:val="32"/>
              <w:szCs w:val="32"/>
            </w:rPr>
          </w:pPr>
          <w:r>
            <w:fldChar w:fldCharType="begin"/>
          </w:r>
          <w:r>
            <w:instrText xml:space="preserve">Hyperlink \l "_Toc208217885"</w:instrText>
          </w:r>
          <w:r>
            <w:fldChar w:fldCharType="separate"/>
          </w:r>
          <w:r>
            <w:rPr>
              <w:rFonts w:hint="eastAsia" w:ascii="仿宋" w:eastAsia="仿宋"/>
              <w:sz w:val="32"/>
              <w:szCs w:val="32"/>
            </w:rPr>
            <w:t>二、收入决算情况说明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_Toc208217885 \h </w:instrText>
          </w:r>
          <w:r>
            <w:rPr>
              <w:rFonts w:ascii="仿宋" w:eastAsia="仿宋"/>
              <w:sz w:val="32"/>
              <w:szCs w:val="32"/>
            </w:rPr>
            <w:fldChar w:fldCharType="separate"/>
          </w:r>
          <w:r>
            <w:rPr>
              <w:rFonts w:ascii="仿宋" w:eastAsia="仿宋"/>
              <w:sz w:val="32"/>
              <w:szCs w:val="32"/>
            </w:rPr>
            <w:t>- 5 -</w:t>
          </w:r>
          <w:r>
            <w:rPr>
              <w:rFonts w:ascii="仿宋" w:eastAsia="仿宋"/>
              <w:sz w:val="32"/>
              <w:szCs w:val="32"/>
            </w:rPr>
            <w:fldChar w:fldCharType="end"/>
          </w:r>
          <w:r>
            <w:fldChar w:fldCharType="end"/>
          </w:r>
        </w:p>
        <w:p w14:paraId="5D46A6A6">
          <w:pPr>
            <w:pStyle w:val="14"/>
            <w:rPr>
              <w:rFonts w:ascii="仿宋" w:eastAsia="仿宋" w:cs="Arial"/>
              <w:sz w:val="32"/>
              <w:szCs w:val="32"/>
            </w:rPr>
          </w:pPr>
          <w:r>
            <w:fldChar w:fldCharType="begin"/>
          </w:r>
          <w:r>
            <w:instrText xml:space="preserve">Hyperlink \l "_Toc208217886"</w:instrText>
          </w:r>
          <w:r>
            <w:fldChar w:fldCharType="separate"/>
          </w:r>
          <w:r>
            <w:rPr>
              <w:rFonts w:hint="eastAsia" w:ascii="仿宋" w:eastAsia="仿宋"/>
              <w:sz w:val="32"/>
              <w:szCs w:val="32"/>
            </w:rPr>
            <w:t>三、支</w:t>
          </w:r>
          <w:r>
            <w:rPr>
              <w:rFonts w:hint="eastAsia" w:ascii="仿宋" w:eastAsia="仿宋" w:cs="Times New Roman"/>
              <w:bCs/>
              <w:sz w:val="32"/>
              <w:szCs w:val="32"/>
            </w:rPr>
            <w:t>出决算情况说明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_Toc208217886 \h </w:instrText>
          </w:r>
          <w:r>
            <w:rPr>
              <w:rFonts w:ascii="仿宋" w:eastAsia="仿宋"/>
              <w:sz w:val="32"/>
              <w:szCs w:val="32"/>
            </w:rPr>
            <w:fldChar w:fldCharType="separate"/>
          </w:r>
          <w:r>
            <w:rPr>
              <w:rFonts w:ascii="仿宋" w:eastAsia="仿宋"/>
              <w:sz w:val="32"/>
              <w:szCs w:val="32"/>
            </w:rPr>
            <w:t>- 6 -</w:t>
          </w:r>
          <w:r>
            <w:rPr>
              <w:rFonts w:ascii="仿宋" w:eastAsia="仿宋"/>
              <w:sz w:val="32"/>
              <w:szCs w:val="32"/>
            </w:rPr>
            <w:fldChar w:fldCharType="end"/>
          </w:r>
          <w:r>
            <w:fldChar w:fldCharType="end"/>
          </w:r>
        </w:p>
        <w:p w14:paraId="11E3974F">
          <w:pPr>
            <w:pStyle w:val="14"/>
            <w:rPr>
              <w:rFonts w:ascii="仿宋" w:eastAsia="仿宋" w:cs="Arial"/>
              <w:sz w:val="32"/>
              <w:szCs w:val="32"/>
            </w:rPr>
          </w:pPr>
          <w:r>
            <w:fldChar w:fldCharType="begin"/>
          </w:r>
          <w:r>
            <w:instrText xml:space="preserve">Hyperlink \l "_Toc208217887"</w:instrText>
          </w:r>
          <w:r>
            <w:fldChar w:fldCharType="separate"/>
          </w:r>
          <w:r>
            <w:rPr>
              <w:rFonts w:hint="eastAsia" w:ascii="仿宋" w:eastAsia="仿宋"/>
              <w:sz w:val="32"/>
              <w:szCs w:val="32"/>
            </w:rPr>
            <w:t>四、财</w:t>
          </w:r>
          <w:r>
            <w:rPr>
              <w:rFonts w:hint="eastAsia" w:ascii="仿宋" w:eastAsia="仿宋" w:cs="Times New Roman"/>
              <w:bCs/>
              <w:sz w:val="32"/>
              <w:szCs w:val="32"/>
            </w:rPr>
            <w:t>政拨款收入支出决算总体情况说明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_Toc208217887 \h </w:instrText>
          </w:r>
          <w:r>
            <w:rPr>
              <w:rFonts w:ascii="仿宋" w:eastAsia="仿宋"/>
              <w:sz w:val="32"/>
              <w:szCs w:val="32"/>
            </w:rPr>
            <w:fldChar w:fldCharType="separate"/>
          </w:r>
          <w:r>
            <w:rPr>
              <w:rFonts w:ascii="仿宋" w:eastAsia="仿宋"/>
              <w:sz w:val="32"/>
              <w:szCs w:val="32"/>
            </w:rPr>
            <w:t>- 7 -</w:t>
          </w:r>
          <w:r>
            <w:rPr>
              <w:rFonts w:ascii="仿宋" w:eastAsia="仿宋"/>
              <w:sz w:val="32"/>
              <w:szCs w:val="32"/>
            </w:rPr>
            <w:fldChar w:fldCharType="end"/>
          </w:r>
          <w:r>
            <w:fldChar w:fldCharType="end"/>
          </w:r>
        </w:p>
        <w:p w14:paraId="50C2F11C">
          <w:pPr>
            <w:pStyle w:val="14"/>
            <w:rPr>
              <w:rFonts w:ascii="仿宋" w:eastAsia="仿宋" w:cs="Arial"/>
              <w:sz w:val="32"/>
              <w:szCs w:val="32"/>
            </w:rPr>
          </w:pPr>
          <w:r>
            <w:fldChar w:fldCharType="begin"/>
          </w:r>
          <w:r>
            <w:instrText xml:space="preserve">Hyperlink \l "_Toc208217888"</w:instrText>
          </w:r>
          <w:r>
            <w:fldChar w:fldCharType="separate"/>
          </w:r>
          <w:r>
            <w:rPr>
              <w:rFonts w:hint="eastAsia" w:ascii="仿宋" w:eastAsia="仿宋"/>
              <w:sz w:val="32"/>
              <w:szCs w:val="32"/>
            </w:rPr>
            <w:t>五、</w:t>
          </w:r>
          <w:r>
            <w:rPr>
              <w:rFonts w:hint="eastAsia" w:ascii="仿宋" w:eastAsia="仿宋"/>
              <w:b/>
              <w:sz w:val="32"/>
              <w:szCs w:val="32"/>
            </w:rPr>
            <w:t>一</w:t>
          </w:r>
          <w:r>
            <w:rPr>
              <w:rFonts w:hint="eastAsia" w:ascii="仿宋" w:eastAsia="仿宋" w:cs="Times New Roman"/>
              <w:bCs/>
              <w:sz w:val="32"/>
              <w:szCs w:val="32"/>
            </w:rPr>
            <w:t>般公共预算财政拨款支出决算情况说明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_Toc208217888 \h </w:instrText>
          </w:r>
          <w:r>
            <w:rPr>
              <w:rFonts w:ascii="仿宋" w:eastAsia="仿宋"/>
              <w:sz w:val="32"/>
              <w:szCs w:val="32"/>
            </w:rPr>
            <w:fldChar w:fldCharType="separate"/>
          </w:r>
          <w:r>
            <w:rPr>
              <w:rFonts w:ascii="仿宋" w:eastAsia="仿宋"/>
              <w:sz w:val="32"/>
              <w:szCs w:val="32"/>
            </w:rPr>
            <w:t>- 8 -</w:t>
          </w:r>
          <w:r>
            <w:rPr>
              <w:rFonts w:ascii="仿宋" w:eastAsia="仿宋"/>
              <w:sz w:val="32"/>
              <w:szCs w:val="32"/>
            </w:rPr>
            <w:fldChar w:fldCharType="end"/>
          </w:r>
          <w:r>
            <w:fldChar w:fldCharType="end"/>
          </w:r>
        </w:p>
        <w:p w14:paraId="47EB70D1">
          <w:pPr>
            <w:pStyle w:val="14"/>
            <w:rPr>
              <w:rFonts w:ascii="仿宋" w:eastAsia="仿宋" w:cs="Arial"/>
              <w:sz w:val="32"/>
              <w:szCs w:val="32"/>
            </w:rPr>
          </w:pPr>
          <w:r>
            <w:fldChar w:fldCharType="begin"/>
          </w:r>
          <w:r>
            <w:instrText xml:space="preserve">Hyperlink \l "_Toc208217892"</w:instrText>
          </w:r>
          <w:r>
            <w:fldChar w:fldCharType="separate"/>
          </w:r>
          <w:r>
            <w:rPr>
              <w:rFonts w:hint="eastAsia" w:ascii="仿宋" w:eastAsia="仿宋"/>
              <w:sz w:val="32"/>
              <w:szCs w:val="32"/>
            </w:rPr>
            <w:t>六</w:t>
          </w:r>
          <w:r>
            <w:rPr>
              <w:rFonts w:hint="eastAsia" w:ascii="仿宋" w:eastAsia="仿宋"/>
              <w:b/>
              <w:sz w:val="32"/>
              <w:szCs w:val="32"/>
            </w:rPr>
            <w:t>、一</w:t>
          </w:r>
          <w:r>
            <w:rPr>
              <w:rFonts w:hint="eastAsia" w:ascii="仿宋" w:eastAsia="仿宋" w:cs="Times New Roman"/>
              <w:bCs/>
              <w:sz w:val="32"/>
              <w:szCs w:val="32"/>
            </w:rPr>
            <w:t>般公共预算财政拨款基本支出决算情况说明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_Toc208217892 \h </w:instrText>
          </w:r>
          <w:r>
            <w:rPr>
              <w:rFonts w:ascii="仿宋" w:eastAsia="仿宋"/>
              <w:sz w:val="32"/>
              <w:szCs w:val="32"/>
            </w:rPr>
            <w:fldChar w:fldCharType="separate"/>
          </w:r>
          <w:r>
            <w:rPr>
              <w:rFonts w:ascii="仿宋" w:eastAsia="仿宋"/>
              <w:sz w:val="32"/>
              <w:szCs w:val="32"/>
            </w:rPr>
            <w:t>- 10 -</w:t>
          </w:r>
          <w:r>
            <w:rPr>
              <w:rFonts w:ascii="仿宋" w:eastAsia="仿宋"/>
              <w:sz w:val="32"/>
              <w:szCs w:val="32"/>
            </w:rPr>
            <w:fldChar w:fldCharType="end"/>
          </w:r>
          <w:r>
            <w:fldChar w:fldCharType="end"/>
          </w:r>
        </w:p>
        <w:p w14:paraId="433FEC83">
          <w:pPr>
            <w:pStyle w:val="14"/>
            <w:rPr>
              <w:rFonts w:ascii="仿宋" w:eastAsia="仿宋" w:cs="Arial"/>
              <w:sz w:val="32"/>
              <w:szCs w:val="32"/>
            </w:rPr>
          </w:pPr>
          <w:r>
            <w:fldChar w:fldCharType="begin"/>
          </w:r>
          <w:r>
            <w:instrText xml:space="preserve">Hyperlink \l "_Toc208217893"</w:instrText>
          </w:r>
          <w:r>
            <w:fldChar w:fldCharType="separate"/>
          </w:r>
          <w:r>
            <w:rPr>
              <w:rFonts w:hint="eastAsia" w:ascii="仿宋" w:eastAsia="仿宋"/>
              <w:sz w:val="32"/>
              <w:szCs w:val="32"/>
            </w:rPr>
            <w:t>七、</w:t>
          </w:r>
          <w:r>
            <w:rPr>
              <w:rFonts w:hint="eastAsia" w:ascii="仿宋" w:eastAsia="仿宋" w:cs="Times New Roman"/>
              <w:bCs/>
              <w:sz w:val="32"/>
              <w:szCs w:val="32"/>
            </w:rPr>
            <w:t>财政拨款</w:t>
          </w:r>
          <w:r>
            <w:rPr>
              <w:rFonts w:ascii="仿宋" w:eastAsia="仿宋" w:cs="Times New Roman"/>
              <w:b/>
              <w:bCs/>
              <w:sz w:val="32"/>
              <w:szCs w:val="32"/>
            </w:rPr>
            <w:t>“</w:t>
          </w:r>
          <w:r>
            <w:rPr>
              <w:rFonts w:hint="eastAsia" w:ascii="仿宋" w:eastAsia="仿宋" w:cs="Times New Roman"/>
              <w:bCs/>
              <w:sz w:val="32"/>
              <w:szCs w:val="32"/>
            </w:rPr>
            <w:t>三公”经费支出决算情况说明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_Toc208217893 \h </w:instrText>
          </w:r>
          <w:r>
            <w:rPr>
              <w:rFonts w:ascii="仿宋" w:eastAsia="仿宋"/>
              <w:sz w:val="32"/>
              <w:szCs w:val="32"/>
            </w:rPr>
            <w:fldChar w:fldCharType="separate"/>
          </w:r>
          <w:r>
            <w:rPr>
              <w:rFonts w:ascii="仿宋" w:eastAsia="仿宋"/>
              <w:sz w:val="32"/>
              <w:szCs w:val="32"/>
            </w:rPr>
            <w:t>- 11 -</w:t>
          </w:r>
          <w:r>
            <w:rPr>
              <w:rFonts w:ascii="仿宋" w:eastAsia="仿宋"/>
              <w:sz w:val="32"/>
              <w:szCs w:val="32"/>
            </w:rPr>
            <w:fldChar w:fldCharType="end"/>
          </w:r>
          <w:r>
            <w:fldChar w:fldCharType="end"/>
          </w:r>
        </w:p>
        <w:p w14:paraId="41A0D349">
          <w:pPr>
            <w:pStyle w:val="14"/>
            <w:rPr>
              <w:rFonts w:ascii="仿宋" w:eastAsia="仿宋" w:cs="Arial"/>
              <w:sz w:val="32"/>
              <w:szCs w:val="32"/>
            </w:rPr>
          </w:pPr>
          <w:r>
            <w:fldChar w:fldCharType="begin"/>
          </w:r>
          <w:r>
            <w:instrText xml:space="preserve">Hyperlink \l "_Toc208217896"</w:instrText>
          </w:r>
          <w:r>
            <w:fldChar w:fldCharType="separate"/>
          </w:r>
          <w:r>
            <w:rPr>
              <w:rFonts w:hint="eastAsia" w:ascii="仿宋" w:eastAsia="仿宋"/>
              <w:sz w:val="32"/>
              <w:szCs w:val="32"/>
            </w:rPr>
            <w:t>八、</w:t>
          </w:r>
          <w:r>
            <w:rPr>
              <w:rFonts w:hint="eastAsia" w:ascii="仿宋" w:eastAsia="仿宋" w:cs="Times New Roman"/>
              <w:bCs/>
              <w:sz w:val="32"/>
              <w:szCs w:val="32"/>
            </w:rPr>
            <w:t>政府性基金预算支出决算情况说明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_Toc208217896 \h </w:instrText>
          </w:r>
          <w:r>
            <w:rPr>
              <w:rFonts w:ascii="仿宋" w:eastAsia="仿宋"/>
              <w:sz w:val="32"/>
              <w:szCs w:val="32"/>
            </w:rPr>
            <w:fldChar w:fldCharType="separate"/>
          </w:r>
          <w:r>
            <w:rPr>
              <w:rFonts w:ascii="仿宋" w:eastAsia="仿宋"/>
              <w:sz w:val="32"/>
              <w:szCs w:val="32"/>
            </w:rPr>
            <w:t>- 12 -</w:t>
          </w:r>
          <w:r>
            <w:rPr>
              <w:rFonts w:ascii="仿宋" w:eastAsia="仿宋"/>
              <w:sz w:val="32"/>
              <w:szCs w:val="32"/>
            </w:rPr>
            <w:fldChar w:fldCharType="end"/>
          </w:r>
          <w:r>
            <w:fldChar w:fldCharType="end"/>
          </w:r>
        </w:p>
        <w:p w14:paraId="13DEDE3E">
          <w:pPr>
            <w:pStyle w:val="14"/>
            <w:rPr>
              <w:rFonts w:ascii="仿宋" w:eastAsia="仿宋" w:cs="Arial"/>
              <w:sz w:val="32"/>
              <w:szCs w:val="32"/>
            </w:rPr>
          </w:pPr>
          <w:r>
            <w:fldChar w:fldCharType="begin"/>
          </w:r>
          <w:r>
            <w:instrText xml:space="preserve">Hyperlink \l "_Toc208217897"</w:instrText>
          </w:r>
          <w:r>
            <w:fldChar w:fldCharType="separate"/>
          </w:r>
          <w:r>
            <w:rPr>
              <w:rFonts w:hint="eastAsia" w:ascii="仿宋" w:eastAsia="仿宋" w:cs="Times New Roman"/>
              <w:bCs/>
              <w:sz w:val="32"/>
              <w:szCs w:val="32"/>
            </w:rPr>
            <w:t>九、国有资本经营预算支出决算情况说明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_Toc208217897 \h </w:instrText>
          </w:r>
          <w:r>
            <w:rPr>
              <w:rFonts w:ascii="仿宋" w:eastAsia="仿宋"/>
              <w:sz w:val="32"/>
              <w:szCs w:val="32"/>
            </w:rPr>
            <w:fldChar w:fldCharType="separate"/>
          </w:r>
          <w:r>
            <w:rPr>
              <w:rFonts w:ascii="仿宋" w:eastAsia="仿宋"/>
              <w:sz w:val="32"/>
              <w:szCs w:val="32"/>
            </w:rPr>
            <w:t>- 13 -</w:t>
          </w:r>
          <w:r>
            <w:rPr>
              <w:rFonts w:ascii="仿宋" w:eastAsia="仿宋"/>
              <w:sz w:val="32"/>
              <w:szCs w:val="32"/>
            </w:rPr>
            <w:fldChar w:fldCharType="end"/>
          </w:r>
          <w:r>
            <w:fldChar w:fldCharType="end"/>
          </w:r>
        </w:p>
        <w:p w14:paraId="63E4FAD5">
          <w:pPr>
            <w:pStyle w:val="14"/>
            <w:rPr>
              <w:rFonts w:ascii="仿宋" w:eastAsia="仿宋" w:cs="Arial"/>
              <w:sz w:val="32"/>
              <w:szCs w:val="32"/>
            </w:rPr>
          </w:pPr>
          <w:r>
            <w:fldChar w:fldCharType="begin"/>
          </w:r>
          <w:r>
            <w:instrText xml:space="preserve">Hyperlink \l "_Toc208217898"</w:instrText>
          </w:r>
          <w:r>
            <w:fldChar w:fldCharType="separate"/>
          </w:r>
          <w:r>
            <w:rPr>
              <w:rFonts w:hint="eastAsia" w:ascii="仿宋" w:eastAsia="仿宋" w:cs="Times New Roman"/>
              <w:bCs/>
              <w:sz w:val="32"/>
              <w:szCs w:val="32"/>
            </w:rPr>
            <w:t>十、其他重要事项的情况说明</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_Toc208217898 \h </w:instrText>
          </w:r>
          <w:r>
            <w:rPr>
              <w:rFonts w:ascii="仿宋" w:eastAsia="仿宋"/>
              <w:sz w:val="32"/>
              <w:szCs w:val="32"/>
            </w:rPr>
            <w:fldChar w:fldCharType="separate"/>
          </w:r>
          <w:r>
            <w:rPr>
              <w:rFonts w:ascii="仿宋" w:eastAsia="仿宋"/>
              <w:sz w:val="32"/>
              <w:szCs w:val="32"/>
            </w:rPr>
            <w:t>- 13 -</w:t>
          </w:r>
          <w:r>
            <w:rPr>
              <w:rFonts w:ascii="仿宋" w:eastAsia="仿宋"/>
              <w:sz w:val="32"/>
              <w:szCs w:val="32"/>
            </w:rPr>
            <w:fldChar w:fldCharType="end"/>
          </w:r>
          <w:r>
            <w:fldChar w:fldCharType="end"/>
          </w:r>
        </w:p>
        <w:p w14:paraId="01032D31">
          <w:pPr>
            <w:pStyle w:val="12"/>
            <w:rPr>
              <w:rFonts w:cs="Arial"/>
              <w:sz w:val="32"/>
              <w:szCs w:val="32"/>
            </w:rPr>
          </w:pPr>
          <w:r>
            <w:fldChar w:fldCharType="begin"/>
          </w:r>
          <w:r>
            <w:instrText xml:space="preserve">Hyperlink \l "_Toc208217903"</w:instrText>
          </w:r>
          <w:r>
            <w:fldChar w:fldCharType="separate"/>
          </w:r>
          <w:r>
            <w:rPr>
              <w:rFonts w:hint="eastAsia" w:ascii="黑体" w:eastAsia="黑体"/>
              <w:sz w:val="32"/>
              <w:szCs w:val="32"/>
            </w:rPr>
            <w:t>第三部分  名词解释</w:t>
          </w:r>
          <w:r>
            <w:rPr>
              <w:sz w:val="32"/>
              <w:szCs w:val="32"/>
            </w:rPr>
            <w:tab/>
          </w:r>
          <w:r>
            <w:rPr>
              <w:sz w:val="32"/>
              <w:szCs w:val="32"/>
            </w:rPr>
            <w:fldChar w:fldCharType="begin"/>
          </w:r>
          <w:r>
            <w:rPr>
              <w:sz w:val="32"/>
              <w:szCs w:val="32"/>
            </w:rPr>
            <w:instrText xml:space="preserve"> PAGEREF _Toc208217903 \h </w:instrText>
          </w:r>
          <w:r>
            <w:rPr>
              <w:sz w:val="32"/>
              <w:szCs w:val="32"/>
            </w:rPr>
            <w:fldChar w:fldCharType="separate"/>
          </w:r>
          <w:r>
            <w:rPr>
              <w:sz w:val="32"/>
              <w:szCs w:val="32"/>
            </w:rPr>
            <w:t>- 15 -</w:t>
          </w:r>
          <w:r>
            <w:rPr>
              <w:sz w:val="32"/>
              <w:szCs w:val="32"/>
            </w:rPr>
            <w:fldChar w:fldCharType="end"/>
          </w:r>
          <w:r>
            <w:fldChar w:fldCharType="end"/>
          </w:r>
        </w:p>
        <w:p w14:paraId="11018754">
          <w:pPr>
            <w:pStyle w:val="12"/>
            <w:rPr>
              <w:rFonts w:cs="Arial"/>
              <w:sz w:val="32"/>
              <w:szCs w:val="32"/>
            </w:rPr>
          </w:pPr>
          <w:r>
            <w:fldChar w:fldCharType="begin"/>
          </w:r>
          <w:r>
            <w:instrText xml:space="preserve">Hyperlink \l "_Toc208217904"</w:instrText>
          </w:r>
          <w:r>
            <w:fldChar w:fldCharType="separate"/>
          </w:r>
          <w:r>
            <w:rPr>
              <w:rFonts w:hint="eastAsia" w:ascii="黑体" w:eastAsia="黑体"/>
              <w:sz w:val="32"/>
              <w:szCs w:val="32"/>
            </w:rPr>
            <w:t>第四部分  附件</w:t>
          </w:r>
          <w:r>
            <w:rPr>
              <w:sz w:val="32"/>
              <w:szCs w:val="32"/>
            </w:rPr>
            <w:tab/>
          </w:r>
          <w:r>
            <w:rPr>
              <w:sz w:val="32"/>
              <w:szCs w:val="32"/>
            </w:rPr>
            <w:fldChar w:fldCharType="begin"/>
          </w:r>
          <w:r>
            <w:rPr>
              <w:sz w:val="32"/>
              <w:szCs w:val="32"/>
            </w:rPr>
            <w:instrText xml:space="preserve"> PAGEREF _Toc208217904 \h </w:instrText>
          </w:r>
          <w:r>
            <w:rPr>
              <w:sz w:val="32"/>
              <w:szCs w:val="32"/>
            </w:rPr>
            <w:fldChar w:fldCharType="separate"/>
          </w:r>
          <w:r>
            <w:rPr>
              <w:sz w:val="32"/>
              <w:szCs w:val="32"/>
            </w:rPr>
            <w:t>- 17 -</w:t>
          </w:r>
          <w:r>
            <w:rPr>
              <w:sz w:val="32"/>
              <w:szCs w:val="32"/>
            </w:rPr>
            <w:fldChar w:fldCharType="end"/>
          </w:r>
          <w:r>
            <w:fldChar w:fldCharType="end"/>
          </w:r>
        </w:p>
        <w:p w14:paraId="7919FE43">
          <w:pPr>
            <w:pStyle w:val="12"/>
            <w:rPr>
              <w:rFonts w:cs="Arial"/>
              <w:sz w:val="32"/>
              <w:szCs w:val="32"/>
            </w:rPr>
          </w:pPr>
          <w:r>
            <w:fldChar w:fldCharType="begin"/>
          </w:r>
          <w:r>
            <w:instrText xml:space="preserve">Hyperlink \l "_Toc208217905"</w:instrText>
          </w:r>
          <w:r>
            <w:fldChar w:fldCharType="separate"/>
          </w:r>
          <w:r>
            <w:rPr>
              <w:rFonts w:hint="eastAsia" w:ascii="黑体" w:eastAsia="黑体"/>
              <w:sz w:val="32"/>
              <w:szCs w:val="32"/>
            </w:rPr>
            <w:t>第</w:t>
          </w:r>
          <w:r>
            <w:rPr>
              <w:rFonts w:hint="eastAsia" w:ascii="黑体" w:eastAsia="黑体"/>
              <w:bCs/>
              <w:sz w:val="32"/>
              <w:szCs w:val="32"/>
            </w:rPr>
            <w:t>五部分 附表</w:t>
          </w:r>
          <w:r>
            <w:rPr>
              <w:sz w:val="32"/>
              <w:szCs w:val="32"/>
            </w:rPr>
            <w:tab/>
          </w:r>
          <w:r>
            <w:rPr>
              <w:sz w:val="32"/>
              <w:szCs w:val="32"/>
            </w:rPr>
            <w:fldChar w:fldCharType="begin"/>
          </w:r>
          <w:r>
            <w:rPr>
              <w:sz w:val="32"/>
              <w:szCs w:val="32"/>
            </w:rPr>
            <w:instrText xml:space="preserve"> PAGEREF _Toc208217905 \h </w:instrText>
          </w:r>
          <w:r>
            <w:rPr>
              <w:sz w:val="32"/>
              <w:szCs w:val="32"/>
            </w:rPr>
            <w:fldChar w:fldCharType="separate"/>
          </w:r>
          <w:r>
            <w:rPr>
              <w:sz w:val="32"/>
              <w:szCs w:val="32"/>
            </w:rPr>
            <w:t>- 24 -</w:t>
          </w:r>
          <w:r>
            <w:rPr>
              <w:sz w:val="32"/>
              <w:szCs w:val="32"/>
            </w:rPr>
            <w:fldChar w:fldCharType="end"/>
          </w:r>
          <w:r>
            <w:fldChar w:fldCharType="end"/>
          </w:r>
        </w:p>
        <w:p w14:paraId="2D909F3F">
          <w:pPr>
            <w:pStyle w:val="14"/>
            <w:rPr>
              <w:rFonts w:ascii="仿宋" w:eastAsia="仿宋" w:cs="Arial"/>
              <w:sz w:val="32"/>
              <w:szCs w:val="32"/>
            </w:rPr>
          </w:pPr>
          <w:r>
            <w:fldChar w:fldCharType="begin"/>
          </w:r>
          <w:r>
            <w:instrText xml:space="preserve">Hyperlink \l "_Toc208217906"</w:instrText>
          </w:r>
          <w:r>
            <w:fldChar w:fldCharType="separate"/>
          </w:r>
          <w:r>
            <w:rPr>
              <w:rFonts w:hint="eastAsia" w:ascii="仿宋" w:eastAsia="仿宋" w:cs="仿宋_GB2312"/>
              <w:sz w:val="32"/>
              <w:szCs w:val="32"/>
            </w:rPr>
            <w:t>一、收入支出决算总表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_Toc208217906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24832883">
          <w:pPr>
            <w:pStyle w:val="14"/>
            <w:rPr>
              <w:rFonts w:ascii="仿宋" w:eastAsia="仿宋" w:cs="Arial"/>
              <w:sz w:val="32"/>
              <w:szCs w:val="32"/>
            </w:rPr>
          </w:pPr>
          <w:r>
            <w:fldChar w:fldCharType="begin"/>
          </w:r>
          <w:r>
            <w:instrText xml:space="preserve">Hyperlink \l "_Toc208217907"</w:instrText>
          </w:r>
          <w:r>
            <w:fldChar w:fldCharType="separate"/>
          </w:r>
          <w:r>
            <w:rPr>
              <w:rFonts w:hint="eastAsia" w:ascii="仿宋" w:eastAsia="仿宋" w:cs="仿宋_GB2312"/>
              <w:sz w:val="32"/>
              <w:szCs w:val="32"/>
            </w:rPr>
            <w:t>二、收入决算表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_Toc208217907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767A8EF2">
          <w:pPr>
            <w:pStyle w:val="14"/>
            <w:rPr>
              <w:rFonts w:ascii="仿宋" w:eastAsia="仿宋" w:cs="Arial"/>
              <w:sz w:val="32"/>
              <w:szCs w:val="32"/>
            </w:rPr>
          </w:pPr>
          <w:r>
            <w:fldChar w:fldCharType="begin"/>
          </w:r>
          <w:r>
            <w:instrText xml:space="preserve">Hyperlink \l "_Toc208217908"</w:instrText>
          </w:r>
          <w:r>
            <w:fldChar w:fldCharType="separate"/>
          </w:r>
          <w:r>
            <w:rPr>
              <w:rFonts w:hint="eastAsia" w:ascii="仿宋" w:eastAsia="仿宋" w:cs="仿宋_GB2312"/>
              <w:sz w:val="32"/>
              <w:szCs w:val="32"/>
            </w:rPr>
            <w:t>三、支出决算表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_Toc208217908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52B6EA0D">
          <w:pPr>
            <w:pStyle w:val="14"/>
            <w:rPr>
              <w:rFonts w:ascii="仿宋" w:eastAsia="仿宋" w:cs="Arial"/>
              <w:sz w:val="32"/>
              <w:szCs w:val="32"/>
            </w:rPr>
          </w:pPr>
          <w:r>
            <w:fldChar w:fldCharType="begin"/>
          </w:r>
          <w:r>
            <w:instrText xml:space="preserve">Hyperlink \l "_Toc208217909"</w:instrText>
          </w:r>
          <w:r>
            <w:fldChar w:fldCharType="separate"/>
          </w:r>
          <w:r>
            <w:rPr>
              <w:rFonts w:hint="eastAsia" w:ascii="仿宋" w:eastAsia="仿宋" w:cs="仿宋_GB2312"/>
              <w:sz w:val="32"/>
              <w:szCs w:val="32"/>
            </w:rPr>
            <w:t>四、财政拨款收入支出决算总表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_Toc208217909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4255D53A">
          <w:pPr>
            <w:pStyle w:val="14"/>
            <w:rPr>
              <w:rFonts w:ascii="仿宋" w:eastAsia="仿宋" w:cs="Arial"/>
              <w:sz w:val="32"/>
              <w:szCs w:val="32"/>
            </w:rPr>
          </w:pPr>
          <w:r>
            <w:fldChar w:fldCharType="begin"/>
          </w:r>
          <w:r>
            <w:instrText xml:space="preserve">Hyperlink \l "_Toc208217910"</w:instrText>
          </w:r>
          <w:r>
            <w:fldChar w:fldCharType="separate"/>
          </w:r>
          <w:r>
            <w:rPr>
              <w:rFonts w:hint="eastAsia" w:ascii="仿宋" w:eastAsia="仿宋" w:cs="仿宋_GB2312"/>
              <w:sz w:val="32"/>
              <w:szCs w:val="32"/>
            </w:rPr>
            <w:t>五、财政拨款支出决算明细表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_Toc208217910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2D303EF3">
          <w:pPr>
            <w:pStyle w:val="14"/>
            <w:rPr>
              <w:rFonts w:ascii="仿宋" w:eastAsia="仿宋" w:cs="Arial"/>
              <w:sz w:val="32"/>
              <w:szCs w:val="32"/>
            </w:rPr>
          </w:pPr>
          <w:r>
            <w:fldChar w:fldCharType="begin"/>
          </w:r>
          <w:r>
            <w:instrText xml:space="preserve">Hyperlink \l "_Toc208217911"</w:instrText>
          </w:r>
          <w:r>
            <w:fldChar w:fldCharType="separate"/>
          </w:r>
          <w:r>
            <w:rPr>
              <w:rFonts w:hint="eastAsia" w:ascii="仿宋" w:eastAsia="仿宋" w:cs="仿宋_GB2312"/>
              <w:sz w:val="32"/>
              <w:szCs w:val="32"/>
            </w:rPr>
            <w:t>六、一般公共预算财政拨款支出决算表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_Toc208217911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43833775">
          <w:pPr>
            <w:pStyle w:val="14"/>
            <w:rPr>
              <w:rFonts w:ascii="仿宋" w:eastAsia="仿宋" w:cs="Arial"/>
              <w:sz w:val="32"/>
              <w:szCs w:val="32"/>
            </w:rPr>
          </w:pPr>
          <w:r>
            <w:fldChar w:fldCharType="begin"/>
          </w:r>
          <w:r>
            <w:instrText xml:space="preserve">Hyperlink \l "_Toc208217912"</w:instrText>
          </w:r>
          <w:r>
            <w:fldChar w:fldCharType="separate"/>
          </w:r>
          <w:r>
            <w:rPr>
              <w:rFonts w:hint="eastAsia" w:ascii="仿宋" w:eastAsia="仿宋" w:cs="仿宋_GB2312"/>
              <w:sz w:val="32"/>
              <w:szCs w:val="32"/>
            </w:rPr>
            <w:t>七、一般公共预算财政拨款支出决算明细表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_Toc208217912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18A5E6DC">
          <w:pPr>
            <w:pStyle w:val="14"/>
            <w:rPr>
              <w:rFonts w:ascii="仿宋" w:eastAsia="仿宋" w:cs="Arial"/>
              <w:sz w:val="32"/>
              <w:szCs w:val="32"/>
            </w:rPr>
          </w:pPr>
          <w:r>
            <w:fldChar w:fldCharType="begin"/>
          </w:r>
          <w:r>
            <w:instrText xml:space="preserve">Hyperlink \l "_Toc208217913"</w:instrText>
          </w:r>
          <w:r>
            <w:fldChar w:fldCharType="separate"/>
          </w:r>
          <w:r>
            <w:rPr>
              <w:rFonts w:hint="eastAsia" w:ascii="仿宋" w:eastAsia="仿宋" w:cs="仿宋_GB2312"/>
              <w:sz w:val="32"/>
              <w:szCs w:val="32"/>
            </w:rPr>
            <w:t>八、一般公共预算财政拨款基本支出决算表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_Toc208217913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45239772">
          <w:pPr>
            <w:pStyle w:val="14"/>
            <w:rPr>
              <w:rFonts w:ascii="仿宋" w:eastAsia="仿宋" w:cs="Arial"/>
              <w:sz w:val="32"/>
              <w:szCs w:val="32"/>
            </w:rPr>
          </w:pPr>
          <w:r>
            <w:fldChar w:fldCharType="begin"/>
          </w:r>
          <w:r>
            <w:instrText xml:space="preserve">Hyperlink \l "_Toc208217914"</w:instrText>
          </w:r>
          <w:r>
            <w:fldChar w:fldCharType="separate"/>
          </w:r>
          <w:r>
            <w:rPr>
              <w:rFonts w:hint="eastAsia" w:ascii="仿宋" w:eastAsia="仿宋" w:cs="仿宋_GB2312"/>
              <w:sz w:val="32"/>
              <w:szCs w:val="32"/>
            </w:rPr>
            <w:t>九、一般公共预算财政拨款项目支出决算表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_Toc208217914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0A00B23A">
          <w:pPr>
            <w:pStyle w:val="14"/>
            <w:rPr>
              <w:rFonts w:ascii="仿宋" w:eastAsia="仿宋" w:cs="Arial"/>
              <w:sz w:val="32"/>
              <w:szCs w:val="32"/>
            </w:rPr>
          </w:pPr>
          <w:r>
            <w:fldChar w:fldCharType="begin"/>
          </w:r>
          <w:r>
            <w:instrText xml:space="preserve">Hyperlink \l "_Toc208217915"</w:instrText>
          </w:r>
          <w:r>
            <w:fldChar w:fldCharType="separate"/>
          </w:r>
          <w:r>
            <w:rPr>
              <w:rFonts w:hint="eastAsia" w:ascii="仿宋" w:eastAsia="仿宋" w:cs="仿宋_GB2312"/>
              <w:sz w:val="32"/>
              <w:szCs w:val="32"/>
            </w:rPr>
            <w:t>十、政府性基金预算财政拨款收入支出决算表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_Toc208217915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6C2A13B1">
          <w:pPr>
            <w:pStyle w:val="14"/>
            <w:rPr>
              <w:rFonts w:ascii="仿宋" w:eastAsia="仿宋" w:cs="Arial"/>
              <w:sz w:val="32"/>
              <w:szCs w:val="32"/>
            </w:rPr>
          </w:pPr>
          <w:r>
            <w:fldChar w:fldCharType="begin"/>
          </w:r>
          <w:r>
            <w:instrText xml:space="preserve">Hyperlink \l "_Toc208217916"</w:instrText>
          </w:r>
          <w:r>
            <w:fldChar w:fldCharType="separate"/>
          </w:r>
          <w:r>
            <w:rPr>
              <w:rFonts w:hint="eastAsia" w:ascii="仿宋" w:eastAsia="仿宋" w:cs="仿宋_GB2312"/>
              <w:sz w:val="32"/>
              <w:szCs w:val="32"/>
            </w:rPr>
            <w:t>十一、国有资本经营预算财政拨款收入支出决算表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_Toc208217916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2DDED0C7">
          <w:pPr>
            <w:pStyle w:val="14"/>
            <w:rPr>
              <w:rFonts w:ascii="仿宋" w:eastAsia="仿宋" w:cs="Arial"/>
              <w:sz w:val="32"/>
              <w:szCs w:val="32"/>
            </w:rPr>
          </w:pPr>
          <w:r>
            <w:fldChar w:fldCharType="begin"/>
          </w:r>
          <w:r>
            <w:instrText xml:space="preserve">Hyperlink \l "_Toc208217917"</w:instrText>
          </w:r>
          <w:r>
            <w:fldChar w:fldCharType="separate"/>
          </w:r>
          <w:r>
            <w:rPr>
              <w:rFonts w:hint="eastAsia" w:ascii="仿宋" w:eastAsia="仿宋" w:cs="仿宋_GB2312"/>
              <w:sz w:val="32"/>
              <w:szCs w:val="32"/>
            </w:rPr>
            <w:t>十二、国有资本经营预算财政拨款支出决算表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_Toc208217917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033F4A61">
          <w:pPr>
            <w:pStyle w:val="14"/>
            <w:rPr>
              <w:rFonts w:ascii="Calibri" w:hAnsi="Calibri" w:eastAsia="宋体" w:cs="Arial"/>
              <w:szCs w:val="22"/>
            </w:rPr>
          </w:pPr>
          <w:r>
            <w:fldChar w:fldCharType="begin"/>
          </w:r>
          <w:r>
            <w:instrText xml:space="preserve">Hyperlink \l "_Toc208217918"</w:instrText>
          </w:r>
          <w:r>
            <w:fldChar w:fldCharType="separate"/>
          </w:r>
          <w:r>
            <w:rPr>
              <w:rFonts w:hint="eastAsia" w:ascii="仿宋" w:eastAsia="仿宋" w:cs="仿宋_GB2312"/>
              <w:sz w:val="32"/>
              <w:szCs w:val="32"/>
            </w:rPr>
            <w:t>十三、财政拨款“三公”经费支出决算表</w:t>
          </w:r>
          <w:r>
            <w:rPr>
              <w:rFonts w:ascii="仿宋" w:eastAsia="仿宋"/>
              <w:sz w:val="32"/>
              <w:szCs w:val="32"/>
            </w:rPr>
            <w:tab/>
          </w:r>
          <w:r>
            <w:rPr>
              <w:rFonts w:ascii="仿宋" w:eastAsia="仿宋"/>
              <w:sz w:val="32"/>
              <w:szCs w:val="32"/>
            </w:rPr>
            <w:fldChar w:fldCharType="begin"/>
          </w:r>
          <w:r>
            <w:rPr>
              <w:rFonts w:ascii="仿宋" w:eastAsia="仿宋"/>
              <w:sz w:val="32"/>
              <w:szCs w:val="32"/>
            </w:rPr>
            <w:instrText xml:space="preserve"> PAGEREF _Toc208217918 \h </w:instrText>
          </w:r>
          <w:r>
            <w:rPr>
              <w:rFonts w:ascii="仿宋" w:eastAsia="仿宋"/>
              <w:sz w:val="32"/>
              <w:szCs w:val="32"/>
            </w:rPr>
            <w:fldChar w:fldCharType="separate"/>
          </w:r>
          <w:r>
            <w:rPr>
              <w:rFonts w:ascii="仿宋" w:eastAsia="仿宋"/>
              <w:sz w:val="32"/>
              <w:szCs w:val="32"/>
            </w:rPr>
            <w:t>- 24 -</w:t>
          </w:r>
          <w:r>
            <w:rPr>
              <w:rFonts w:ascii="仿宋" w:eastAsia="仿宋"/>
              <w:sz w:val="32"/>
              <w:szCs w:val="32"/>
            </w:rPr>
            <w:fldChar w:fldCharType="end"/>
          </w:r>
          <w:r>
            <w:fldChar w:fldCharType="end"/>
          </w:r>
        </w:p>
        <w:p w14:paraId="78A3386B">
          <w:r>
            <w:rPr>
              <w:b/>
              <w:bCs/>
              <w:lang w:val="zh-CN"/>
            </w:rPr>
            <w:fldChar w:fldCharType="end"/>
          </w:r>
        </w:p>
      </w:sdtContent>
    </w:sdt>
    <w:p w14:paraId="5AB09D04">
      <w:pPr>
        <w:widowControl/>
        <w:jc w:val="left"/>
        <w:rPr>
          <w:rFonts w:eastAsia="仿宋_GB2312" w:cs="仿宋_GB2312"/>
          <w:bCs/>
          <w:kern w:val="44"/>
          <w:sz w:val="32"/>
          <w:szCs w:val="32"/>
        </w:rPr>
      </w:pPr>
    </w:p>
    <w:p w14:paraId="3DB18F3A">
      <w:pPr>
        <w:widowControl/>
        <w:jc w:val="left"/>
        <w:rPr>
          <w:rFonts w:eastAsia="仿宋_GB2312" w:cs="仿宋_GB2312"/>
          <w:bCs/>
          <w:kern w:val="44"/>
          <w:sz w:val="32"/>
          <w:szCs w:val="32"/>
        </w:rPr>
      </w:pPr>
      <w:r>
        <w:rPr>
          <w:rFonts w:eastAsia="仿宋_GB2312" w:cs="仿宋_GB2312"/>
          <w:bCs/>
          <w:kern w:val="44"/>
          <w:sz w:val="32"/>
          <w:szCs w:val="32"/>
        </w:rPr>
        <w:br w:type="page"/>
      </w:r>
    </w:p>
    <w:p w14:paraId="03D55C8E">
      <w:pPr>
        <w:widowControl/>
        <w:jc w:val="left"/>
        <w:rPr>
          <w:rFonts w:eastAsia="仿宋_GB2312" w:cs="仿宋_GB2312"/>
          <w:bCs/>
          <w:kern w:val="44"/>
          <w:sz w:val="32"/>
          <w:szCs w:val="32"/>
        </w:rPr>
      </w:pPr>
    </w:p>
    <w:p w14:paraId="7B26E471">
      <w:pPr>
        <w:widowControl/>
        <w:spacing w:line="560" w:lineRule="exact"/>
        <w:jc w:val="left"/>
        <w:rPr>
          <w:rFonts w:eastAsia="仿宋_GB2312" w:cs="仿宋_GB2312"/>
          <w:bCs/>
          <w:kern w:val="44"/>
          <w:sz w:val="32"/>
          <w:szCs w:val="32"/>
        </w:rPr>
      </w:pPr>
    </w:p>
    <w:p w14:paraId="4DACA164">
      <w:pPr>
        <w:pStyle w:val="4"/>
        <w:jc w:val="center"/>
        <w:rPr>
          <w:rStyle w:val="19"/>
          <w:rFonts w:eastAsia="方正小标宋简体" w:cs="方正小标宋简体"/>
          <w:b/>
          <w:bCs w:val="0"/>
        </w:rPr>
      </w:pPr>
      <w:bookmarkStart w:id="14" w:name="_Toc208217880"/>
      <w:r>
        <w:rPr>
          <w:rFonts w:hint="eastAsia" w:eastAsia="方正小标宋简体" w:cs="方正小标宋简体"/>
          <w:b w:val="0"/>
        </w:rPr>
        <w:t xml:space="preserve">第一部分  </w:t>
      </w:r>
      <w:r>
        <w:rPr>
          <w:rStyle w:val="19"/>
          <w:rFonts w:hint="eastAsia" w:eastAsia="方正小标宋简体" w:cs="方正小标宋简体"/>
          <w:b w:val="0"/>
          <w:bCs w:val="0"/>
        </w:rPr>
        <w:t>部门概况</w:t>
      </w:r>
      <w:bookmarkEnd w:id="12"/>
      <w:bookmarkEnd w:id="13"/>
      <w:bookmarkEnd w:id="14"/>
    </w:p>
    <w:p w14:paraId="57A74ABA">
      <w:pPr>
        <w:pStyle w:val="5"/>
        <w:ind w:firstLine="640" w:firstLineChars="200"/>
        <w:rPr>
          <w:rFonts w:ascii="Times New Roman" w:hAnsi="Times New Roman" w:eastAsia="黑体"/>
          <w:b w:val="0"/>
        </w:rPr>
      </w:pPr>
      <w:bookmarkStart w:id="15" w:name="_Toc208217881"/>
      <w:r>
        <w:rPr>
          <w:rFonts w:hint="eastAsia" w:ascii="Times New Roman" w:hAnsi="Times New Roman" w:eastAsia="黑体"/>
          <w:b w:val="0"/>
        </w:rPr>
        <w:t>一、部门职责</w:t>
      </w:r>
      <w:bookmarkEnd w:id="15"/>
      <w:bookmarkStart w:id="16" w:name="_Toc15377200"/>
      <w:bookmarkStart w:id="17" w:name="_Toc15396601"/>
    </w:p>
    <w:p w14:paraId="4520FC4F">
      <w:pPr>
        <w:pStyle w:val="2"/>
        <w:adjustRightInd w:val="0"/>
        <w:snapToGrid w:val="0"/>
        <w:spacing w:before="30" w:beforeLines="0" w:line="600" w:lineRule="exact"/>
        <w:ind w:firstLine="640" w:firstLineChars="200"/>
        <w:rPr>
          <w:sz w:val="32"/>
          <w:szCs w:val="32"/>
        </w:rPr>
      </w:pPr>
      <w:bookmarkStart w:id="18" w:name="_Toc143178750"/>
      <w:bookmarkStart w:id="19" w:name="_Toc176509464"/>
      <w:r>
        <w:rPr>
          <w:rFonts w:hint="eastAsia"/>
          <w:sz w:val="32"/>
          <w:szCs w:val="32"/>
        </w:rPr>
        <w:t>（一）为全市各级机关、企事业单位提供最新建设信息和城市空间定位信息服务，实现数据共享，确保城市规划、建设和管理的有序进行。</w:t>
      </w:r>
      <w:bookmarkEnd w:id="18"/>
      <w:bookmarkEnd w:id="19"/>
    </w:p>
    <w:p w14:paraId="6B6B5BC3">
      <w:pPr>
        <w:pStyle w:val="2"/>
        <w:adjustRightInd w:val="0"/>
        <w:snapToGrid w:val="0"/>
        <w:spacing w:before="30" w:beforeLines="0" w:line="600" w:lineRule="exact"/>
        <w:ind w:firstLine="640" w:firstLineChars="200"/>
        <w:rPr>
          <w:sz w:val="32"/>
          <w:szCs w:val="32"/>
        </w:rPr>
      </w:pPr>
      <w:bookmarkStart w:id="20" w:name="_Toc143178751"/>
      <w:bookmarkStart w:id="21" w:name="_Toc176509465"/>
      <w:r>
        <w:rPr>
          <w:rFonts w:hint="eastAsia"/>
          <w:sz w:val="32"/>
          <w:szCs w:val="32"/>
        </w:rPr>
        <w:t>（二）负责城市空间定位信息数据库系统的实时更新、调整及日常维护等工作。</w:t>
      </w:r>
      <w:bookmarkEnd w:id="20"/>
      <w:bookmarkEnd w:id="21"/>
    </w:p>
    <w:p w14:paraId="1542C7F5">
      <w:pPr>
        <w:ind w:firstLine="640" w:firstLineChars="200"/>
        <w:rPr>
          <w:rFonts w:ascii="仿宋_GB2312" w:eastAsia="仿宋_GB2312"/>
          <w:sz w:val="32"/>
          <w:szCs w:val="32"/>
        </w:rPr>
      </w:pPr>
      <w:r>
        <w:rPr>
          <w:rFonts w:hint="eastAsia" w:ascii="仿宋_GB2312" w:eastAsia="仿宋_GB2312"/>
          <w:sz w:val="32"/>
          <w:szCs w:val="32"/>
        </w:rPr>
        <w:t>（三）负责全市基础地理信息的汇集、加工、处理和集成。</w:t>
      </w:r>
    </w:p>
    <w:p w14:paraId="036372C6">
      <w:pPr>
        <w:ind w:firstLine="640" w:firstLineChars="200"/>
        <w:rPr>
          <w:rFonts w:ascii="仿宋_GB2312" w:eastAsia="仿宋_GB2312"/>
          <w:sz w:val="32"/>
          <w:szCs w:val="32"/>
        </w:rPr>
      </w:pPr>
      <w:r>
        <w:rPr>
          <w:rFonts w:hint="eastAsia" w:ascii="仿宋_GB2312" w:eastAsia="仿宋_GB2312"/>
          <w:sz w:val="32"/>
          <w:szCs w:val="32"/>
        </w:rPr>
        <w:t>（四）负责城市基础空间定位信息系统的安全保密工作。</w:t>
      </w:r>
    </w:p>
    <w:p w14:paraId="680BEB8B">
      <w:pPr>
        <w:ind w:firstLine="640" w:firstLineChars="200"/>
        <w:rPr>
          <w:rFonts w:ascii="仿宋_GB2312" w:eastAsia="仿宋_GB2312"/>
          <w:sz w:val="32"/>
          <w:szCs w:val="32"/>
        </w:rPr>
      </w:pPr>
      <w:r>
        <w:rPr>
          <w:rFonts w:hint="eastAsia" w:ascii="仿宋_GB2312" w:eastAsia="仿宋_GB2312"/>
          <w:sz w:val="32"/>
          <w:szCs w:val="32"/>
        </w:rPr>
        <w:t>（五）统筹我市对遥感影像的需求，制定年度计划；组织我市遥感影像获取与加工处理工作；负责我市遥感影像统筹服务平台的运行维护，及时更新遥感影像数据库，保持遥感影像数据与省市同步更新，为市内各遥感影像应用行业提供影像资源，建立共享机制。</w:t>
      </w:r>
    </w:p>
    <w:p w14:paraId="0033ADE3">
      <w:pPr>
        <w:pStyle w:val="5"/>
        <w:ind w:firstLine="640" w:firstLineChars="200"/>
        <w:rPr>
          <w:rStyle w:val="20"/>
          <w:rFonts w:ascii="Times New Roman" w:hAnsi="Times New Roman"/>
          <w:b w:val="0"/>
          <w:bCs w:val="0"/>
        </w:rPr>
      </w:pPr>
      <w:bookmarkStart w:id="22" w:name="_Toc208217882"/>
      <w:r>
        <w:rPr>
          <w:rFonts w:hint="eastAsia" w:ascii="Times New Roman" w:hAnsi="Times New Roman" w:eastAsia="黑体"/>
          <w:b w:val="0"/>
        </w:rPr>
        <w:t>二、机</w:t>
      </w:r>
      <w:r>
        <w:rPr>
          <w:rStyle w:val="20"/>
          <w:rFonts w:hint="eastAsia" w:ascii="Times New Roman" w:hAnsi="Times New Roman" w:eastAsia="黑体"/>
          <w:b w:val="0"/>
          <w:bCs w:val="0"/>
        </w:rPr>
        <w:t>构设置</w:t>
      </w:r>
      <w:bookmarkEnd w:id="16"/>
      <w:bookmarkEnd w:id="17"/>
      <w:bookmarkEnd w:id="22"/>
    </w:p>
    <w:p w14:paraId="0DC3D586">
      <w:pPr>
        <w:ind w:firstLine="640" w:firstLineChars="200"/>
        <w:rPr>
          <w:rFonts w:eastAsia="仿宋_GB2312" w:cs="仿宋_GB2312"/>
          <w:sz w:val="32"/>
          <w:szCs w:val="32"/>
        </w:rPr>
      </w:pPr>
      <w:r>
        <w:rPr>
          <w:rFonts w:hint="eastAsia" w:ascii="仿宋_GB2312" w:eastAsia="仿宋_GB2312" w:cs="仿宋_GB2312"/>
          <w:sz w:val="32"/>
          <w:szCs w:val="32"/>
        </w:rPr>
        <w:t>攀枝花市地理信息中心</w:t>
      </w:r>
      <w:r>
        <w:rPr>
          <w:rFonts w:hint="eastAsia" w:eastAsia="仿宋_GB2312" w:cs="仿宋_GB2312"/>
          <w:sz w:val="32"/>
          <w:szCs w:val="32"/>
        </w:rPr>
        <w:t>下属二级预算单位0个，其中行政单位0个，参照公务员法管理的事业单位</w:t>
      </w:r>
      <w:r>
        <w:rPr>
          <w:rFonts w:hint="eastAsia" w:eastAsia="仿宋_GB2312" w:cs="仿宋_GB2312"/>
          <w:bCs/>
          <w:sz w:val="32"/>
          <w:szCs w:val="32"/>
        </w:rPr>
        <w:t>0</w:t>
      </w:r>
      <w:r>
        <w:rPr>
          <w:rFonts w:hint="eastAsia" w:eastAsia="仿宋_GB2312" w:cs="仿宋_GB2312"/>
          <w:sz w:val="32"/>
          <w:szCs w:val="32"/>
        </w:rPr>
        <w:t>个，其他事业单位0个。</w:t>
      </w:r>
    </w:p>
    <w:p w14:paraId="55E35F8F">
      <w:pPr>
        <w:pStyle w:val="4"/>
        <w:rPr>
          <w:rFonts w:eastAsia="方正小标宋简体" w:cs="方正小标宋简体"/>
          <w:b w:val="0"/>
        </w:rPr>
      </w:pPr>
      <w:bookmarkStart w:id="23" w:name="_Toc15396602"/>
      <w:bookmarkStart w:id="24" w:name="_Toc208217883"/>
      <w:bookmarkStart w:id="25" w:name="_Toc15377204"/>
      <w:r>
        <w:rPr>
          <w:rFonts w:hint="eastAsia" w:eastAsia="方正小标宋简体" w:cs="方正小标宋简体"/>
          <w:b w:val="0"/>
        </w:rPr>
        <w:t>第二部分  2024年度部门决算情况说明</w:t>
      </w:r>
      <w:bookmarkEnd w:id="23"/>
      <w:bookmarkEnd w:id="24"/>
      <w:bookmarkEnd w:id="25"/>
    </w:p>
    <w:p w14:paraId="31F7793E">
      <w:pPr>
        <w:pStyle w:val="26"/>
        <w:spacing w:line="600" w:lineRule="exact"/>
        <w:outlineLvl w:val="1"/>
        <w:rPr>
          <w:rStyle w:val="20"/>
          <w:rFonts w:ascii="Times New Roman" w:hAnsi="Times New Roman" w:eastAsia="黑体"/>
          <w:b w:val="0"/>
        </w:rPr>
      </w:pPr>
      <w:bookmarkStart w:id="26" w:name="_Toc208217884"/>
      <w:bookmarkStart w:id="27" w:name="_Toc15377205"/>
      <w:bookmarkStart w:id="28" w:name="_Toc15396603"/>
      <w:r>
        <w:rPr>
          <w:rFonts w:hint="eastAsia" w:eastAsia="黑体"/>
          <w:sz w:val="32"/>
          <w:szCs w:val="32"/>
        </w:rPr>
        <w:t>一、收</w:t>
      </w:r>
      <w:r>
        <w:rPr>
          <w:rStyle w:val="20"/>
          <w:rFonts w:hint="eastAsia" w:ascii="Times New Roman" w:hAnsi="Times New Roman" w:eastAsia="黑体"/>
          <w:b w:val="0"/>
        </w:rPr>
        <w:t>入支出决算总体情况说明</w:t>
      </w:r>
      <w:bookmarkEnd w:id="26"/>
      <w:bookmarkEnd w:id="27"/>
      <w:bookmarkEnd w:id="28"/>
    </w:p>
    <w:p w14:paraId="637FD6F0">
      <w:pPr>
        <w:spacing w:line="600" w:lineRule="exact"/>
        <w:ind w:firstLine="640" w:firstLineChars="200"/>
        <w:rPr>
          <w:rFonts w:ascii="仿宋" w:eastAsia="仿宋"/>
          <w:sz w:val="32"/>
          <w:szCs w:val="32"/>
        </w:rPr>
      </w:pPr>
      <w:r>
        <w:rPr>
          <w:rFonts w:hint="eastAsia" w:eastAsia="仿宋_GB2312" w:cs="仿宋_GB2312"/>
          <w:sz w:val="32"/>
          <w:szCs w:val="32"/>
        </w:rPr>
        <w:t>2024年度收入、支出总计均为</w:t>
      </w:r>
      <w:r>
        <w:rPr>
          <w:rFonts w:hint="eastAsia" w:ascii="仿宋_GB2312" w:eastAsia="仿宋_GB2312" w:cs="仿宋_GB2312"/>
          <w:sz w:val="32"/>
          <w:szCs w:val="32"/>
        </w:rPr>
        <w:t>406.87</w:t>
      </w:r>
      <w:r>
        <w:rPr>
          <w:rFonts w:hint="eastAsia" w:eastAsia="仿宋_GB2312" w:cs="仿宋_GB2312"/>
          <w:sz w:val="32"/>
          <w:szCs w:val="32"/>
        </w:rPr>
        <w:t>万元。与2023年度相比，收入</w:t>
      </w:r>
      <w:r>
        <w:rPr>
          <w:rFonts w:hint="eastAsia" w:ascii="仿宋" w:eastAsia="仿宋"/>
          <w:sz w:val="32"/>
          <w:szCs w:val="32"/>
        </w:rPr>
        <w:t>总计增加173.15万元，增加43</w:t>
      </w:r>
      <w:r>
        <w:rPr>
          <w:rFonts w:ascii="仿宋" w:eastAsia="仿宋"/>
          <w:sz w:val="32"/>
          <w:szCs w:val="32"/>
        </w:rPr>
        <w:t>%</w:t>
      </w:r>
      <w:r>
        <w:rPr>
          <w:rFonts w:hint="eastAsia" w:ascii="仿宋" w:eastAsia="仿宋"/>
          <w:sz w:val="32"/>
          <w:szCs w:val="32"/>
        </w:rPr>
        <w:t>。主要变动原因是项目预算增加。支出总计增加173.15万元，增加43</w:t>
      </w:r>
      <w:r>
        <w:rPr>
          <w:rFonts w:ascii="仿宋" w:eastAsia="仿宋"/>
          <w:sz w:val="32"/>
          <w:szCs w:val="32"/>
        </w:rPr>
        <w:t>%</w:t>
      </w:r>
      <w:r>
        <w:rPr>
          <w:rFonts w:hint="eastAsia" w:ascii="仿宋" w:eastAsia="仿宋"/>
          <w:sz w:val="32"/>
          <w:szCs w:val="32"/>
        </w:rPr>
        <w:t>。主要变动原因是项目预算增加。</w:t>
      </w:r>
    </w:p>
    <w:p w14:paraId="28781165">
      <w:pPr>
        <w:pStyle w:val="13"/>
      </w:pPr>
    </w:p>
    <w:p w14:paraId="3845C3DB">
      <w:pPr>
        <w:ind w:firstLine="420" w:firstLineChars="200"/>
        <w:rPr>
          <w:rFonts w:eastAsia="仿宋_GB2312" w:cs="仿宋_GB2312"/>
          <w:sz w:val="32"/>
          <w:szCs w:val="32"/>
        </w:rPr>
      </w:pPr>
      <w:r>
        <w:drawing>
          <wp:inline distT="0" distB="0" distL="0" distR="0">
            <wp:extent cx="5274310" cy="3076575"/>
            <wp:effectExtent l="0" t="0" r="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88B533">
      <w:pPr>
        <w:pStyle w:val="13"/>
      </w:pPr>
    </w:p>
    <w:p w14:paraId="2DB2D12F">
      <w:pPr>
        <w:pStyle w:val="26"/>
        <w:spacing w:line="600" w:lineRule="exact"/>
        <w:outlineLvl w:val="1"/>
        <w:rPr>
          <w:rFonts w:eastAsia="黑体"/>
          <w:sz w:val="32"/>
          <w:szCs w:val="32"/>
        </w:rPr>
      </w:pPr>
      <w:bookmarkStart w:id="29" w:name="_Toc208217885"/>
      <w:bookmarkStart w:id="30" w:name="_Toc15377206"/>
      <w:bookmarkStart w:id="31" w:name="_Toc15396604"/>
      <w:r>
        <w:rPr>
          <w:rFonts w:hint="eastAsia" w:eastAsia="黑体"/>
          <w:sz w:val="32"/>
          <w:szCs w:val="32"/>
        </w:rPr>
        <w:t>二、收入决算情况说明</w:t>
      </w:r>
      <w:bookmarkEnd w:id="29"/>
      <w:bookmarkEnd w:id="30"/>
      <w:bookmarkEnd w:id="31"/>
    </w:p>
    <w:p w14:paraId="2043650D">
      <w:pPr>
        <w:pStyle w:val="26"/>
        <w:spacing w:line="600" w:lineRule="exact"/>
        <w:jc w:val="left"/>
        <w:rPr>
          <w:rFonts w:eastAsia="仿宋_GB2312" w:cs="仿宋_GB2312"/>
          <w:b/>
          <w:bCs/>
          <w:sz w:val="32"/>
          <w:szCs w:val="32"/>
        </w:rPr>
      </w:pPr>
      <w:r>
        <w:rPr>
          <w:rFonts w:hint="eastAsia" w:ascii="仿宋_GB2312" w:eastAsia="仿宋_GB2312" w:cs="仿宋_GB2312"/>
          <w:sz w:val="32"/>
          <w:szCs w:val="32"/>
        </w:rPr>
        <w:t>2024年度本年收入合计406.87万元，其中：一般公共预算财政拨款收入406.87万元，占100%；政府性基金预算财政拨款收入0万元，占0%%；国有资本经营预算财政拨款收入0万元，占0%；上级补助收入0万元，占0%；事业收入0万元，占0%；经营收入0万元，占0%；附属单位上缴收入0万元，占0%；其他收入0万元，占0%。</w:t>
      </w:r>
    </w:p>
    <w:p w14:paraId="5C459FBC">
      <w:pPr>
        <w:ind w:firstLine="800" w:firstLineChars="250"/>
      </w:pPr>
      <w:bookmarkStart w:id="32" w:name="_Toc176509471"/>
      <w:bookmarkStart w:id="33" w:name="_Toc143178757"/>
      <w:r>
        <w:rPr>
          <w:rFonts w:ascii="仿宋" w:eastAsia="仿宋"/>
          <w:sz w:val="32"/>
          <w:szCs w:val="32"/>
        </w:rPr>
        <w:drawing>
          <wp:anchor distT="0" distB="0" distL="114300" distR="114300" simplePos="0" relativeHeight="251659264" behindDoc="1" locked="0" layoutInCell="1" allowOverlap="1">
            <wp:simplePos x="0" y="0"/>
            <wp:positionH relativeFrom="column">
              <wp:posOffset>292100</wp:posOffset>
            </wp:positionH>
            <wp:positionV relativeFrom="paragraph">
              <wp:posOffset>133350</wp:posOffset>
            </wp:positionV>
            <wp:extent cx="5273040" cy="3368040"/>
            <wp:effectExtent l="0" t="0" r="0" b="0"/>
            <wp:wrapNone/>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End w:id="32"/>
      <w:bookmarkEnd w:id="33"/>
    </w:p>
    <w:p w14:paraId="05C07FA8">
      <w:pPr>
        <w:pStyle w:val="13"/>
      </w:pPr>
    </w:p>
    <w:p w14:paraId="0F631105">
      <w:pPr>
        <w:pStyle w:val="8"/>
      </w:pPr>
    </w:p>
    <w:p w14:paraId="322C19A7">
      <w:pPr>
        <w:pStyle w:val="8"/>
      </w:pPr>
    </w:p>
    <w:p w14:paraId="53DA9F72">
      <w:pPr>
        <w:pStyle w:val="8"/>
      </w:pPr>
    </w:p>
    <w:p w14:paraId="04634BDC">
      <w:pPr>
        <w:pStyle w:val="8"/>
      </w:pPr>
    </w:p>
    <w:p w14:paraId="48558DDE">
      <w:pPr>
        <w:pStyle w:val="8"/>
      </w:pPr>
    </w:p>
    <w:p w14:paraId="009C7A95">
      <w:pPr>
        <w:pStyle w:val="8"/>
      </w:pPr>
    </w:p>
    <w:p w14:paraId="36E3A51B">
      <w:pPr>
        <w:pStyle w:val="8"/>
      </w:pPr>
    </w:p>
    <w:p w14:paraId="57A2FC28">
      <w:pPr>
        <w:pStyle w:val="8"/>
      </w:pPr>
    </w:p>
    <w:p w14:paraId="76AEAFAF">
      <w:pPr>
        <w:pStyle w:val="8"/>
      </w:pPr>
    </w:p>
    <w:p w14:paraId="3FF59B23">
      <w:pPr>
        <w:pStyle w:val="8"/>
      </w:pPr>
    </w:p>
    <w:p w14:paraId="2B18BF7B">
      <w:pPr>
        <w:pStyle w:val="8"/>
      </w:pPr>
    </w:p>
    <w:p w14:paraId="73A8D2CF">
      <w:pPr>
        <w:pStyle w:val="8"/>
      </w:pPr>
    </w:p>
    <w:p w14:paraId="02E38B92">
      <w:pPr>
        <w:pStyle w:val="26"/>
        <w:spacing w:line="600" w:lineRule="exact"/>
        <w:outlineLvl w:val="1"/>
        <w:rPr>
          <w:rStyle w:val="20"/>
          <w:rFonts w:ascii="Times New Roman" w:hAnsi="Times New Roman" w:eastAsia="黑体"/>
          <w:b w:val="0"/>
        </w:rPr>
      </w:pPr>
      <w:bookmarkStart w:id="34" w:name="_Toc15377207"/>
      <w:bookmarkStart w:id="35" w:name="_Toc208217886"/>
      <w:bookmarkStart w:id="36" w:name="_Toc15396605"/>
      <w:r>
        <w:rPr>
          <w:rFonts w:hint="eastAsia" w:eastAsia="黑体"/>
          <w:sz w:val="32"/>
          <w:szCs w:val="32"/>
        </w:rPr>
        <w:t>三、支</w:t>
      </w:r>
      <w:r>
        <w:rPr>
          <w:rStyle w:val="20"/>
          <w:rFonts w:hint="eastAsia" w:ascii="Times New Roman" w:hAnsi="Times New Roman" w:eastAsia="黑体"/>
          <w:b w:val="0"/>
        </w:rPr>
        <w:t>出决算情况说明</w:t>
      </w:r>
      <w:bookmarkEnd w:id="34"/>
      <w:bookmarkEnd w:id="35"/>
      <w:bookmarkEnd w:id="36"/>
    </w:p>
    <w:p w14:paraId="7D3E0E8C">
      <w:pPr>
        <w:pStyle w:val="26"/>
        <w:spacing w:line="600" w:lineRule="exact"/>
        <w:jc w:val="left"/>
        <w:rPr>
          <w:rFonts w:eastAsia="仿宋_GB2312" w:cs="仿宋_GB2312"/>
          <w:sz w:val="32"/>
          <w:szCs w:val="32"/>
        </w:rPr>
      </w:pPr>
      <w:r>
        <w:rPr>
          <w:rFonts w:hint="eastAsia" w:ascii="仿宋_GB2312" w:eastAsia="仿宋_GB2312" w:cs="仿宋_GB2312"/>
          <w:sz w:val="32"/>
          <w:szCs w:val="32"/>
        </w:rPr>
        <w:t>2024年度本年支出合计406.87万元，其中：基本支出198.97万元，占48.9%；项目支出207.9万元，占51.09%；上缴上级支出0万元，占0%；经营支出0万元，占0%；对附属单位补助支出0万元，占0%。</w:t>
      </w:r>
    </w:p>
    <w:p w14:paraId="309F0F1E">
      <w:pPr>
        <w:ind w:firstLine="525" w:firstLineChars="250"/>
        <w:rPr>
          <w:rFonts w:eastAsia="仿宋_GB2312" w:cs="仿宋_GB2312"/>
          <w:sz w:val="32"/>
          <w:szCs w:val="32"/>
        </w:rPr>
      </w:pPr>
      <w:r>
        <w:drawing>
          <wp:inline distT="0" distB="0" distL="0" distR="0">
            <wp:extent cx="5274310" cy="3076575"/>
            <wp:effectExtent l="0" t="0" r="0" b="0"/>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F16CE2">
      <w:pPr>
        <w:pStyle w:val="13"/>
      </w:pPr>
    </w:p>
    <w:p w14:paraId="235EC30C">
      <w:pPr>
        <w:spacing w:line="600" w:lineRule="exact"/>
        <w:ind w:firstLine="640" w:firstLineChars="200"/>
        <w:outlineLvl w:val="1"/>
        <w:rPr>
          <w:rStyle w:val="20"/>
          <w:rFonts w:ascii="Times New Roman" w:hAnsi="Times New Roman" w:eastAsia="黑体"/>
          <w:b w:val="0"/>
        </w:rPr>
      </w:pPr>
      <w:bookmarkStart w:id="37" w:name="_Toc15396606"/>
      <w:bookmarkStart w:id="38" w:name="_Toc208217887"/>
      <w:bookmarkStart w:id="39" w:name="_Toc15377208"/>
      <w:r>
        <w:rPr>
          <w:rFonts w:hint="eastAsia" w:eastAsia="黑体"/>
          <w:sz w:val="32"/>
          <w:szCs w:val="32"/>
        </w:rPr>
        <w:t>四、财</w:t>
      </w:r>
      <w:r>
        <w:rPr>
          <w:rStyle w:val="20"/>
          <w:rFonts w:hint="eastAsia" w:ascii="Times New Roman" w:hAnsi="Times New Roman" w:eastAsia="黑体"/>
          <w:b w:val="0"/>
        </w:rPr>
        <w:t>政拨款收入支出决算总体情况说明</w:t>
      </w:r>
      <w:bookmarkEnd w:id="37"/>
      <w:bookmarkEnd w:id="38"/>
      <w:bookmarkEnd w:id="39"/>
    </w:p>
    <w:p w14:paraId="6FF6B03F">
      <w:pPr>
        <w:spacing w:line="600" w:lineRule="exact"/>
        <w:ind w:firstLine="640"/>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eastAsia="仿宋_GB2312" w:cs="仿宋_GB2312"/>
          <w:sz w:val="32"/>
          <w:szCs w:val="32"/>
        </w:rPr>
        <w:t>406.87</w:t>
      </w:r>
      <w:r>
        <w:rPr>
          <w:rFonts w:hint="eastAsia" w:eastAsia="仿宋_GB2312" w:cs="仿宋_GB2312"/>
          <w:sz w:val="32"/>
          <w:szCs w:val="32"/>
        </w:rPr>
        <w:t>万元。与2023年度相比，财政拨款收入总计、支出总计各增加173.15万元，增长43%。主要变动原因是项目预算增加。</w:t>
      </w:r>
    </w:p>
    <w:p w14:paraId="7DC12D4C">
      <w:pPr>
        <w:spacing w:line="600" w:lineRule="exact"/>
        <w:ind w:firstLine="640"/>
      </w:pPr>
      <w:r>
        <w:rPr>
          <w:rFonts w:ascii="仿宋" w:eastAsia="仿宋"/>
          <w:b/>
          <w:sz w:val="32"/>
          <w:szCs w:val="32"/>
        </w:rPr>
        <w:drawing>
          <wp:anchor distT="0" distB="0" distL="114300" distR="114300" simplePos="0" relativeHeight="251659264" behindDoc="1" locked="0" layoutInCell="1" allowOverlap="1">
            <wp:simplePos x="0" y="0"/>
            <wp:positionH relativeFrom="column">
              <wp:posOffset>373380</wp:posOffset>
            </wp:positionH>
            <wp:positionV relativeFrom="paragraph">
              <wp:posOffset>584200</wp:posOffset>
            </wp:positionV>
            <wp:extent cx="5274310" cy="3076575"/>
            <wp:effectExtent l="0" t="0" r="0" b="0"/>
            <wp:wrapNone/>
            <wp:docPr id="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F99E0D7">
      <w:pPr>
        <w:pStyle w:val="8"/>
      </w:pPr>
    </w:p>
    <w:p w14:paraId="2B226D72">
      <w:pPr>
        <w:pStyle w:val="8"/>
      </w:pPr>
    </w:p>
    <w:p w14:paraId="1D0913BA">
      <w:pPr>
        <w:pStyle w:val="8"/>
      </w:pPr>
    </w:p>
    <w:p w14:paraId="3654F8A0">
      <w:pPr>
        <w:pStyle w:val="8"/>
      </w:pPr>
    </w:p>
    <w:p w14:paraId="686C3A35">
      <w:pPr>
        <w:pStyle w:val="8"/>
      </w:pPr>
    </w:p>
    <w:p w14:paraId="6ACC0305">
      <w:pPr>
        <w:pStyle w:val="8"/>
      </w:pPr>
    </w:p>
    <w:p w14:paraId="067F5265">
      <w:pPr>
        <w:pStyle w:val="8"/>
      </w:pPr>
    </w:p>
    <w:p w14:paraId="73C4ECAF">
      <w:pPr>
        <w:pStyle w:val="8"/>
      </w:pPr>
    </w:p>
    <w:p w14:paraId="70B41F46">
      <w:pPr>
        <w:pStyle w:val="8"/>
      </w:pPr>
    </w:p>
    <w:p w14:paraId="79DB1FD6">
      <w:pPr>
        <w:pStyle w:val="8"/>
      </w:pPr>
    </w:p>
    <w:p w14:paraId="7391B4B2">
      <w:pPr>
        <w:pStyle w:val="8"/>
      </w:pPr>
    </w:p>
    <w:p w14:paraId="592C8FC5">
      <w:pPr>
        <w:spacing w:line="600" w:lineRule="exact"/>
        <w:ind w:firstLine="640" w:firstLineChars="200"/>
        <w:outlineLvl w:val="1"/>
        <w:rPr>
          <w:rFonts w:eastAsia="黑体"/>
          <w:sz w:val="32"/>
          <w:szCs w:val="32"/>
        </w:rPr>
      </w:pPr>
      <w:bookmarkStart w:id="40" w:name="_Toc15377209"/>
      <w:bookmarkStart w:id="41" w:name="_Toc15396607"/>
    </w:p>
    <w:p w14:paraId="34985BB2">
      <w:pPr>
        <w:spacing w:line="600" w:lineRule="exact"/>
        <w:ind w:firstLine="640" w:firstLineChars="200"/>
        <w:outlineLvl w:val="1"/>
        <w:rPr>
          <w:rStyle w:val="20"/>
          <w:rFonts w:ascii="Times New Roman" w:hAnsi="Times New Roman" w:eastAsia="黑体"/>
          <w:b w:val="0"/>
        </w:rPr>
      </w:pPr>
      <w:bookmarkStart w:id="42" w:name="_Toc208217888"/>
      <w:r>
        <w:rPr>
          <w:rFonts w:hint="eastAsia" w:eastAsia="黑体"/>
          <w:sz w:val="32"/>
          <w:szCs w:val="32"/>
        </w:rPr>
        <w:t>五、</w:t>
      </w:r>
      <w:r>
        <w:rPr>
          <w:rFonts w:hint="eastAsia" w:eastAsia="黑体"/>
          <w:b/>
          <w:sz w:val="32"/>
          <w:szCs w:val="32"/>
        </w:rPr>
        <w:t>一</w:t>
      </w:r>
      <w:r>
        <w:rPr>
          <w:rStyle w:val="20"/>
          <w:rFonts w:hint="eastAsia" w:ascii="Times New Roman" w:hAnsi="Times New Roman" w:eastAsia="黑体"/>
          <w:b w:val="0"/>
        </w:rPr>
        <w:t>般公共预算财政拨款支出决算情况说明</w:t>
      </w:r>
      <w:bookmarkEnd w:id="40"/>
      <w:bookmarkEnd w:id="41"/>
      <w:bookmarkEnd w:id="42"/>
    </w:p>
    <w:p w14:paraId="32B36EA8">
      <w:pPr>
        <w:spacing w:line="600" w:lineRule="exact"/>
        <w:ind w:firstLine="643" w:firstLineChars="200"/>
        <w:outlineLvl w:val="2"/>
        <w:rPr>
          <w:rFonts w:eastAsia="楷体_GB2312" w:cs="楷体_GB2312"/>
          <w:b/>
          <w:sz w:val="32"/>
          <w:szCs w:val="32"/>
        </w:rPr>
      </w:pPr>
      <w:bookmarkStart w:id="43" w:name="_Toc208217889"/>
      <w:bookmarkStart w:id="44" w:name="_Toc15377210"/>
      <w:r>
        <w:rPr>
          <w:rFonts w:hint="eastAsia" w:eastAsia="楷体_GB2312" w:cs="楷体_GB2312"/>
          <w:b/>
          <w:sz w:val="32"/>
          <w:szCs w:val="32"/>
        </w:rPr>
        <w:t>（一）一般公共预算财政拨款支出决算总体情况</w:t>
      </w:r>
      <w:bookmarkEnd w:id="43"/>
      <w:bookmarkEnd w:id="44"/>
    </w:p>
    <w:p w14:paraId="3582F453">
      <w:pPr>
        <w:spacing w:line="600" w:lineRule="exact"/>
        <w:ind w:firstLine="640"/>
        <w:rPr>
          <w:rFonts w:eastAsia="仿宋_GB2312" w:cs="仿宋_GB2312"/>
          <w:sz w:val="32"/>
          <w:szCs w:val="32"/>
        </w:rPr>
      </w:pPr>
      <w:r>
        <w:rPr>
          <w:rFonts w:hint="eastAsia" w:ascii="仿宋_GB2312" w:eastAsia="仿宋_GB2312" w:cs="仿宋_GB2312"/>
          <w:sz w:val="32"/>
          <w:szCs w:val="32"/>
        </w:rPr>
        <w:t>2024年度一般公共预算财政拨款支出406.87万元，占本年支出合计的100%。与2023年度相比，一般公共预算财政拨款支出增加173.15万元，增长43%。主要变动原因是项目预算增加。</w:t>
      </w:r>
    </w:p>
    <w:p w14:paraId="07FDC668">
      <w:pPr>
        <w:pStyle w:val="13"/>
      </w:pPr>
    </w:p>
    <w:p w14:paraId="1D4A2240">
      <w:pPr>
        <w:pStyle w:val="13"/>
      </w:pPr>
    </w:p>
    <w:p w14:paraId="54DCCA74">
      <w:pPr>
        <w:pStyle w:val="8"/>
      </w:pPr>
      <w:r>
        <w:rPr>
          <w:rFonts w:hint="eastAsia" w:ascii="仿宋" w:eastAsia="仿宋"/>
          <w:sz w:val="32"/>
        </w:rPr>
        <w:drawing>
          <wp:anchor distT="0" distB="0" distL="114300" distR="114300" simplePos="0" relativeHeight="251659264" behindDoc="1" locked="0" layoutInCell="1" allowOverlap="1">
            <wp:simplePos x="0" y="0"/>
            <wp:positionH relativeFrom="column">
              <wp:posOffset>449580</wp:posOffset>
            </wp:positionH>
            <wp:positionV relativeFrom="paragraph">
              <wp:posOffset>-253365</wp:posOffset>
            </wp:positionV>
            <wp:extent cx="5274310" cy="3076575"/>
            <wp:effectExtent l="0" t="0" r="0" b="0"/>
            <wp:wrapNone/>
            <wp:docPr id="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610D04C">
      <w:pPr>
        <w:pStyle w:val="8"/>
      </w:pPr>
    </w:p>
    <w:p w14:paraId="55560F12">
      <w:pPr>
        <w:pStyle w:val="8"/>
      </w:pPr>
    </w:p>
    <w:p w14:paraId="2A5EA7E4">
      <w:pPr>
        <w:pStyle w:val="8"/>
      </w:pPr>
    </w:p>
    <w:p w14:paraId="39954100">
      <w:pPr>
        <w:pStyle w:val="8"/>
      </w:pPr>
    </w:p>
    <w:p w14:paraId="33152B46">
      <w:pPr>
        <w:pStyle w:val="8"/>
      </w:pPr>
    </w:p>
    <w:p w14:paraId="6603B2C3">
      <w:pPr>
        <w:pStyle w:val="8"/>
      </w:pPr>
    </w:p>
    <w:p w14:paraId="04B3A5C9">
      <w:pPr>
        <w:pStyle w:val="8"/>
      </w:pPr>
    </w:p>
    <w:p w14:paraId="3B7EE82C">
      <w:pPr>
        <w:spacing w:line="600" w:lineRule="exact"/>
        <w:ind w:firstLine="640"/>
        <w:rPr>
          <w:rFonts w:eastAsia="仿宋_GB2312" w:cs="仿宋_GB2312"/>
          <w:sz w:val="32"/>
          <w:szCs w:val="32"/>
        </w:rPr>
      </w:pPr>
    </w:p>
    <w:p w14:paraId="4AB2FA6E">
      <w:pPr>
        <w:pStyle w:val="13"/>
      </w:pPr>
    </w:p>
    <w:p w14:paraId="5386F848">
      <w:pPr>
        <w:pStyle w:val="8"/>
      </w:pPr>
    </w:p>
    <w:p w14:paraId="4D71C31C">
      <w:pPr>
        <w:spacing w:line="600" w:lineRule="exact"/>
        <w:ind w:firstLine="643" w:firstLineChars="200"/>
        <w:outlineLvl w:val="2"/>
        <w:rPr>
          <w:rFonts w:eastAsia="楷体_GB2312" w:cs="楷体_GB2312"/>
          <w:b/>
          <w:sz w:val="32"/>
          <w:szCs w:val="32"/>
        </w:rPr>
      </w:pPr>
      <w:bookmarkStart w:id="45" w:name="_Toc208217890"/>
      <w:bookmarkStart w:id="46" w:name="_Toc15377211"/>
      <w:r>
        <w:rPr>
          <w:rFonts w:hint="eastAsia" w:eastAsia="楷体_GB2312" w:cs="楷体_GB2312"/>
          <w:b/>
          <w:sz w:val="32"/>
          <w:szCs w:val="32"/>
        </w:rPr>
        <w:t>（二）一般公共预算财政拨款支出决算结构情况</w:t>
      </w:r>
      <w:bookmarkEnd w:id="45"/>
      <w:bookmarkEnd w:id="46"/>
    </w:p>
    <w:p w14:paraId="1AC0F69A">
      <w:pPr>
        <w:spacing w:line="600" w:lineRule="exact"/>
        <w:ind w:firstLine="640"/>
        <w:rPr>
          <w:rFonts w:ascii="仿宋" w:eastAsia="仿宋"/>
          <w:b/>
          <w:sz w:val="32"/>
          <w:szCs w:val="32"/>
        </w:rPr>
      </w:pPr>
      <w:r>
        <w:rPr>
          <w:rFonts w:hint="eastAsia" w:eastAsia="仿宋_GB2312" w:cs="仿宋_GB2312"/>
          <w:sz w:val="32"/>
          <w:szCs w:val="32"/>
        </w:rPr>
        <w:t>2024年度一般公共预算财政拨款支出</w:t>
      </w:r>
      <w:r>
        <w:rPr>
          <w:rFonts w:hint="eastAsia" w:ascii="仿宋_GB2312" w:eastAsia="仿宋_GB2312" w:cs="仿宋_GB2312"/>
          <w:sz w:val="32"/>
          <w:szCs w:val="32"/>
        </w:rPr>
        <w:t>406.87万元</w:t>
      </w:r>
      <w:r>
        <w:rPr>
          <w:rFonts w:hint="eastAsia" w:eastAsia="仿宋_GB2312" w:cs="仿宋_GB2312"/>
          <w:sz w:val="32"/>
          <w:szCs w:val="32"/>
        </w:rPr>
        <w:t>，主要用于以下方面：</w:t>
      </w:r>
      <w:r>
        <w:rPr>
          <w:rFonts w:hint="eastAsia" w:ascii="仿宋" w:eastAsia="仿宋"/>
          <w:b/>
          <w:sz w:val="32"/>
          <w:szCs w:val="32"/>
        </w:rPr>
        <w:t>社会保障和就业</w:t>
      </w:r>
      <w:r>
        <w:rPr>
          <w:rFonts w:hint="eastAsia" w:ascii="仿宋" w:eastAsia="仿宋"/>
          <w:b/>
          <w:bCs/>
          <w:sz w:val="32"/>
          <w:szCs w:val="32"/>
        </w:rPr>
        <w:t>支出</w:t>
      </w:r>
      <w:r>
        <w:rPr>
          <w:rFonts w:hint="eastAsia" w:ascii="仿宋" w:eastAsia="仿宋"/>
          <w:b/>
          <w:sz w:val="32"/>
          <w:szCs w:val="32"/>
        </w:rPr>
        <w:t>23.64万元，占5.8</w:t>
      </w:r>
      <w:r>
        <w:rPr>
          <w:rFonts w:ascii="仿宋" w:eastAsia="仿宋"/>
          <w:b/>
          <w:sz w:val="32"/>
          <w:szCs w:val="32"/>
        </w:rPr>
        <w:t>%</w:t>
      </w:r>
      <w:r>
        <w:rPr>
          <w:rFonts w:hint="eastAsia" w:ascii="仿宋" w:eastAsia="仿宋"/>
          <w:b/>
          <w:sz w:val="32"/>
          <w:szCs w:val="32"/>
        </w:rPr>
        <w:t>；自然资源海洋气象等支出356.55万元，占87.6</w:t>
      </w:r>
      <w:r>
        <w:rPr>
          <w:rFonts w:ascii="仿宋" w:eastAsia="仿宋"/>
          <w:b/>
          <w:sz w:val="32"/>
          <w:szCs w:val="32"/>
        </w:rPr>
        <w:t>%</w:t>
      </w:r>
      <w:r>
        <w:rPr>
          <w:rFonts w:hint="eastAsia" w:ascii="仿宋" w:eastAsia="仿宋"/>
          <w:b/>
          <w:sz w:val="32"/>
          <w:szCs w:val="32"/>
        </w:rPr>
        <w:t>；住房保障支出14.74万元，占3.6</w:t>
      </w:r>
      <w:r>
        <w:rPr>
          <w:rFonts w:ascii="仿宋" w:eastAsia="仿宋"/>
          <w:b/>
          <w:sz w:val="32"/>
          <w:szCs w:val="32"/>
        </w:rPr>
        <w:t>%</w:t>
      </w:r>
      <w:r>
        <w:rPr>
          <w:rFonts w:hint="eastAsia" w:ascii="仿宋" w:eastAsia="仿宋"/>
          <w:b/>
          <w:sz w:val="32"/>
          <w:szCs w:val="32"/>
        </w:rPr>
        <w:t>；卫生健康支出11.94万元，占3%。</w:t>
      </w:r>
    </w:p>
    <w:p w14:paraId="495C09C9">
      <w:pPr>
        <w:pStyle w:val="13"/>
      </w:pPr>
    </w:p>
    <w:p w14:paraId="52DC4F21">
      <w:pPr>
        <w:pStyle w:val="8"/>
      </w:pPr>
    </w:p>
    <w:p w14:paraId="79819403">
      <w:pPr>
        <w:pStyle w:val="8"/>
      </w:pPr>
    </w:p>
    <w:p w14:paraId="3DD21BC6">
      <w:pPr>
        <w:pStyle w:val="8"/>
      </w:pPr>
    </w:p>
    <w:p w14:paraId="58DB5FE3">
      <w:pPr>
        <w:pStyle w:val="8"/>
      </w:pPr>
    </w:p>
    <w:p w14:paraId="75F964A8">
      <w:pPr>
        <w:spacing w:line="600" w:lineRule="exact"/>
        <w:ind w:firstLine="640"/>
        <w:rPr>
          <w:rFonts w:eastAsia="仿宋_GB2312" w:cs="仿宋_GB2312"/>
          <w:sz w:val="32"/>
          <w:szCs w:val="32"/>
        </w:rPr>
      </w:pPr>
      <w:r>
        <w:rPr>
          <w:rFonts w:hint="eastAsia" w:ascii="仿宋" w:eastAsia="仿宋"/>
          <w:sz w:val="32"/>
          <w:szCs w:val="32"/>
        </w:rPr>
        <w:drawing>
          <wp:anchor distT="0" distB="0" distL="114300" distR="114300" simplePos="0" relativeHeight="251659264" behindDoc="0" locked="0" layoutInCell="1" allowOverlap="1">
            <wp:simplePos x="0" y="0"/>
            <wp:positionH relativeFrom="column">
              <wp:posOffset>472440</wp:posOffset>
            </wp:positionH>
            <wp:positionV relativeFrom="paragraph">
              <wp:posOffset>350520</wp:posOffset>
            </wp:positionV>
            <wp:extent cx="5274310" cy="3076575"/>
            <wp:effectExtent l="0" t="0" r="0" b="0"/>
            <wp:wrapNone/>
            <wp:docPr id="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B509980">
      <w:pPr>
        <w:pStyle w:val="13"/>
      </w:pPr>
    </w:p>
    <w:p w14:paraId="75850854">
      <w:pPr>
        <w:pStyle w:val="8"/>
      </w:pPr>
    </w:p>
    <w:p w14:paraId="3DA2A874">
      <w:pPr>
        <w:pStyle w:val="8"/>
      </w:pPr>
    </w:p>
    <w:p w14:paraId="00E4DD6E">
      <w:pPr>
        <w:pStyle w:val="8"/>
      </w:pPr>
    </w:p>
    <w:p w14:paraId="51155D9F">
      <w:pPr>
        <w:pStyle w:val="8"/>
      </w:pPr>
    </w:p>
    <w:p w14:paraId="2B295D3C">
      <w:pPr>
        <w:pStyle w:val="8"/>
      </w:pPr>
    </w:p>
    <w:p w14:paraId="194156DF">
      <w:pPr>
        <w:spacing w:line="600" w:lineRule="exact"/>
        <w:ind w:firstLine="643" w:firstLineChars="200"/>
        <w:outlineLvl w:val="2"/>
        <w:rPr>
          <w:rFonts w:eastAsia="楷体_GB2312" w:cs="楷体_GB2312"/>
          <w:b/>
          <w:sz w:val="32"/>
          <w:szCs w:val="32"/>
        </w:rPr>
      </w:pPr>
      <w:bookmarkStart w:id="47" w:name="_Toc15377212"/>
    </w:p>
    <w:p w14:paraId="3B106820">
      <w:pPr>
        <w:spacing w:line="600" w:lineRule="exact"/>
        <w:ind w:firstLine="643" w:firstLineChars="200"/>
        <w:outlineLvl w:val="2"/>
        <w:rPr>
          <w:rFonts w:eastAsia="楷体_GB2312" w:cs="楷体_GB2312"/>
          <w:b/>
          <w:sz w:val="32"/>
          <w:szCs w:val="32"/>
        </w:rPr>
      </w:pPr>
    </w:p>
    <w:p w14:paraId="3D1CE868">
      <w:pPr>
        <w:spacing w:line="600" w:lineRule="exact"/>
        <w:ind w:firstLine="643" w:firstLineChars="200"/>
        <w:outlineLvl w:val="2"/>
        <w:rPr>
          <w:rFonts w:eastAsia="楷体_GB2312" w:cs="楷体_GB2312"/>
          <w:b/>
          <w:sz w:val="32"/>
          <w:szCs w:val="32"/>
        </w:rPr>
      </w:pPr>
    </w:p>
    <w:p w14:paraId="0B291A20">
      <w:pPr>
        <w:spacing w:line="600" w:lineRule="exact"/>
        <w:ind w:firstLine="643" w:firstLineChars="200"/>
        <w:outlineLvl w:val="2"/>
        <w:rPr>
          <w:rFonts w:eastAsia="楷体_GB2312" w:cs="楷体_GB2312"/>
          <w:b/>
          <w:sz w:val="32"/>
          <w:szCs w:val="32"/>
        </w:rPr>
      </w:pPr>
    </w:p>
    <w:p w14:paraId="60882B87">
      <w:pPr>
        <w:spacing w:line="600" w:lineRule="exact"/>
        <w:ind w:firstLine="643" w:firstLineChars="200"/>
        <w:outlineLvl w:val="2"/>
        <w:rPr>
          <w:rFonts w:eastAsia="楷体_GB2312" w:cs="楷体_GB2312"/>
          <w:b/>
          <w:sz w:val="32"/>
          <w:szCs w:val="32"/>
        </w:rPr>
      </w:pPr>
    </w:p>
    <w:p w14:paraId="320423F3">
      <w:pPr>
        <w:spacing w:line="600" w:lineRule="exact"/>
        <w:ind w:firstLine="643" w:firstLineChars="200"/>
        <w:outlineLvl w:val="2"/>
        <w:rPr>
          <w:rFonts w:eastAsia="楷体_GB2312" w:cs="楷体_GB2312"/>
          <w:b/>
          <w:sz w:val="32"/>
          <w:szCs w:val="32"/>
        </w:rPr>
      </w:pPr>
      <w:bookmarkStart w:id="48" w:name="_Toc208217891"/>
      <w:r>
        <w:rPr>
          <w:rFonts w:hint="eastAsia" w:eastAsia="楷体_GB2312" w:cs="楷体_GB2312"/>
          <w:b/>
          <w:sz w:val="32"/>
          <w:szCs w:val="32"/>
        </w:rPr>
        <w:t>（三）一般公共预算财政拨款支出决算具体情况</w:t>
      </w:r>
      <w:bookmarkEnd w:id="47"/>
      <w:bookmarkEnd w:id="48"/>
    </w:p>
    <w:p w14:paraId="27452C98">
      <w:pPr>
        <w:spacing w:line="600" w:lineRule="exact"/>
        <w:ind w:firstLine="640"/>
        <w:rPr>
          <w:rFonts w:eastAsia="仿宋_GB2312" w:cs="仿宋_GB2312"/>
          <w:sz w:val="32"/>
          <w:szCs w:val="32"/>
        </w:rPr>
      </w:pPr>
      <w:bookmarkStart w:id="49" w:name="_Toc15377444"/>
      <w:bookmarkStart w:id="50" w:name="_Toc15378460"/>
      <w:bookmarkStart w:id="51" w:name="_Toc15377213"/>
      <w:r>
        <w:rPr>
          <w:rFonts w:hint="eastAsia" w:eastAsia="仿宋_GB2312" w:cs="仿宋_GB2312"/>
          <w:sz w:val="32"/>
          <w:szCs w:val="32"/>
        </w:rPr>
        <w:t>2024年度一般公共预算财政拨款支出决算数为</w:t>
      </w:r>
      <w:r>
        <w:rPr>
          <w:rFonts w:hint="eastAsia" w:ascii="仿宋_GB2312" w:eastAsia="仿宋_GB2312" w:cs="仿宋_GB2312"/>
          <w:sz w:val="32"/>
          <w:szCs w:val="32"/>
        </w:rPr>
        <w:t>406.87，</w:t>
      </w:r>
      <w:r>
        <w:rPr>
          <w:rFonts w:hint="eastAsia" w:eastAsia="仿宋_GB2312" w:cs="仿宋_GB2312"/>
          <w:sz w:val="32"/>
          <w:szCs w:val="32"/>
        </w:rPr>
        <w:t>完成预算100%。其中：</w:t>
      </w:r>
      <w:bookmarkEnd w:id="49"/>
      <w:bookmarkEnd w:id="50"/>
      <w:bookmarkEnd w:id="51"/>
    </w:p>
    <w:p w14:paraId="5266EBA1">
      <w:pPr>
        <w:spacing w:line="600" w:lineRule="exact"/>
        <w:ind w:firstLine="643" w:firstLineChars="200"/>
        <w:rPr>
          <w:rStyle w:val="17"/>
          <w:rFonts w:ascii="仿宋" w:eastAsia="仿宋"/>
          <w:b w:val="0"/>
          <w:sz w:val="32"/>
          <w:szCs w:val="32"/>
        </w:rPr>
      </w:pPr>
      <w:r>
        <w:rPr>
          <w:rStyle w:val="17"/>
          <w:rFonts w:ascii="仿宋" w:eastAsia="仿宋"/>
          <w:bCs/>
          <w:sz w:val="32"/>
          <w:szCs w:val="32"/>
        </w:rPr>
        <w:t>1.</w:t>
      </w:r>
      <w:r>
        <w:rPr>
          <w:rStyle w:val="17"/>
          <w:rFonts w:hint="eastAsia" w:ascii="仿宋" w:eastAsia="仿宋"/>
          <w:bCs/>
          <w:sz w:val="32"/>
          <w:szCs w:val="32"/>
        </w:rPr>
        <w:t>社会保障和就业（类）行政事业单位养老支出（款）机关事业单位基本养老保险缴费支出（项）</w:t>
      </w:r>
      <w:r>
        <w:rPr>
          <w:rStyle w:val="17"/>
          <w:rFonts w:ascii="仿宋" w:eastAsia="仿宋"/>
          <w:bCs/>
          <w:sz w:val="32"/>
          <w:szCs w:val="32"/>
        </w:rPr>
        <w:t xml:space="preserve">: </w:t>
      </w:r>
      <w:r>
        <w:rPr>
          <w:rStyle w:val="17"/>
          <w:rFonts w:hint="eastAsia" w:ascii="仿宋" w:eastAsia="仿宋"/>
          <w:b w:val="0"/>
          <w:sz w:val="32"/>
          <w:szCs w:val="32"/>
        </w:rPr>
        <w:t>支出决算为19.7万元，完成预算100</w:t>
      </w:r>
      <w:r>
        <w:rPr>
          <w:rStyle w:val="17"/>
          <w:rFonts w:ascii="仿宋" w:eastAsia="仿宋"/>
          <w:b w:val="0"/>
          <w:sz w:val="32"/>
          <w:szCs w:val="32"/>
        </w:rPr>
        <w:t>%</w:t>
      </w:r>
      <w:r>
        <w:rPr>
          <w:rStyle w:val="17"/>
          <w:rFonts w:hint="eastAsia" w:ascii="仿宋" w:eastAsia="仿宋"/>
          <w:b w:val="0"/>
          <w:sz w:val="32"/>
          <w:szCs w:val="32"/>
        </w:rPr>
        <w:t>。</w:t>
      </w:r>
    </w:p>
    <w:p w14:paraId="10DB350C">
      <w:pPr>
        <w:spacing w:line="600" w:lineRule="exact"/>
        <w:ind w:firstLine="643" w:firstLineChars="200"/>
        <w:rPr>
          <w:rStyle w:val="17"/>
          <w:rFonts w:ascii="仿宋" w:eastAsia="仿宋"/>
          <w:b w:val="0"/>
          <w:sz w:val="32"/>
          <w:szCs w:val="32"/>
        </w:rPr>
      </w:pPr>
      <w:r>
        <w:rPr>
          <w:rStyle w:val="17"/>
          <w:rFonts w:hint="eastAsia" w:ascii="仿宋" w:eastAsia="仿宋"/>
          <w:bCs/>
          <w:sz w:val="32"/>
          <w:szCs w:val="32"/>
        </w:rPr>
        <w:t>2</w:t>
      </w:r>
      <w:r>
        <w:rPr>
          <w:rStyle w:val="17"/>
          <w:rFonts w:ascii="仿宋" w:eastAsia="仿宋"/>
          <w:bCs/>
          <w:sz w:val="32"/>
          <w:szCs w:val="32"/>
        </w:rPr>
        <w:t>.</w:t>
      </w:r>
      <w:r>
        <w:rPr>
          <w:rStyle w:val="17"/>
          <w:rFonts w:hint="eastAsia" w:ascii="仿宋" w:eastAsia="仿宋"/>
          <w:bCs/>
          <w:sz w:val="32"/>
          <w:szCs w:val="32"/>
        </w:rPr>
        <w:t>社会保障和就业（类）行政事业单位养老支出（款）事业单位离退休（项）</w:t>
      </w:r>
      <w:r>
        <w:rPr>
          <w:rStyle w:val="17"/>
          <w:rFonts w:ascii="仿宋" w:eastAsia="仿宋"/>
          <w:bCs/>
          <w:sz w:val="32"/>
          <w:szCs w:val="32"/>
        </w:rPr>
        <w:t xml:space="preserve">: </w:t>
      </w:r>
      <w:r>
        <w:rPr>
          <w:rStyle w:val="17"/>
          <w:rFonts w:hint="eastAsia" w:ascii="仿宋" w:eastAsia="仿宋"/>
          <w:b w:val="0"/>
          <w:sz w:val="32"/>
          <w:szCs w:val="32"/>
        </w:rPr>
        <w:t>支出决算为3.94万元，完成预算100</w:t>
      </w:r>
      <w:r>
        <w:rPr>
          <w:rStyle w:val="17"/>
          <w:rFonts w:ascii="仿宋" w:eastAsia="仿宋"/>
          <w:b w:val="0"/>
          <w:sz w:val="32"/>
          <w:szCs w:val="32"/>
        </w:rPr>
        <w:t>%</w:t>
      </w:r>
      <w:r>
        <w:rPr>
          <w:rStyle w:val="17"/>
          <w:rFonts w:hint="eastAsia" w:ascii="仿宋" w:eastAsia="仿宋"/>
          <w:b w:val="0"/>
          <w:sz w:val="32"/>
          <w:szCs w:val="32"/>
        </w:rPr>
        <w:t>。</w:t>
      </w:r>
    </w:p>
    <w:p w14:paraId="2B8CBB03">
      <w:pPr>
        <w:spacing w:line="600" w:lineRule="exact"/>
        <w:ind w:firstLine="643" w:firstLineChars="200"/>
        <w:rPr>
          <w:rStyle w:val="17"/>
          <w:rFonts w:ascii="仿宋" w:eastAsia="仿宋"/>
          <w:b w:val="0"/>
          <w:sz w:val="32"/>
          <w:szCs w:val="32"/>
        </w:rPr>
      </w:pPr>
      <w:r>
        <w:rPr>
          <w:rStyle w:val="17"/>
          <w:rFonts w:hint="eastAsia" w:ascii="仿宋" w:eastAsia="仿宋"/>
          <w:bCs/>
          <w:sz w:val="32"/>
          <w:szCs w:val="32"/>
        </w:rPr>
        <w:t>3</w:t>
      </w:r>
      <w:r>
        <w:rPr>
          <w:rStyle w:val="17"/>
          <w:rFonts w:ascii="仿宋" w:eastAsia="仿宋"/>
          <w:bCs/>
          <w:sz w:val="32"/>
          <w:szCs w:val="32"/>
        </w:rPr>
        <w:t>.</w:t>
      </w:r>
      <w:r>
        <w:rPr>
          <w:rFonts w:hint="eastAsia" w:ascii="仿宋" w:eastAsia="仿宋"/>
          <w:b/>
          <w:bCs/>
          <w:sz w:val="32"/>
          <w:szCs w:val="32"/>
        </w:rPr>
        <w:t>自然资源海洋气象等支出</w:t>
      </w:r>
      <w:r>
        <w:rPr>
          <w:rStyle w:val="17"/>
          <w:rFonts w:hint="eastAsia" w:ascii="仿宋" w:eastAsia="仿宋"/>
          <w:bCs/>
          <w:sz w:val="32"/>
          <w:szCs w:val="32"/>
        </w:rPr>
        <w:t>（类）自然资源事务（款）事业运行（项）</w:t>
      </w:r>
      <w:r>
        <w:rPr>
          <w:rStyle w:val="17"/>
          <w:rFonts w:ascii="仿宋" w:eastAsia="仿宋"/>
          <w:bCs/>
          <w:sz w:val="32"/>
          <w:szCs w:val="32"/>
        </w:rPr>
        <w:t>:</w:t>
      </w:r>
      <w:r>
        <w:rPr>
          <w:rStyle w:val="17"/>
          <w:rFonts w:hint="eastAsia" w:ascii="仿宋" w:eastAsia="仿宋"/>
          <w:b w:val="0"/>
          <w:sz w:val="32"/>
          <w:szCs w:val="32"/>
        </w:rPr>
        <w:t>支出决算为148.65万元，完成预100</w:t>
      </w:r>
      <w:r>
        <w:rPr>
          <w:rStyle w:val="17"/>
          <w:rFonts w:ascii="仿宋" w:eastAsia="仿宋"/>
          <w:b w:val="0"/>
          <w:sz w:val="32"/>
          <w:szCs w:val="32"/>
        </w:rPr>
        <w:t>%</w:t>
      </w:r>
      <w:r>
        <w:rPr>
          <w:rStyle w:val="17"/>
          <w:rFonts w:hint="eastAsia" w:ascii="仿宋" w:eastAsia="仿宋"/>
          <w:b w:val="0"/>
          <w:sz w:val="32"/>
          <w:szCs w:val="32"/>
        </w:rPr>
        <w:t>算数。</w:t>
      </w:r>
    </w:p>
    <w:p w14:paraId="7D977710">
      <w:pPr>
        <w:spacing w:line="600" w:lineRule="exact"/>
        <w:ind w:firstLine="643" w:firstLineChars="200"/>
        <w:rPr>
          <w:rStyle w:val="17"/>
          <w:rFonts w:ascii="仿宋" w:eastAsia="仿宋"/>
          <w:b w:val="0"/>
          <w:sz w:val="32"/>
          <w:szCs w:val="32"/>
        </w:rPr>
      </w:pPr>
      <w:r>
        <w:rPr>
          <w:rStyle w:val="17"/>
          <w:rFonts w:hint="eastAsia" w:ascii="仿宋" w:eastAsia="仿宋"/>
          <w:bCs/>
          <w:sz w:val="32"/>
          <w:szCs w:val="32"/>
        </w:rPr>
        <w:t>4</w:t>
      </w:r>
      <w:r>
        <w:rPr>
          <w:rStyle w:val="17"/>
          <w:rFonts w:ascii="仿宋" w:eastAsia="仿宋"/>
          <w:bCs/>
          <w:sz w:val="32"/>
          <w:szCs w:val="32"/>
        </w:rPr>
        <w:t>.</w:t>
      </w:r>
      <w:r>
        <w:rPr>
          <w:rFonts w:hint="eastAsia" w:ascii="仿宋" w:eastAsia="仿宋"/>
          <w:b/>
          <w:bCs/>
          <w:sz w:val="32"/>
          <w:szCs w:val="32"/>
        </w:rPr>
        <w:t>自然资源海洋气象等支出</w:t>
      </w:r>
      <w:r>
        <w:rPr>
          <w:rStyle w:val="17"/>
          <w:rFonts w:hint="eastAsia" w:ascii="仿宋" w:eastAsia="仿宋"/>
          <w:bCs/>
          <w:sz w:val="32"/>
          <w:szCs w:val="32"/>
        </w:rPr>
        <w:t>（类）自然资源事务（款）其他自然资源事务支出（项）</w:t>
      </w:r>
      <w:r>
        <w:rPr>
          <w:rStyle w:val="17"/>
          <w:rFonts w:ascii="仿宋" w:eastAsia="仿宋"/>
          <w:bCs/>
          <w:sz w:val="32"/>
          <w:szCs w:val="32"/>
        </w:rPr>
        <w:t>:</w:t>
      </w:r>
      <w:r>
        <w:rPr>
          <w:rStyle w:val="17"/>
          <w:rFonts w:hint="eastAsia" w:ascii="仿宋" w:eastAsia="仿宋"/>
          <w:b w:val="0"/>
          <w:sz w:val="32"/>
          <w:szCs w:val="32"/>
        </w:rPr>
        <w:t>支出决算为154万元，完成预100</w:t>
      </w:r>
      <w:r>
        <w:rPr>
          <w:rStyle w:val="17"/>
          <w:rFonts w:ascii="仿宋" w:eastAsia="仿宋"/>
          <w:b w:val="0"/>
          <w:sz w:val="32"/>
          <w:szCs w:val="32"/>
        </w:rPr>
        <w:t>%</w:t>
      </w:r>
      <w:r>
        <w:rPr>
          <w:rStyle w:val="17"/>
          <w:rFonts w:hint="eastAsia" w:ascii="仿宋" w:eastAsia="仿宋"/>
          <w:b w:val="0"/>
          <w:sz w:val="32"/>
          <w:szCs w:val="32"/>
        </w:rPr>
        <w:t>算数。</w:t>
      </w:r>
    </w:p>
    <w:p w14:paraId="27F6D24C">
      <w:pPr>
        <w:spacing w:line="600" w:lineRule="exact"/>
        <w:ind w:firstLine="643" w:firstLineChars="200"/>
        <w:rPr>
          <w:rStyle w:val="17"/>
          <w:rFonts w:ascii="仿宋" w:eastAsia="仿宋"/>
          <w:b w:val="0"/>
          <w:sz w:val="32"/>
          <w:szCs w:val="32"/>
        </w:rPr>
      </w:pPr>
      <w:r>
        <w:rPr>
          <w:rStyle w:val="17"/>
          <w:rFonts w:hint="eastAsia" w:ascii="仿宋" w:eastAsia="仿宋"/>
          <w:bCs/>
          <w:sz w:val="32"/>
          <w:szCs w:val="32"/>
        </w:rPr>
        <w:t>5</w:t>
      </w:r>
      <w:r>
        <w:rPr>
          <w:rStyle w:val="17"/>
          <w:rFonts w:ascii="仿宋" w:eastAsia="仿宋"/>
          <w:bCs/>
          <w:sz w:val="32"/>
          <w:szCs w:val="32"/>
        </w:rPr>
        <w:t>.</w:t>
      </w:r>
      <w:r>
        <w:rPr>
          <w:rFonts w:hint="eastAsia" w:ascii="仿宋" w:eastAsia="仿宋"/>
          <w:b/>
          <w:bCs/>
          <w:sz w:val="32"/>
          <w:szCs w:val="32"/>
        </w:rPr>
        <w:t>自然资源海洋气象等支出</w:t>
      </w:r>
      <w:r>
        <w:rPr>
          <w:rStyle w:val="17"/>
          <w:rFonts w:hint="eastAsia" w:ascii="仿宋" w:eastAsia="仿宋"/>
          <w:bCs/>
          <w:sz w:val="32"/>
          <w:szCs w:val="32"/>
        </w:rPr>
        <w:t>（类）自然资源事务（款）</w:t>
      </w:r>
      <w:r>
        <w:rPr>
          <w:rFonts w:hint="eastAsia" w:ascii="仿宋" w:eastAsia="仿宋"/>
          <w:b/>
          <w:bCs/>
          <w:sz w:val="32"/>
          <w:szCs w:val="32"/>
        </w:rPr>
        <w:t>基础测绘与地理信息监管</w:t>
      </w:r>
      <w:r>
        <w:rPr>
          <w:rStyle w:val="17"/>
          <w:rFonts w:hint="eastAsia" w:ascii="仿宋" w:eastAsia="仿宋"/>
          <w:bCs/>
          <w:sz w:val="32"/>
          <w:szCs w:val="32"/>
        </w:rPr>
        <w:t xml:space="preserve">（项）: </w:t>
      </w:r>
      <w:r>
        <w:rPr>
          <w:rStyle w:val="17"/>
          <w:rFonts w:hint="eastAsia" w:ascii="仿宋" w:eastAsia="仿宋"/>
          <w:b w:val="0"/>
          <w:sz w:val="32"/>
          <w:szCs w:val="32"/>
        </w:rPr>
        <w:t>支出决算为53.9万元，完成预100</w:t>
      </w:r>
      <w:r>
        <w:rPr>
          <w:rStyle w:val="17"/>
          <w:rFonts w:ascii="仿宋" w:eastAsia="仿宋"/>
          <w:b w:val="0"/>
          <w:sz w:val="32"/>
          <w:szCs w:val="32"/>
        </w:rPr>
        <w:t>%</w:t>
      </w:r>
      <w:r>
        <w:rPr>
          <w:rStyle w:val="17"/>
          <w:rFonts w:hint="eastAsia" w:ascii="仿宋" w:eastAsia="仿宋"/>
          <w:b w:val="0"/>
          <w:sz w:val="32"/>
          <w:szCs w:val="32"/>
        </w:rPr>
        <w:t>算数。</w:t>
      </w:r>
    </w:p>
    <w:p w14:paraId="05F2BB09">
      <w:pPr>
        <w:spacing w:line="600" w:lineRule="exact"/>
        <w:ind w:firstLine="643" w:firstLineChars="200"/>
        <w:rPr>
          <w:rStyle w:val="17"/>
          <w:rFonts w:ascii="仿宋" w:eastAsia="仿宋"/>
          <w:b w:val="0"/>
          <w:sz w:val="32"/>
          <w:szCs w:val="32"/>
        </w:rPr>
      </w:pPr>
      <w:r>
        <w:rPr>
          <w:rStyle w:val="17"/>
          <w:rFonts w:hint="eastAsia" w:ascii="仿宋" w:eastAsia="仿宋"/>
          <w:bCs/>
          <w:sz w:val="32"/>
          <w:szCs w:val="32"/>
        </w:rPr>
        <w:t>6</w:t>
      </w:r>
      <w:r>
        <w:rPr>
          <w:rStyle w:val="17"/>
          <w:rFonts w:ascii="仿宋" w:eastAsia="仿宋"/>
          <w:bCs/>
          <w:sz w:val="32"/>
          <w:szCs w:val="32"/>
        </w:rPr>
        <w:t>.</w:t>
      </w:r>
      <w:r>
        <w:rPr>
          <w:rFonts w:hint="eastAsia"/>
        </w:rPr>
        <w:t xml:space="preserve"> </w:t>
      </w:r>
      <w:r>
        <w:rPr>
          <w:rFonts w:hint="eastAsia" w:ascii="仿宋" w:eastAsia="仿宋"/>
          <w:b/>
          <w:bCs/>
          <w:sz w:val="32"/>
          <w:szCs w:val="32"/>
        </w:rPr>
        <w:t>住房保障支出</w:t>
      </w:r>
      <w:r>
        <w:rPr>
          <w:rStyle w:val="17"/>
          <w:rFonts w:hint="eastAsia" w:ascii="仿宋" w:eastAsia="仿宋"/>
          <w:bCs/>
          <w:sz w:val="32"/>
          <w:szCs w:val="32"/>
        </w:rPr>
        <w:t>（类）住房改革支出（款）住房公积金（项）</w:t>
      </w:r>
      <w:r>
        <w:rPr>
          <w:rStyle w:val="17"/>
          <w:rFonts w:ascii="仿宋" w:eastAsia="仿宋"/>
          <w:bCs/>
          <w:sz w:val="32"/>
          <w:szCs w:val="32"/>
        </w:rPr>
        <w:t>:</w:t>
      </w:r>
      <w:r>
        <w:rPr>
          <w:rStyle w:val="17"/>
          <w:rFonts w:hint="eastAsia" w:ascii="仿宋" w:eastAsia="仿宋"/>
          <w:b w:val="0"/>
          <w:sz w:val="32"/>
          <w:szCs w:val="32"/>
        </w:rPr>
        <w:t>支出决算为14.74万元，完成预100</w:t>
      </w:r>
      <w:r>
        <w:rPr>
          <w:rStyle w:val="17"/>
          <w:rFonts w:ascii="仿宋" w:eastAsia="仿宋"/>
          <w:b w:val="0"/>
          <w:sz w:val="32"/>
          <w:szCs w:val="32"/>
        </w:rPr>
        <w:t>%</w:t>
      </w:r>
      <w:r>
        <w:rPr>
          <w:rStyle w:val="17"/>
          <w:rFonts w:hint="eastAsia" w:ascii="仿宋" w:eastAsia="仿宋"/>
          <w:b w:val="0"/>
          <w:sz w:val="32"/>
          <w:szCs w:val="32"/>
        </w:rPr>
        <w:t>算数。</w:t>
      </w:r>
    </w:p>
    <w:p w14:paraId="3E1128E9">
      <w:pPr>
        <w:spacing w:line="600" w:lineRule="exact"/>
        <w:ind w:firstLine="643" w:firstLineChars="200"/>
        <w:rPr>
          <w:rStyle w:val="17"/>
          <w:rFonts w:ascii="仿宋" w:eastAsia="仿宋"/>
          <w:b w:val="0"/>
          <w:sz w:val="32"/>
          <w:szCs w:val="32"/>
        </w:rPr>
      </w:pPr>
      <w:r>
        <w:rPr>
          <w:rStyle w:val="17"/>
          <w:rFonts w:hint="eastAsia" w:ascii="仿宋" w:eastAsia="仿宋"/>
          <w:bCs/>
          <w:sz w:val="32"/>
          <w:szCs w:val="32"/>
        </w:rPr>
        <w:t>7</w:t>
      </w:r>
      <w:r>
        <w:rPr>
          <w:rStyle w:val="17"/>
          <w:rFonts w:ascii="仿宋" w:eastAsia="仿宋"/>
          <w:bCs/>
          <w:sz w:val="32"/>
          <w:szCs w:val="32"/>
        </w:rPr>
        <w:t>.</w:t>
      </w:r>
      <w:r>
        <w:rPr>
          <w:rStyle w:val="17"/>
          <w:rFonts w:hint="eastAsia" w:ascii="仿宋" w:eastAsia="仿宋"/>
          <w:bCs/>
          <w:sz w:val="32"/>
          <w:szCs w:val="32"/>
        </w:rPr>
        <w:t xml:space="preserve"> </w:t>
      </w:r>
      <w:r>
        <w:rPr>
          <w:rFonts w:hint="eastAsia" w:ascii="仿宋" w:eastAsia="仿宋"/>
          <w:b/>
          <w:bCs/>
          <w:sz w:val="32"/>
          <w:szCs w:val="32"/>
        </w:rPr>
        <w:t>卫生健康支出</w:t>
      </w:r>
      <w:r>
        <w:rPr>
          <w:rStyle w:val="17"/>
          <w:rFonts w:hint="eastAsia" w:ascii="仿宋" w:eastAsia="仿宋"/>
          <w:bCs/>
          <w:sz w:val="32"/>
          <w:szCs w:val="32"/>
        </w:rPr>
        <w:t>（类）行政事业单位医疗（款）事业单位医疗（项）</w:t>
      </w:r>
      <w:r>
        <w:rPr>
          <w:rStyle w:val="17"/>
          <w:rFonts w:ascii="仿宋" w:eastAsia="仿宋"/>
          <w:bCs/>
          <w:sz w:val="32"/>
          <w:szCs w:val="32"/>
        </w:rPr>
        <w:t>:</w:t>
      </w:r>
      <w:r>
        <w:rPr>
          <w:rStyle w:val="17"/>
          <w:rFonts w:hint="eastAsia" w:ascii="仿宋" w:eastAsia="仿宋"/>
          <w:b w:val="0"/>
          <w:sz w:val="32"/>
          <w:szCs w:val="32"/>
        </w:rPr>
        <w:t>支出决算为9.51万元，完成预100</w:t>
      </w:r>
      <w:r>
        <w:rPr>
          <w:rStyle w:val="17"/>
          <w:rFonts w:ascii="仿宋" w:eastAsia="仿宋"/>
          <w:b w:val="0"/>
          <w:sz w:val="32"/>
          <w:szCs w:val="32"/>
        </w:rPr>
        <w:t>%</w:t>
      </w:r>
      <w:r>
        <w:rPr>
          <w:rStyle w:val="17"/>
          <w:rFonts w:hint="eastAsia" w:ascii="仿宋" w:eastAsia="仿宋"/>
          <w:b w:val="0"/>
          <w:sz w:val="32"/>
          <w:szCs w:val="32"/>
        </w:rPr>
        <w:t>算数。</w:t>
      </w:r>
    </w:p>
    <w:p w14:paraId="0A9124DC">
      <w:pPr>
        <w:spacing w:line="600" w:lineRule="exact"/>
        <w:ind w:firstLine="643" w:firstLineChars="200"/>
        <w:rPr>
          <w:rStyle w:val="17"/>
          <w:rFonts w:ascii="仿宋" w:eastAsia="仿宋"/>
          <w:b w:val="0"/>
          <w:sz w:val="32"/>
          <w:szCs w:val="32"/>
        </w:rPr>
      </w:pPr>
      <w:r>
        <w:rPr>
          <w:rStyle w:val="17"/>
          <w:rFonts w:hint="eastAsia" w:ascii="仿宋" w:eastAsia="仿宋"/>
          <w:bCs/>
          <w:sz w:val="32"/>
          <w:szCs w:val="32"/>
        </w:rPr>
        <w:t>8</w:t>
      </w:r>
      <w:r>
        <w:rPr>
          <w:rStyle w:val="17"/>
          <w:rFonts w:ascii="仿宋" w:eastAsia="仿宋"/>
          <w:bCs/>
          <w:sz w:val="32"/>
          <w:szCs w:val="32"/>
        </w:rPr>
        <w:t>.</w:t>
      </w:r>
      <w:r>
        <w:rPr>
          <w:rFonts w:hint="eastAsia"/>
        </w:rPr>
        <w:t xml:space="preserve"> </w:t>
      </w:r>
      <w:r>
        <w:rPr>
          <w:rFonts w:hint="eastAsia" w:ascii="仿宋" w:eastAsia="仿宋"/>
          <w:b/>
          <w:bCs/>
          <w:sz w:val="32"/>
          <w:szCs w:val="32"/>
        </w:rPr>
        <w:t>卫生健康支出</w:t>
      </w:r>
      <w:r>
        <w:rPr>
          <w:rStyle w:val="17"/>
          <w:rFonts w:hint="eastAsia" w:ascii="仿宋" w:eastAsia="仿宋"/>
          <w:bCs/>
          <w:sz w:val="32"/>
          <w:szCs w:val="32"/>
        </w:rPr>
        <w:t>（类）行政事业单位医疗（款）公务员医疗补助（项）</w:t>
      </w:r>
      <w:r>
        <w:rPr>
          <w:rStyle w:val="17"/>
          <w:rFonts w:ascii="仿宋" w:eastAsia="仿宋"/>
          <w:bCs/>
          <w:sz w:val="32"/>
          <w:szCs w:val="32"/>
        </w:rPr>
        <w:t>:</w:t>
      </w:r>
      <w:r>
        <w:rPr>
          <w:rStyle w:val="17"/>
          <w:rFonts w:hint="eastAsia" w:ascii="仿宋" w:eastAsia="仿宋"/>
          <w:b w:val="0"/>
          <w:sz w:val="32"/>
          <w:szCs w:val="32"/>
        </w:rPr>
        <w:t>支出决算为1.2万元，完成预100</w:t>
      </w:r>
      <w:r>
        <w:rPr>
          <w:rStyle w:val="17"/>
          <w:rFonts w:ascii="仿宋" w:eastAsia="仿宋"/>
          <w:b w:val="0"/>
          <w:sz w:val="32"/>
          <w:szCs w:val="32"/>
        </w:rPr>
        <w:t>%</w:t>
      </w:r>
      <w:r>
        <w:rPr>
          <w:rStyle w:val="17"/>
          <w:rFonts w:hint="eastAsia" w:ascii="仿宋" w:eastAsia="仿宋"/>
          <w:b w:val="0"/>
          <w:sz w:val="32"/>
          <w:szCs w:val="32"/>
        </w:rPr>
        <w:t>算数。</w:t>
      </w:r>
    </w:p>
    <w:p w14:paraId="3413B00C">
      <w:pPr>
        <w:spacing w:line="600" w:lineRule="exact"/>
        <w:ind w:firstLine="643" w:firstLineChars="200"/>
        <w:rPr>
          <w:rStyle w:val="17"/>
          <w:rFonts w:ascii="仿宋" w:eastAsia="仿宋"/>
          <w:b w:val="0"/>
          <w:sz w:val="32"/>
          <w:szCs w:val="32"/>
        </w:rPr>
      </w:pPr>
      <w:r>
        <w:rPr>
          <w:rStyle w:val="17"/>
          <w:rFonts w:hint="eastAsia" w:ascii="仿宋" w:eastAsia="仿宋"/>
          <w:bCs/>
          <w:sz w:val="32"/>
          <w:szCs w:val="32"/>
        </w:rPr>
        <w:t>9</w:t>
      </w:r>
      <w:r>
        <w:rPr>
          <w:rStyle w:val="17"/>
          <w:rFonts w:ascii="仿宋" w:eastAsia="仿宋"/>
          <w:bCs/>
          <w:sz w:val="32"/>
          <w:szCs w:val="32"/>
        </w:rPr>
        <w:t>.</w:t>
      </w:r>
      <w:r>
        <w:rPr>
          <w:rFonts w:hint="eastAsia"/>
        </w:rPr>
        <w:t xml:space="preserve"> </w:t>
      </w:r>
      <w:r>
        <w:rPr>
          <w:rFonts w:hint="eastAsia" w:ascii="仿宋" w:eastAsia="仿宋"/>
          <w:b/>
          <w:bCs/>
          <w:sz w:val="32"/>
          <w:szCs w:val="32"/>
        </w:rPr>
        <w:t>卫生健康支出</w:t>
      </w:r>
      <w:r>
        <w:rPr>
          <w:rStyle w:val="17"/>
          <w:rFonts w:hint="eastAsia" w:ascii="仿宋" w:eastAsia="仿宋"/>
          <w:bCs/>
          <w:sz w:val="32"/>
          <w:szCs w:val="32"/>
        </w:rPr>
        <w:t>（类）行政事业单位医疗（款）其他行政事业单位医疗支出（项）</w:t>
      </w:r>
      <w:r>
        <w:rPr>
          <w:rStyle w:val="17"/>
          <w:rFonts w:ascii="仿宋" w:eastAsia="仿宋"/>
          <w:bCs/>
          <w:sz w:val="32"/>
          <w:szCs w:val="32"/>
        </w:rPr>
        <w:t>:</w:t>
      </w:r>
      <w:r>
        <w:rPr>
          <w:rStyle w:val="17"/>
          <w:rFonts w:hint="eastAsia" w:ascii="仿宋" w:eastAsia="仿宋"/>
          <w:b w:val="0"/>
          <w:sz w:val="32"/>
          <w:szCs w:val="32"/>
        </w:rPr>
        <w:t>支出决算为1.23万元，完成预100</w:t>
      </w:r>
      <w:r>
        <w:rPr>
          <w:rStyle w:val="17"/>
          <w:rFonts w:ascii="仿宋" w:eastAsia="仿宋"/>
          <w:b w:val="0"/>
          <w:sz w:val="32"/>
          <w:szCs w:val="32"/>
        </w:rPr>
        <w:t>%</w:t>
      </w:r>
      <w:r>
        <w:rPr>
          <w:rStyle w:val="17"/>
          <w:rFonts w:hint="eastAsia" w:ascii="仿宋" w:eastAsia="仿宋"/>
          <w:b w:val="0"/>
          <w:sz w:val="32"/>
          <w:szCs w:val="32"/>
        </w:rPr>
        <w:t>算数。</w:t>
      </w:r>
    </w:p>
    <w:p w14:paraId="303F70BA">
      <w:pPr>
        <w:tabs>
          <w:tab w:val="right" w:pos="8306"/>
        </w:tabs>
        <w:spacing w:line="600" w:lineRule="exact"/>
        <w:ind w:firstLine="640"/>
        <w:outlineLvl w:val="1"/>
        <w:rPr>
          <w:rStyle w:val="20"/>
          <w:rFonts w:ascii="Times New Roman" w:hAnsi="Times New Roman"/>
        </w:rPr>
      </w:pPr>
      <w:bookmarkStart w:id="52" w:name="_Toc208217892"/>
      <w:bookmarkStart w:id="53" w:name="_Toc15377214"/>
      <w:bookmarkStart w:id="54" w:name="_Toc15396608"/>
      <w:r>
        <w:rPr>
          <w:rFonts w:hint="eastAsia" w:eastAsia="黑体"/>
          <w:sz w:val="32"/>
          <w:szCs w:val="32"/>
        </w:rPr>
        <w:t>六</w:t>
      </w:r>
      <w:r>
        <w:rPr>
          <w:rFonts w:hint="eastAsia" w:eastAsia="黑体"/>
          <w:b/>
          <w:sz w:val="32"/>
          <w:szCs w:val="32"/>
        </w:rPr>
        <w:t>、一</w:t>
      </w:r>
      <w:r>
        <w:rPr>
          <w:rStyle w:val="20"/>
          <w:rFonts w:hint="eastAsia" w:ascii="Times New Roman" w:hAnsi="Times New Roman" w:eastAsia="黑体"/>
          <w:b w:val="0"/>
        </w:rPr>
        <w:t>般公共预算财政拨款基本支出决算情况说明</w:t>
      </w:r>
      <w:bookmarkEnd w:id="52"/>
      <w:bookmarkEnd w:id="53"/>
      <w:bookmarkEnd w:id="54"/>
      <w:r>
        <w:rPr>
          <w:rStyle w:val="20"/>
          <w:rFonts w:ascii="Times New Roman" w:hAnsi="Times New Roman" w:eastAsia="黑体"/>
          <w:b w:val="0"/>
        </w:rPr>
        <w:tab/>
      </w:r>
    </w:p>
    <w:p w14:paraId="78D6804D">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eastAsia="仿宋_GB2312" w:cs="仿宋_GB2312"/>
          <w:sz w:val="32"/>
          <w:szCs w:val="32"/>
        </w:rPr>
        <w:t>198.97万</w:t>
      </w:r>
      <w:r>
        <w:rPr>
          <w:rFonts w:hint="eastAsia" w:eastAsia="仿宋_GB2312" w:cs="仿宋_GB2312"/>
          <w:sz w:val="32"/>
          <w:szCs w:val="32"/>
        </w:rPr>
        <w:t>元，其中：</w:t>
      </w:r>
    </w:p>
    <w:p w14:paraId="652A8B6A">
      <w:pPr>
        <w:spacing w:line="600" w:lineRule="exact"/>
        <w:ind w:firstLine="645"/>
        <w:rPr>
          <w:rFonts w:ascii="仿宋" w:eastAsia="仿宋"/>
          <w:sz w:val="32"/>
          <w:szCs w:val="32"/>
        </w:rPr>
      </w:pPr>
      <w:r>
        <w:rPr>
          <w:rFonts w:hint="eastAsia" w:eastAsia="仿宋_GB2312" w:cs="仿宋_GB2312"/>
          <w:sz w:val="32"/>
          <w:szCs w:val="32"/>
        </w:rPr>
        <w:t>人员经费</w:t>
      </w:r>
      <w:r>
        <w:rPr>
          <w:rFonts w:hint="eastAsia" w:ascii="仿宋_GB2312" w:eastAsia="仿宋_GB2312" w:cs="仿宋_GB2312"/>
          <w:sz w:val="32"/>
          <w:szCs w:val="32"/>
        </w:rPr>
        <w:t>185.6万</w:t>
      </w:r>
      <w:r>
        <w:rPr>
          <w:rFonts w:hint="eastAsia" w:eastAsia="仿宋_GB2312" w:cs="仿宋_GB2312"/>
          <w:sz w:val="32"/>
          <w:szCs w:val="32"/>
        </w:rPr>
        <w:t>元，主要包括：</w:t>
      </w:r>
      <w:r>
        <w:rPr>
          <w:rFonts w:hint="eastAsia" w:ascii="仿宋" w:eastAsia="仿宋"/>
          <w:sz w:val="32"/>
          <w:szCs w:val="32"/>
        </w:rPr>
        <w:t>基本工资、津贴补贴、绩效工资、机关事业单位基本养老保险缴费、其他社会保障缴费、公务员医疗补助缴费、职工基本医疗保险缴费、住房公积金、其他对家庭和个人的补助、生活补助、医疗补助等。</w:t>
      </w:r>
    </w:p>
    <w:p w14:paraId="15270B6D">
      <w:pPr>
        <w:spacing w:line="600" w:lineRule="exact"/>
        <w:ind w:firstLine="645"/>
        <w:rPr>
          <w:rFonts w:ascii="仿宋" w:eastAsia="仿宋"/>
          <w:sz w:val="32"/>
          <w:szCs w:val="32"/>
        </w:rPr>
      </w:pPr>
      <w:r>
        <w:rPr>
          <w:rFonts w:hint="eastAsia" w:eastAsia="仿宋_GB2312" w:cs="仿宋_GB2312"/>
          <w:sz w:val="32"/>
          <w:szCs w:val="32"/>
        </w:rPr>
        <w:t>公用经费</w:t>
      </w:r>
      <w:r>
        <w:rPr>
          <w:rFonts w:hint="eastAsia" w:ascii="仿宋_GB2312" w:eastAsia="仿宋_GB2312" w:cs="仿宋_GB2312"/>
          <w:sz w:val="32"/>
          <w:szCs w:val="32"/>
        </w:rPr>
        <w:t>13.37万</w:t>
      </w:r>
      <w:r>
        <w:rPr>
          <w:rFonts w:hint="eastAsia" w:eastAsia="仿宋_GB2312" w:cs="仿宋_GB2312"/>
          <w:sz w:val="32"/>
          <w:szCs w:val="32"/>
        </w:rPr>
        <w:t>元，主要包括：</w:t>
      </w:r>
      <w:r>
        <w:rPr>
          <w:rFonts w:hint="eastAsia" w:ascii="仿宋" w:eastAsia="仿宋"/>
          <w:sz w:val="32"/>
          <w:szCs w:val="32"/>
        </w:rPr>
        <w:t>办公费、水费、电费、邮电费、差旅费、公务接待费、工会经费、福利费、其他交通费、其他商品和服务支出等。</w:t>
      </w:r>
    </w:p>
    <w:p w14:paraId="0C72F37D">
      <w:pPr>
        <w:spacing w:line="600" w:lineRule="exact"/>
        <w:ind w:firstLine="640"/>
        <w:outlineLvl w:val="1"/>
        <w:rPr>
          <w:rStyle w:val="20"/>
          <w:rFonts w:ascii="Times New Roman" w:hAnsi="Times New Roman" w:eastAsia="黑体"/>
          <w:b w:val="0"/>
        </w:rPr>
      </w:pPr>
      <w:bookmarkStart w:id="55" w:name="_Toc208217893"/>
      <w:bookmarkStart w:id="56" w:name="_Toc15377215"/>
      <w:bookmarkStart w:id="57" w:name="_Toc15396609"/>
      <w:r>
        <w:rPr>
          <w:rFonts w:hint="eastAsia" w:eastAsia="黑体"/>
          <w:sz w:val="32"/>
          <w:szCs w:val="32"/>
        </w:rPr>
        <w:t>七、</w:t>
      </w:r>
      <w:r>
        <w:rPr>
          <w:rStyle w:val="20"/>
          <w:rFonts w:hint="eastAsia" w:ascii="Times New Roman" w:hAnsi="Times New Roman" w:eastAsia="黑体"/>
          <w:b w:val="0"/>
        </w:rPr>
        <w:t>财政拨款</w:t>
      </w:r>
      <w:r>
        <w:rPr>
          <w:rStyle w:val="20"/>
          <w:rFonts w:hint="eastAsia" w:ascii="Times New Roman" w:hAnsi="Times New Roman" w:eastAsia="黑体"/>
        </w:rPr>
        <w:t>“</w:t>
      </w:r>
      <w:r>
        <w:rPr>
          <w:rStyle w:val="20"/>
          <w:rFonts w:hint="eastAsia" w:ascii="Times New Roman" w:hAnsi="Times New Roman" w:eastAsia="黑体"/>
          <w:b w:val="0"/>
        </w:rPr>
        <w:t>三公”经费支出决算情况说明</w:t>
      </w:r>
      <w:bookmarkEnd w:id="55"/>
      <w:bookmarkEnd w:id="56"/>
      <w:bookmarkEnd w:id="57"/>
    </w:p>
    <w:p w14:paraId="6B8C9EB5">
      <w:pPr>
        <w:spacing w:line="600" w:lineRule="exact"/>
        <w:ind w:firstLine="643" w:firstLineChars="200"/>
        <w:outlineLvl w:val="2"/>
        <w:rPr>
          <w:rFonts w:eastAsia="楷体_GB2312" w:cs="楷体_GB2312"/>
          <w:b/>
          <w:sz w:val="32"/>
          <w:szCs w:val="32"/>
        </w:rPr>
      </w:pPr>
      <w:bookmarkStart w:id="58" w:name="_Toc15377216"/>
      <w:bookmarkStart w:id="59" w:name="_Toc208217894"/>
      <w:r>
        <w:rPr>
          <w:rFonts w:hint="eastAsia" w:eastAsia="楷体_GB2312" w:cs="楷体_GB2312"/>
          <w:b/>
          <w:sz w:val="32"/>
          <w:szCs w:val="32"/>
        </w:rPr>
        <w:t>（一）“三公”经费财政拨款支出决算总体情况说明</w:t>
      </w:r>
      <w:bookmarkEnd w:id="58"/>
      <w:bookmarkEnd w:id="59"/>
    </w:p>
    <w:p w14:paraId="40EC5F14">
      <w:pPr>
        <w:spacing w:line="600" w:lineRule="exact"/>
        <w:ind w:firstLine="640"/>
        <w:rPr>
          <w:rFonts w:ascii="仿宋" w:eastAsia="仿宋"/>
          <w:sz w:val="32"/>
          <w:szCs w:val="32"/>
        </w:rPr>
      </w:pPr>
      <w:r>
        <w:rPr>
          <w:rFonts w:hint="eastAsia" w:eastAsia="仿宋_GB2312" w:cs="仿宋_GB2312"/>
          <w:sz w:val="32"/>
          <w:szCs w:val="32"/>
        </w:rPr>
        <w:t>2024年度“三公”经费财政拨款支出决算为</w:t>
      </w:r>
      <w:r>
        <w:rPr>
          <w:rFonts w:hint="eastAsia" w:ascii="仿宋_GB2312" w:eastAsia="仿宋_GB2312" w:cs="仿宋_GB2312"/>
          <w:sz w:val="32"/>
          <w:szCs w:val="32"/>
        </w:rPr>
        <w:t>0.22万元，完成预算100%，</w:t>
      </w:r>
      <w:r>
        <w:rPr>
          <w:rFonts w:hint="eastAsia" w:eastAsia="仿宋_GB2312" w:cs="仿宋_GB2312"/>
          <w:sz w:val="32"/>
          <w:szCs w:val="32"/>
        </w:rPr>
        <w:t>较上年度减少0.09万元，下降29%。</w:t>
      </w:r>
      <w:r>
        <w:rPr>
          <w:rFonts w:hint="eastAsia" w:ascii="仿宋" w:eastAsia="仿宋"/>
          <w:sz w:val="32"/>
          <w:szCs w:val="32"/>
        </w:rPr>
        <w:t>决算数与预算数持平。</w:t>
      </w:r>
    </w:p>
    <w:p w14:paraId="228FF185">
      <w:pPr>
        <w:spacing w:line="600" w:lineRule="exact"/>
        <w:ind w:firstLine="643" w:firstLineChars="200"/>
        <w:outlineLvl w:val="2"/>
        <w:rPr>
          <w:rFonts w:eastAsia="楷体_GB2312" w:cs="楷体_GB2312"/>
          <w:b/>
          <w:sz w:val="32"/>
          <w:szCs w:val="32"/>
        </w:rPr>
      </w:pPr>
      <w:bookmarkStart w:id="60" w:name="_Toc15377217"/>
      <w:bookmarkStart w:id="61" w:name="_Toc208217895"/>
      <w:r>
        <w:rPr>
          <w:rFonts w:hint="eastAsia" w:eastAsia="楷体_GB2312" w:cs="楷体_GB2312"/>
          <w:b/>
          <w:sz w:val="32"/>
          <w:szCs w:val="32"/>
        </w:rPr>
        <w:t>（二）“三公”经费财政拨款支出决算具体情况说明</w:t>
      </w:r>
      <w:bookmarkEnd w:id="60"/>
      <w:bookmarkEnd w:id="61"/>
    </w:p>
    <w:p w14:paraId="5F64872F">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2024年度“三公”经费财政拨款支出决算中，因公出国（境）费支出决算0万元，占0%；公务用车购置及运行维护费支出决算0万元，占0%；公务接待费支出决算0.22万元，占100%。具体情况如下：</w:t>
      </w:r>
    </w:p>
    <w:p w14:paraId="40A65CE7">
      <w:pPr>
        <w:pStyle w:val="13"/>
      </w:pPr>
    </w:p>
    <w:p w14:paraId="49486DFB">
      <w:pPr>
        <w:pStyle w:val="8"/>
      </w:pPr>
      <w:r>
        <w:rPr>
          <w:rFonts w:hint="eastAsia"/>
        </w:rPr>
        <w:drawing>
          <wp:inline distT="0" distB="0" distL="0" distR="0">
            <wp:extent cx="5274310" cy="3076575"/>
            <wp:effectExtent l="0" t="0" r="0" b="0"/>
            <wp:docPr id="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1E3DDF">
      <w:pPr>
        <w:pStyle w:val="8"/>
      </w:pPr>
    </w:p>
    <w:p w14:paraId="74C7A347">
      <w:pPr>
        <w:spacing w:line="600" w:lineRule="exact"/>
        <w:ind w:firstLine="640"/>
        <w:rPr>
          <w:rFonts w:ascii="仿宋_GB2312" w:eastAsia="仿宋_GB2312"/>
          <w:b/>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w:t>
      </w:r>
      <w:r>
        <w:rPr>
          <w:rFonts w:hint="eastAsia" w:ascii="仿宋_GB2312" w:eastAsia="仿宋_GB2312" w:cs="仿宋_GB2312"/>
          <w:sz w:val="32"/>
          <w:szCs w:val="32"/>
        </w:rPr>
        <w:t>组0</w:t>
      </w:r>
      <w:r>
        <w:rPr>
          <w:rFonts w:hint="eastAsia" w:eastAsia="仿宋_GB2312" w:cs="仿宋_GB2312"/>
          <w:sz w:val="32"/>
          <w:szCs w:val="32"/>
        </w:rPr>
        <w:t>次，出国（境）</w:t>
      </w:r>
      <w:r>
        <w:rPr>
          <w:rFonts w:hint="eastAsia" w:ascii="仿宋_GB2312" w:eastAsia="仿宋_GB2312" w:cs="仿宋_GB2312"/>
          <w:sz w:val="32"/>
          <w:szCs w:val="32"/>
        </w:rPr>
        <w:t>0人</w:t>
      </w:r>
      <w:r>
        <w:rPr>
          <w:rFonts w:hint="eastAsia" w:eastAsia="仿宋_GB2312" w:cs="仿宋_GB2312"/>
          <w:sz w:val="32"/>
          <w:szCs w:val="32"/>
        </w:rPr>
        <w:t>。</w:t>
      </w:r>
      <w:r>
        <w:rPr>
          <w:rFonts w:hint="eastAsia" w:ascii="仿宋_GB2312" w:eastAsia="仿宋_GB2312"/>
          <w:sz w:val="32"/>
          <w:szCs w:val="32"/>
        </w:rPr>
        <w:t>因公出国（境）支出决算与</w:t>
      </w:r>
      <w:r>
        <w:rPr>
          <w:rFonts w:ascii="仿宋_GB2312" w:eastAsia="仿宋_GB2312"/>
          <w:sz w:val="32"/>
          <w:szCs w:val="32"/>
        </w:rPr>
        <w:t>202</w:t>
      </w:r>
      <w:r>
        <w:rPr>
          <w:rFonts w:hint="eastAsia" w:ascii="仿宋_GB2312" w:eastAsia="仿宋_GB2312"/>
          <w:sz w:val="32"/>
          <w:szCs w:val="32"/>
        </w:rPr>
        <w:t>3年持平。</w:t>
      </w:r>
    </w:p>
    <w:p w14:paraId="3417DEB2">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eastAsia="仿宋_GB2312" w:cs="仿宋_GB2312"/>
          <w:b/>
          <w:bCs/>
          <w:sz w:val="32"/>
          <w:szCs w:val="32"/>
        </w:rPr>
        <w:t>0万</w:t>
      </w:r>
      <w:r>
        <w:rPr>
          <w:rFonts w:hint="eastAsia" w:eastAsia="仿宋_GB2312" w:cs="仿宋_GB2312"/>
          <w:b/>
          <w:bCs/>
          <w:sz w:val="32"/>
          <w:szCs w:val="32"/>
        </w:rPr>
        <w:t>元，完成预算0%。</w:t>
      </w:r>
      <w:r>
        <w:rPr>
          <w:rFonts w:hint="eastAsia" w:eastAsia="仿宋_GB2312" w:cs="仿宋_GB2312"/>
          <w:sz w:val="32"/>
          <w:szCs w:val="32"/>
        </w:rPr>
        <w:t>公务用车购置及运行维护费支出决算</w:t>
      </w:r>
      <w:r>
        <w:rPr>
          <w:rFonts w:hint="eastAsia" w:ascii="仿宋_GB2312" w:eastAsia="仿宋_GB2312"/>
          <w:sz w:val="32"/>
          <w:szCs w:val="32"/>
        </w:rPr>
        <w:t>与</w:t>
      </w:r>
      <w:r>
        <w:rPr>
          <w:rFonts w:ascii="仿宋_GB2312" w:eastAsia="仿宋_GB2312"/>
          <w:sz w:val="32"/>
          <w:szCs w:val="32"/>
        </w:rPr>
        <w:t>202</w:t>
      </w:r>
      <w:r>
        <w:rPr>
          <w:rFonts w:hint="eastAsia" w:ascii="仿宋_GB2312" w:eastAsia="仿宋_GB2312"/>
          <w:sz w:val="32"/>
          <w:szCs w:val="32"/>
        </w:rPr>
        <w:t>3年持平。</w:t>
      </w:r>
      <w:r>
        <w:rPr>
          <w:rFonts w:hint="eastAsia" w:eastAsia="仿宋_GB2312" w:cs="仿宋_GB2312"/>
          <w:sz w:val="32"/>
          <w:szCs w:val="32"/>
        </w:rPr>
        <w:t>其中：公务用车购置支</w:t>
      </w:r>
      <w:r>
        <w:rPr>
          <w:rFonts w:hint="eastAsia" w:ascii="仿宋_GB2312" w:eastAsia="仿宋_GB2312" w:cs="仿宋_GB2312"/>
          <w:sz w:val="32"/>
          <w:szCs w:val="32"/>
        </w:rPr>
        <w:t>出0</w:t>
      </w:r>
      <w:r>
        <w:rPr>
          <w:rFonts w:hint="eastAsia" w:eastAsia="仿宋_GB2312" w:cs="仿宋_GB2312"/>
          <w:sz w:val="32"/>
          <w:szCs w:val="32"/>
        </w:rPr>
        <w:t>万元。全年按规定更新购置公务用车0辆，其中：轿车0辆、金额0万元，越野车0辆、金额0万元，载客汽车0辆、金额0万元。截至2024年12月31日，单位共有公务用车0辆，其中：轿车0辆、越野车0辆、载客汽车0辆。</w:t>
      </w:r>
    </w:p>
    <w:p w14:paraId="17DB9D97">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eastAsia="仿宋_GB2312" w:cs="仿宋_GB2312"/>
          <w:sz w:val="32"/>
          <w:szCs w:val="32"/>
        </w:rPr>
        <w:t>出0</w:t>
      </w:r>
      <w:r>
        <w:rPr>
          <w:rFonts w:hint="eastAsia" w:eastAsia="仿宋_GB2312" w:cs="仿宋_GB2312"/>
          <w:sz w:val="32"/>
          <w:szCs w:val="32"/>
        </w:rPr>
        <w:t>万元。</w:t>
      </w:r>
    </w:p>
    <w:p w14:paraId="1DF52EE0">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eastAsia="仿宋_GB2312" w:cs="仿宋_GB2312"/>
          <w:b/>
          <w:bCs/>
          <w:sz w:val="32"/>
          <w:szCs w:val="32"/>
        </w:rPr>
        <w:t>0.22万</w:t>
      </w:r>
      <w:r>
        <w:rPr>
          <w:rFonts w:hint="eastAsia" w:eastAsia="仿宋_GB2312" w:cs="仿宋_GB2312"/>
          <w:b/>
          <w:bCs/>
          <w:sz w:val="32"/>
          <w:szCs w:val="32"/>
        </w:rPr>
        <w:t>元，完成预算100%。</w:t>
      </w:r>
      <w:r>
        <w:rPr>
          <w:rFonts w:hint="eastAsia" w:eastAsia="仿宋_GB2312" w:cs="仿宋_GB2312"/>
          <w:sz w:val="32"/>
          <w:szCs w:val="32"/>
        </w:rPr>
        <w:t>公务接待费支出决算比2023年度减少0.09万元，下降29%。主要原因是公务接待次数减少。其中：</w:t>
      </w:r>
    </w:p>
    <w:p w14:paraId="2FB71265">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eastAsia="仿宋_GB2312" w:cs="仿宋_GB2312"/>
          <w:sz w:val="32"/>
          <w:szCs w:val="32"/>
        </w:rPr>
        <w:t>出0.22万</w:t>
      </w:r>
      <w:r>
        <w:rPr>
          <w:rFonts w:hint="eastAsia" w:eastAsia="仿宋_GB2312" w:cs="仿宋_GB2312"/>
          <w:sz w:val="32"/>
          <w:szCs w:val="32"/>
        </w:rPr>
        <w:t>元，主要用于开展业务活动开支的用餐费。国内公务接</w:t>
      </w:r>
      <w:r>
        <w:rPr>
          <w:rFonts w:hint="eastAsia" w:ascii="仿宋_GB2312" w:eastAsia="仿宋_GB2312" w:cs="仿宋_GB2312"/>
          <w:sz w:val="32"/>
          <w:szCs w:val="32"/>
        </w:rPr>
        <w:t>待2批次，11</w:t>
      </w:r>
      <w:r>
        <w:rPr>
          <w:rFonts w:hint="eastAsia" w:eastAsia="仿宋_GB2312" w:cs="仿宋_GB2312"/>
          <w:sz w:val="32"/>
          <w:szCs w:val="32"/>
        </w:rPr>
        <w:t>人次（不包括陪同人员），共计支出0.22万元，具体内容包括：接待自然资源部第三大地测量队赴我单位调研，接待5人0.11万元；四川省自然资源厅信息中心来我单位调研实景三维、信息安全、网络安全事宜，接待6人0.11万元。</w:t>
      </w:r>
    </w:p>
    <w:p w14:paraId="6A6108D9">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eastAsia="仿宋_GB2312" w:cs="仿宋_GB2312"/>
          <w:sz w:val="32"/>
          <w:szCs w:val="32"/>
        </w:rPr>
        <w:t>出0万元。外事接待0批次，0人次（不包括陪同人员），共计支出0万</w:t>
      </w:r>
      <w:r>
        <w:rPr>
          <w:rFonts w:hint="eastAsia" w:eastAsia="仿宋_GB2312" w:cs="仿宋_GB2312"/>
          <w:sz w:val="32"/>
          <w:szCs w:val="32"/>
        </w:rPr>
        <w:t>元。</w:t>
      </w:r>
    </w:p>
    <w:p w14:paraId="106C8537">
      <w:pPr>
        <w:spacing w:line="600" w:lineRule="exact"/>
        <w:ind w:firstLine="640"/>
        <w:outlineLvl w:val="1"/>
        <w:rPr>
          <w:rStyle w:val="20"/>
          <w:rFonts w:ascii="Times New Roman" w:hAnsi="Times New Roman" w:eastAsia="黑体"/>
        </w:rPr>
      </w:pPr>
      <w:bookmarkStart w:id="62" w:name="_Toc15396610"/>
      <w:bookmarkStart w:id="63" w:name="_Toc208217896"/>
      <w:bookmarkStart w:id="64" w:name="_Toc15377218"/>
      <w:r>
        <w:rPr>
          <w:rFonts w:hint="eastAsia" w:eastAsia="黑体"/>
          <w:sz w:val="32"/>
          <w:szCs w:val="32"/>
        </w:rPr>
        <w:t>八、</w:t>
      </w:r>
      <w:r>
        <w:rPr>
          <w:rStyle w:val="20"/>
          <w:rFonts w:hint="eastAsia" w:ascii="Times New Roman" w:hAnsi="Times New Roman" w:eastAsia="黑体"/>
          <w:b w:val="0"/>
        </w:rPr>
        <w:t>政府性基金预算支出决算情况说明</w:t>
      </w:r>
      <w:bookmarkEnd w:id="62"/>
      <w:bookmarkEnd w:id="63"/>
      <w:bookmarkEnd w:id="64"/>
    </w:p>
    <w:p w14:paraId="7E4F7AE1">
      <w:pPr>
        <w:spacing w:line="600" w:lineRule="exact"/>
        <w:ind w:firstLine="640"/>
        <w:rPr>
          <w:rFonts w:eastAsia="仿宋_GB2312" w:cs="仿宋_GB2312"/>
          <w:b/>
          <w:bCs/>
          <w:sz w:val="32"/>
          <w:szCs w:val="32"/>
        </w:rPr>
      </w:pPr>
      <w:r>
        <w:rPr>
          <w:rFonts w:hint="eastAsia" w:ascii="仿宋_GB2312" w:eastAsia="仿宋_GB2312" w:cs="仿宋_GB2312"/>
          <w:sz w:val="32"/>
          <w:szCs w:val="32"/>
        </w:rPr>
        <w:t>2024年度政府性基金预算财政拨款支出0万元，占本年支出合计的0%</w:t>
      </w:r>
      <w:r>
        <w:rPr>
          <w:rFonts w:hint="eastAsia" w:eastAsia="仿宋_GB2312" w:cs="仿宋_GB2312"/>
          <w:sz w:val="32"/>
          <w:szCs w:val="32"/>
        </w:rPr>
        <w:t>。与2023年度相比，政府性基金预算财政拨款支出与上年持平。</w:t>
      </w:r>
    </w:p>
    <w:p w14:paraId="492DFB98">
      <w:pPr>
        <w:spacing w:line="600" w:lineRule="exact"/>
        <w:ind w:left="630"/>
        <w:outlineLvl w:val="1"/>
        <w:rPr>
          <w:rStyle w:val="20"/>
          <w:rFonts w:ascii="Times New Roman" w:hAnsi="Times New Roman" w:eastAsia="黑体"/>
          <w:b w:val="0"/>
        </w:rPr>
      </w:pPr>
      <w:bookmarkStart w:id="65" w:name="_Toc15377219"/>
      <w:bookmarkStart w:id="66" w:name="_Toc15396611"/>
      <w:bookmarkStart w:id="67" w:name="_Toc208217897"/>
      <w:r>
        <w:rPr>
          <w:rStyle w:val="20"/>
          <w:rFonts w:hint="eastAsia" w:ascii="Times New Roman" w:hAnsi="Times New Roman" w:eastAsia="黑体"/>
          <w:b w:val="0"/>
        </w:rPr>
        <w:t>九、国有资本经营预算支出决算情况说明</w:t>
      </w:r>
      <w:bookmarkEnd w:id="65"/>
      <w:bookmarkEnd w:id="66"/>
      <w:bookmarkEnd w:id="67"/>
    </w:p>
    <w:p w14:paraId="67A85796">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eastAsia="仿宋_GB2312" w:cs="仿宋_GB2312"/>
          <w:sz w:val="32"/>
          <w:szCs w:val="32"/>
        </w:rPr>
        <w:t>0万元，占本年支出合计的0%</w:t>
      </w:r>
      <w:r>
        <w:rPr>
          <w:rFonts w:hint="eastAsia" w:eastAsia="仿宋_GB2312" w:cs="仿宋_GB2312"/>
          <w:sz w:val="32"/>
          <w:szCs w:val="32"/>
        </w:rPr>
        <w:t>。与2023年度相比，国有资本经营预算财政拨款支出与上年持平。</w:t>
      </w:r>
    </w:p>
    <w:p w14:paraId="156EE86A">
      <w:pPr>
        <w:spacing w:line="600" w:lineRule="exact"/>
        <w:ind w:left="630"/>
        <w:outlineLvl w:val="1"/>
        <w:rPr>
          <w:rStyle w:val="20"/>
          <w:rFonts w:ascii="Times New Roman" w:hAnsi="Times New Roman" w:eastAsia="黑体"/>
          <w:b w:val="0"/>
        </w:rPr>
      </w:pPr>
      <w:bookmarkStart w:id="68" w:name="_Toc15396612"/>
      <w:bookmarkStart w:id="69" w:name="_Toc15377221"/>
      <w:bookmarkStart w:id="70" w:name="_Toc208217898"/>
      <w:r>
        <w:rPr>
          <w:rStyle w:val="20"/>
          <w:rFonts w:hint="eastAsia" w:ascii="Times New Roman" w:hAnsi="Times New Roman" w:eastAsia="黑体"/>
          <w:b w:val="0"/>
        </w:rPr>
        <w:t>十、其他重要事项的情况说明</w:t>
      </w:r>
      <w:bookmarkEnd w:id="68"/>
      <w:bookmarkEnd w:id="69"/>
      <w:bookmarkEnd w:id="70"/>
    </w:p>
    <w:p w14:paraId="48A9E55F">
      <w:pPr>
        <w:spacing w:line="600" w:lineRule="exact"/>
        <w:ind w:firstLine="643" w:firstLineChars="200"/>
        <w:outlineLvl w:val="2"/>
        <w:rPr>
          <w:rFonts w:eastAsia="楷体_GB2312" w:cs="楷体_GB2312"/>
          <w:b/>
          <w:sz w:val="32"/>
          <w:szCs w:val="32"/>
        </w:rPr>
      </w:pPr>
      <w:bookmarkStart w:id="71" w:name="_Toc15377222"/>
      <w:bookmarkStart w:id="72" w:name="_Toc208217899"/>
      <w:r>
        <w:rPr>
          <w:rFonts w:hint="eastAsia" w:eastAsia="楷体_GB2312" w:cs="楷体_GB2312"/>
          <w:b/>
          <w:sz w:val="32"/>
          <w:szCs w:val="32"/>
        </w:rPr>
        <w:t>（一）机关运行经费支出情况</w:t>
      </w:r>
      <w:bookmarkEnd w:id="71"/>
      <w:bookmarkEnd w:id="72"/>
    </w:p>
    <w:p w14:paraId="4E28E896">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eastAsia="仿宋_GB2312" w:cs="仿宋_GB2312"/>
          <w:sz w:val="32"/>
          <w:szCs w:val="32"/>
        </w:rPr>
        <w:t>，攀枝花市地理信息中心机关运行经费支出0万</w:t>
      </w:r>
      <w:r>
        <w:rPr>
          <w:rFonts w:hint="eastAsia" w:eastAsia="仿宋_GB2312" w:cs="仿宋_GB2312"/>
          <w:sz w:val="32"/>
          <w:szCs w:val="32"/>
        </w:rPr>
        <w:t>元，与2023年度决算数持平。</w:t>
      </w:r>
    </w:p>
    <w:p w14:paraId="4D1E3A9E">
      <w:pPr>
        <w:spacing w:line="600" w:lineRule="exact"/>
        <w:ind w:firstLine="643" w:firstLineChars="200"/>
        <w:outlineLvl w:val="2"/>
        <w:rPr>
          <w:rFonts w:eastAsia="楷体_GB2312" w:cs="楷体_GB2312"/>
          <w:b/>
          <w:sz w:val="32"/>
          <w:szCs w:val="32"/>
        </w:rPr>
      </w:pPr>
      <w:bookmarkStart w:id="73" w:name="_Toc15377223"/>
      <w:bookmarkStart w:id="74" w:name="_Toc208217900"/>
      <w:r>
        <w:rPr>
          <w:rFonts w:hint="eastAsia" w:eastAsia="楷体_GB2312" w:cs="楷体_GB2312"/>
          <w:b/>
          <w:sz w:val="32"/>
          <w:szCs w:val="32"/>
        </w:rPr>
        <w:t>（二）政府采购支出情况</w:t>
      </w:r>
      <w:bookmarkEnd w:id="73"/>
      <w:bookmarkEnd w:id="74"/>
    </w:p>
    <w:p w14:paraId="515A6605">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2024年度，攀枝花市地理信息中心政府采购支出总额0.26万元，其中：政府采购货物支出0.26万元、政府采购工程支出0万元、政府采购服务支出0万元。主要用于购买办公空调。授予中小企业合同金额0.26万元，占政府采购支出总额的100%，其中：授予小微企业合同金额0.26万元，占政府采购支出总额的100%。</w:t>
      </w:r>
    </w:p>
    <w:p w14:paraId="274DF546">
      <w:pPr>
        <w:spacing w:line="600" w:lineRule="exact"/>
        <w:ind w:firstLine="643" w:firstLineChars="200"/>
        <w:outlineLvl w:val="2"/>
        <w:rPr>
          <w:rFonts w:eastAsia="楷体_GB2312" w:cs="楷体_GB2312"/>
          <w:b/>
          <w:sz w:val="32"/>
          <w:szCs w:val="32"/>
        </w:rPr>
      </w:pPr>
      <w:bookmarkStart w:id="75" w:name="_Toc208217901"/>
      <w:bookmarkStart w:id="76" w:name="_Toc15377224"/>
      <w:r>
        <w:rPr>
          <w:rFonts w:hint="eastAsia" w:eastAsia="楷体_GB2312" w:cs="楷体_GB2312"/>
          <w:b/>
          <w:sz w:val="32"/>
          <w:szCs w:val="32"/>
        </w:rPr>
        <w:t>（三）国有资产占有使用情况</w:t>
      </w:r>
      <w:bookmarkEnd w:id="75"/>
      <w:bookmarkEnd w:id="76"/>
    </w:p>
    <w:p w14:paraId="2019216E">
      <w:pPr>
        <w:spacing w:line="600" w:lineRule="exact"/>
        <w:ind w:firstLine="640"/>
        <w:rPr>
          <w:rFonts w:eastAsia="仿宋_GB2312" w:cs="仿宋_GB2312"/>
          <w:sz w:val="32"/>
          <w:szCs w:val="32"/>
        </w:rPr>
      </w:pPr>
      <w:r>
        <w:rPr>
          <w:rFonts w:hint="eastAsia" w:ascii="仿宋_GB2312" w:eastAsia="仿宋_GB2312" w:cs="仿宋_GB2312"/>
          <w:sz w:val="32"/>
          <w:szCs w:val="32"/>
        </w:rPr>
        <w:t>截至2024年12月31日，攀枝花市地理信息中心共有车辆0辆，其中：主要负责人用车0辆、机要通信用车0辆、应急保障用车0辆、其他用车0辆。单价100万元（含）以上设备（不含车辆）0台（套）</w:t>
      </w:r>
      <w:r>
        <w:rPr>
          <w:rFonts w:hint="eastAsia" w:eastAsia="仿宋_GB2312" w:cs="仿宋_GB2312"/>
          <w:sz w:val="32"/>
          <w:szCs w:val="32"/>
        </w:rPr>
        <w:t>。</w:t>
      </w:r>
    </w:p>
    <w:p w14:paraId="1D347C5F">
      <w:pPr>
        <w:spacing w:line="600" w:lineRule="exact"/>
        <w:ind w:firstLine="643" w:firstLineChars="200"/>
        <w:outlineLvl w:val="2"/>
        <w:rPr>
          <w:rFonts w:eastAsia="楷体_GB2312" w:cs="楷体_GB2312"/>
          <w:b/>
          <w:sz w:val="32"/>
          <w:szCs w:val="32"/>
        </w:rPr>
      </w:pPr>
      <w:bookmarkStart w:id="77" w:name="_Toc208217902"/>
      <w:r>
        <w:rPr>
          <w:rFonts w:hint="eastAsia" w:eastAsia="楷体_GB2312" w:cs="楷体_GB2312"/>
          <w:b/>
          <w:sz w:val="32"/>
          <w:szCs w:val="32"/>
        </w:rPr>
        <w:t>（四）预算绩效管理情况</w:t>
      </w:r>
      <w:bookmarkEnd w:id="77"/>
    </w:p>
    <w:p w14:paraId="21FBF312">
      <w:pPr>
        <w:spacing w:line="600" w:lineRule="exact"/>
        <w:ind w:firstLine="640" w:firstLineChars="200"/>
        <w:rPr>
          <w:rFonts w:ascii="Times New Roman" w:hAnsi="Times New Roman" w:eastAsia="仿宋_GB2312"/>
          <w:sz w:val="32"/>
          <w:szCs w:val="32"/>
        </w:rPr>
      </w:pPr>
      <w:r>
        <w:rPr>
          <w:rFonts w:hint="eastAsia" w:eastAsia="仿宋_GB2312" w:cs="仿宋_GB2312"/>
          <w:sz w:val="32"/>
          <w:szCs w:val="32"/>
        </w:rPr>
        <w:t>根据预算绩效管理要求，攀枝花市地理信息中心在2024年度预算编制阶段，组织对生产成本等1个项目开展了预算事前绩效评估，对1个项目编制了绩效目标，预算执行过程中，选取1个项目开展绩效监控。</w:t>
      </w:r>
      <w:r>
        <w:rPr>
          <w:rFonts w:ascii="Times New Roman" w:hAnsi="Times New Roman" w:eastAsia="仿宋_GB2312"/>
          <w:sz w:val="32"/>
          <w:szCs w:val="32"/>
        </w:rPr>
        <w:t>绩效自评表详见第四部分附件。</w:t>
      </w:r>
    </w:p>
    <w:p w14:paraId="52ECC63C">
      <w:pPr>
        <w:spacing w:line="600" w:lineRule="exact"/>
        <w:ind w:firstLine="640"/>
        <w:rPr>
          <w:rFonts w:eastAsia="仿宋_GB2312" w:cs="仿宋_GB2312"/>
          <w:sz w:val="32"/>
          <w:szCs w:val="32"/>
        </w:rPr>
      </w:pPr>
    </w:p>
    <w:p w14:paraId="71EED6FE">
      <w:pPr>
        <w:spacing w:line="600" w:lineRule="exact"/>
        <w:ind w:firstLine="640"/>
        <w:rPr>
          <w:rFonts w:eastAsia="仿宋_GB2312" w:cs="仿宋_GB2312"/>
          <w:sz w:val="32"/>
          <w:szCs w:val="32"/>
        </w:rPr>
      </w:pPr>
    </w:p>
    <w:p w14:paraId="0DF1BAB1">
      <w:pPr>
        <w:spacing w:line="600" w:lineRule="exact"/>
        <w:ind w:firstLine="640"/>
        <w:rPr>
          <w:rFonts w:eastAsia="仿宋_GB2312" w:cs="仿宋_GB2312"/>
          <w:sz w:val="32"/>
          <w:szCs w:val="32"/>
        </w:rPr>
      </w:pPr>
    </w:p>
    <w:p w14:paraId="3826A0AD">
      <w:pPr>
        <w:pStyle w:val="13"/>
      </w:pPr>
    </w:p>
    <w:p w14:paraId="73800EC5">
      <w:pPr>
        <w:pStyle w:val="8"/>
      </w:pPr>
    </w:p>
    <w:p w14:paraId="700C6B71">
      <w:pPr>
        <w:pStyle w:val="8"/>
      </w:pPr>
    </w:p>
    <w:p w14:paraId="195A9AF3">
      <w:pPr>
        <w:pStyle w:val="8"/>
      </w:pPr>
    </w:p>
    <w:p w14:paraId="0C6895CA">
      <w:pPr>
        <w:pStyle w:val="8"/>
      </w:pPr>
    </w:p>
    <w:p w14:paraId="17457E59">
      <w:pPr>
        <w:pStyle w:val="8"/>
      </w:pPr>
    </w:p>
    <w:p w14:paraId="3B34E0EC">
      <w:pPr>
        <w:pStyle w:val="8"/>
      </w:pPr>
    </w:p>
    <w:p w14:paraId="214251FF">
      <w:pPr>
        <w:pStyle w:val="8"/>
      </w:pPr>
    </w:p>
    <w:p w14:paraId="5FA2C812">
      <w:pPr>
        <w:pStyle w:val="8"/>
      </w:pPr>
    </w:p>
    <w:p w14:paraId="76C90BF5">
      <w:pPr>
        <w:pStyle w:val="8"/>
      </w:pPr>
    </w:p>
    <w:p w14:paraId="059BFDE7">
      <w:pPr>
        <w:pStyle w:val="8"/>
      </w:pPr>
    </w:p>
    <w:p w14:paraId="47E2C870">
      <w:pPr>
        <w:pStyle w:val="8"/>
      </w:pPr>
    </w:p>
    <w:p w14:paraId="629806CE">
      <w:pPr>
        <w:pStyle w:val="8"/>
      </w:pPr>
    </w:p>
    <w:p w14:paraId="519C21F8">
      <w:pPr>
        <w:pStyle w:val="8"/>
      </w:pPr>
    </w:p>
    <w:p w14:paraId="7DA8A52D">
      <w:pPr>
        <w:pStyle w:val="8"/>
      </w:pPr>
    </w:p>
    <w:p w14:paraId="3971181F">
      <w:pPr>
        <w:pStyle w:val="8"/>
      </w:pPr>
    </w:p>
    <w:p w14:paraId="4C023911">
      <w:pPr>
        <w:pStyle w:val="8"/>
      </w:pPr>
    </w:p>
    <w:p w14:paraId="5C253AF1">
      <w:pPr>
        <w:pStyle w:val="8"/>
      </w:pPr>
    </w:p>
    <w:p w14:paraId="48F6752A">
      <w:pPr>
        <w:pStyle w:val="8"/>
      </w:pPr>
    </w:p>
    <w:p w14:paraId="3CE6AA44">
      <w:pPr>
        <w:pStyle w:val="8"/>
      </w:pPr>
    </w:p>
    <w:p w14:paraId="03F943CF">
      <w:pPr>
        <w:pStyle w:val="8"/>
      </w:pPr>
    </w:p>
    <w:p w14:paraId="2779FE16">
      <w:pPr>
        <w:pStyle w:val="8"/>
      </w:pPr>
    </w:p>
    <w:p w14:paraId="212E7F7F">
      <w:pPr>
        <w:pStyle w:val="8"/>
      </w:pPr>
    </w:p>
    <w:p w14:paraId="15ACCBD2">
      <w:pPr>
        <w:spacing w:line="600" w:lineRule="exact"/>
        <w:jc w:val="center"/>
        <w:outlineLvl w:val="0"/>
        <w:rPr>
          <w:rFonts w:eastAsia="黑体"/>
          <w:sz w:val="44"/>
          <w:szCs w:val="44"/>
        </w:rPr>
      </w:pPr>
      <w:bookmarkStart w:id="113" w:name="_GoBack"/>
      <w:bookmarkEnd w:id="113"/>
      <w:bookmarkStart w:id="78" w:name="_Toc208217903"/>
      <w:bookmarkStart w:id="79" w:name="_Toc15377225"/>
      <w:bookmarkStart w:id="80" w:name="_Toc15396613"/>
      <w:r>
        <w:rPr>
          <w:rFonts w:hint="eastAsia" w:eastAsia="黑体"/>
          <w:sz w:val="44"/>
          <w:szCs w:val="44"/>
        </w:rPr>
        <w:t>第三部分  名词解释</w:t>
      </w:r>
      <w:bookmarkEnd w:id="78"/>
      <w:bookmarkEnd w:id="79"/>
      <w:bookmarkEnd w:id="80"/>
    </w:p>
    <w:p w14:paraId="52E09064">
      <w:pPr>
        <w:spacing w:line="600" w:lineRule="exact"/>
        <w:jc w:val="left"/>
        <w:rPr>
          <w:b/>
          <w:sz w:val="44"/>
          <w:szCs w:val="44"/>
        </w:rPr>
      </w:pPr>
    </w:p>
    <w:p w14:paraId="1517596D">
      <w:pPr>
        <w:pStyle w:val="25"/>
        <w:spacing w:line="560" w:lineRule="exact"/>
        <w:ind w:firstLine="640" w:firstLineChars="200"/>
        <w:rPr>
          <w:rFonts w:ascii="仿宋_GB2312" w:eastAsia="仿宋_GB2312"/>
          <w:color w:val="auto"/>
          <w:sz w:val="32"/>
          <w:szCs w:val="32"/>
        </w:rPr>
      </w:pPr>
      <w:bookmarkStart w:id="81" w:name="_Toc15396614"/>
      <w:bookmarkStart w:id="82"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6999FAD7">
      <w:pPr>
        <w:pStyle w:val="25"/>
        <w:spacing w:line="560" w:lineRule="exact"/>
        <w:ind w:firstLine="640" w:firstLineChars="200"/>
        <w:rPr>
          <w:rFonts w:ascii="仿宋_GB2312" w:eastAsia="仿宋_GB2312" w:cs="Times New Roman"/>
          <w:kern w:val="2"/>
          <w:sz w:val="32"/>
          <w:szCs w:val="32"/>
        </w:rPr>
      </w:pPr>
      <w:r>
        <w:rPr>
          <w:rFonts w:ascii="仿宋_GB2312" w:eastAsia="仿宋_GB2312"/>
          <w:color w:val="auto"/>
          <w:sz w:val="32"/>
          <w:szCs w:val="32"/>
        </w:rPr>
        <w:t xml:space="preserve">2. </w:t>
      </w:r>
      <w:r>
        <w:rPr>
          <w:rFonts w:ascii="仿宋_GB2312" w:eastAsia="仿宋_GB2312" w:cs="Times New Roman"/>
          <w:kern w:val="2"/>
          <w:sz w:val="32"/>
          <w:szCs w:val="32"/>
        </w:rPr>
        <w:t>社会保障和就业支出（类）行政事业单位</w:t>
      </w:r>
      <w:r>
        <w:rPr>
          <w:rFonts w:hint="eastAsia" w:ascii="仿宋_GB2312" w:eastAsia="仿宋_GB2312" w:cs="Times New Roman"/>
          <w:kern w:val="2"/>
          <w:sz w:val="32"/>
          <w:szCs w:val="32"/>
        </w:rPr>
        <w:t>养老支出</w:t>
      </w:r>
      <w:r>
        <w:rPr>
          <w:rFonts w:ascii="仿宋_GB2312" w:eastAsia="仿宋_GB2312" w:cs="Times New Roman"/>
          <w:kern w:val="2"/>
          <w:sz w:val="32"/>
          <w:szCs w:val="32"/>
        </w:rPr>
        <w:t>（款）</w:t>
      </w:r>
      <w:r>
        <w:rPr>
          <w:rFonts w:hint="eastAsia" w:ascii="仿宋_GB2312" w:eastAsia="仿宋_GB2312" w:cs="Times New Roman"/>
          <w:kern w:val="2"/>
          <w:sz w:val="32"/>
          <w:szCs w:val="32"/>
        </w:rPr>
        <w:t>机关事业单位基本养老保险缴费支出</w:t>
      </w:r>
      <w:r>
        <w:rPr>
          <w:rFonts w:ascii="仿宋_GB2312" w:eastAsia="仿宋_GB2312" w:cs="Times New Roman"/>
          <w:kern w:val="2"/>
          <w:sz w:val="32"/>
          <w:szCs w:val="32"/>
        </w:rPr>
        <w:t>（项）：</w:t>
      </w:r>
      <w:r>
        <w:rPr>
          <w:rFonts w:hint="eastAsia" w:ascii="仿宋_GB2312" w:eastAsia="仿宋_GB2312" w:cs="Times New Roman"/>
          <w:kern w:val="2"/>
          <w:sz w:val="32"/>
          <w:szCs w:val="32"/>
        </w:rPr>
        <w:t>指机关事业单位实施养老保险制度由单位缴纳的基本养老保险费支出。</w:t>
      </w:r>
    </w:p>
    <w:p w14:paraId="034FF306">
      <w:pPr>
        <w:pStyle w:val="25"/>
        <w:spacing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3.</w:t>
      </w:r>
      <w:r>
        <w:rPr>
          <w:rFonts w:ascii="仿宋_GB2312" w:eastAsia="仿宋_GB2312" w:cs="Times New Roman"/>
          <w:kern w:val="2"/>
          <w:sz w:val="32"/>
          <w:szCs w:val="32"/>
        </w:rPr>
        <w:t>社会保障和就业支出（类）行政事业单位</w:t>
      </w:r>
      <w:r>
        <w:rPr>
          <w:rFonts w:hint="eastAsia" w:ascii="仿宋_GB2312" w:eastAsia="仿宋_GB2312" w:cs="Times New Roman"/>
          <w:kern w:val="2"/>
          <w:sz w:val="32"/>
          <w:szCs w:val="32"/>
        </w:rPr>
        <w:t>养老支出</w:t>
      </w:r>
      <w:r>
        <w:rPr>
          <w:rFonts w:ascii="仿宋_GB2312" w:eastAsia="仿宋_GB2312" w:cs="Times New Roman"/>
          <w:kern w:val="2"/>
          <w:sz w:val="32"/>
          <w:szCs w:val="32"/>
        </w:rPr>
        <w:t>（款）</w:t>
      </w:r>
      <w:r>
        <w:rPr>
          <w:rFonts w:hint="eastAsia" w:ascii="仿宋_GB2312" w:eastAsia="仿宋_GB2312" w:cs="Times New Roman"/>
          <w:kern w:val="2"/>
          <w:sz w:val="32"/>
          <w:szCs w:val="32"/>
        </w:rPr>
        <w:t>事业单位离退休</w:t>
      </w:r>
      <w:r>
        <w:rPr>
          <w:rFonts w:ascii="仿宋_GB2312" w:eastAsia="仿宋_GB2312" w:cs="Times New Roman"/>
          <w:kern w:val="2"/>
          <w:sz w:val="32"/>
          <w:szCs w:val="32"/>
        </w:rPr>
        <w:t>（项）：</w:t>
      </w:r>
      <w:r>
        <w:rPr>
          <w:rFonts w:hint="eastAsia" w:ascii="仿宋_GB2312" w:eastAsia="仿宋_GB2312" w:cs="Times New Roman"/>
          <w:kern w:val="2"/>
          <w:sz w:val="32"/>
          <w:szCs w:val="32"/>
        </w:rPr>
        <w:t>指事业单位开支的离退休经费。</w:t>
      </w:r>
    </w:p>
    <w:p w14:paraId="4C2432F9">
      <w:pPr>
        <w:pStyle w:val="25"/>
        <w:spacing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4.</w:t>
      </w:r>
      <w:r>
        <w:rPr>
          <w:rFonts w:ascii="仿宋_GB2312" w:eastAsia="仿宋_GB2312" w:cs="Times New Roman"/>
          <w:kern w:val="2"/>
          <w:sz w:val="32"/>
          <w:szCs w:val="32"/>
        </w:rPr>
        <w:t>社会保障和就业支出（类）</w:t>
      </w:r>
      <w:r>
        <w:rPr>
          <w:rFonts w:hint="eastAsia" w:ascii="仿宋_GB2312" w:eastAsia="仿宋_GB2312" w:cs="Times New Roman"/>
          <w:kern w:val="2"/>
          <w:sz w:val="32"/>
          <w:szCs w:val="32"/>
        </w:rPr>
        <w:t>人力资源和社会保障管理事务</w:t>
      </w:r>
      <w:r>
        <w:rPr>
          <w:rFonts w:ascii="仿宋_GB2312" w:eastAsia="仿宋_GB2312" w:cs="Times New Roman"/>
          <w:kern w:val="2"/>
          <w:sz w:val="32"/>
          <w:szCs w:val="32"/>
        </w:rPr>
        <w:t>（款）</w:t>
      </w:r>
      <w:r>
        <w:rPr>
          <w:rFonts w:hint="eastAsia" w:ascii="仿宋_GB2312" w:eastAsia="仿宋_GB2312" w:cs="Times New Roman"/>
          <w:kern w:val="2"/>
          <w:sz w:val="32"/>
          <w:szCs w:val="32"/>
        </w:rPr>
        <w:t>其他人力资源和社会保障管理事务支出</w:t>
      </w:r>
      <w:r>
        <w:rPr>
          <w:rFonts w:ascii="仿宋_GB2312" w:eastAsia="仿宋_GB2312" w:cs="Times New Roman"/>
          <w:kern w:val="2"/>
          <w:sz w:val="32"/>
          <w:szCs w:val="32"/>
        </w:rPr>
        <w:t>（项）：</w:t>
      </w:r>
      <w:r>
        <w:rPr>
          <w:rFonts w:hint="eastAsia" w:ascii="仿宋_GB2312" w:eastAsia="仿宋_GB2312" w:cs="Times New Roman"/>
          <w:kern w:val="2"/>
          <w:sz w:val="32"/>
          <w:szCs w:val="32"/>
        </w:rPr>
        <w:t>指除上述项目以外其他用于人力资源和社会保障管理事务方面的支出。</w:t>
      </w:r>
    </w:p>
    <w:p w14:paraId="18AB4F16">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自然资源海洋气象等支出（类）自然资源事务（款）事业运行（项）：</w:t>
      </w:r>
      <w:r>
        <w:rPr>
          <w:rFonts w:hint="eastAsia" w:ascii="仿宋_GB2312" w:eastAsia="仿宋_GB2312"/>
          <w:color w:val="000000"/>
          <w:sz w:val="32"/>
          <w:szCs w:val="32"/>
        </w:rPr>
        <w:t>指事业单位的基本支出，不包括行政单位（包括实施公务员管理的事业单位）后勤服务中心，医务室等附属事业单位</w:t>
      </w:r>
      <w:r>
        <w:rPr>
          <w:rFonts w:ascii="仿宋_GB2312" w:eastAsia="仿宋_GB2312"/>
          <w:color w:val="000000"/>
          <w:sz w:val="32"/>
          <w:szCs w:val="32"/>
        </w:rPr>
        <w:t>。</w:t>
      </w:r>
    </w:p>
    <w:p w14:paraId="124A0F38">
      <w:pPr>
        <w:pStyle w:val="25"/>
        <w:spacing w:line="560" w:lineRule="exact"/>
        <w:ind w:firstLine="640" w:firstLineChars="200"/>
        <w:rPr>
          <w:rFonts w:ascii="仿宋_GB2312" w:eastAsia="仿宋_GB2312" w:cs="Times New Roman"/>
          <w:kern w:val="2"/>
          <w:sz w:val="32"/>
          <w:szCs w:val="32"/>
        </w:rPr>
      </w:pPr>
      <w:r>
        <w:rPr>
          <w:rFonts w:hint="eastAsia" w:ascii="仿宋_GB2312" w:eastAsia="仿宋_GB2312"/>
          <w:kern w:val="2"/>
          <w:sz w:val="32"/>
          <w:szCs w:val="32"/>
        </w:rPr>
        <w:t>6.自然资源海洋</w:t>
      </w:r>
      <w:r>
        <w:rPr>
          <w:rFonts w:hint="eastAsia" w:ascii="仿宋_GB2312" w:eastAsia="仿宋_GB2312" w:cs="Times New Roman"/>
          <w:kern w:val="2"/>
          <w:sz w:val="32"/>
          <w:szCs w:val="32"/>
        </w:rPr>
        <w:t>气象等支出（类）自然资源事务（款）其他自然资源事务（项）：指除上述项目以外其他用于自然资源事务方面的支出。</w:t>
      </w:r>
    </w:p>
    <w:p w14:paraId="675348E2">
      <w:pPr>
        <w:spacing w:line="600" w:lineRule="exact"/>
        <w:ind w:firstLine="640" w:firstLineChars="200"/>
        <w:rPr>
          <w:rFonts w:ascii="仿宋_GB2312" w:eastAsia="仿宋_GB2312" w:cs="仿宋"/>
          <w:color w:val="000000"/>
        </w:rPr>
      </w:pPr>
      <w:r>
        <w:rPr>
          <w:rFonts w:hint="eastAsia" w:ascii="仿宋_GB2312" w:eastAsia="仿宋_GB2312"/>
          <w:sz w:val="32"/>
          <w:szCs w:val="32"/>
        </w:rPr>
        <w:t>7.</w:t>
      </w:r>
      <w:r>
        <w:rPr>
          <w:rFonts w:hint="eastAsia" w:ascii="仿宋_GB2312" w:eastAsia="仿宋_GB2312" w:cs="仿宋"/>
          <w:color w:val="000000"/>
          <w:sz w:val="32"/>
          <w:szCs w:val="32"/>
        </w:rPr>
        <w:t>卫生健康支出（类）行政事业单位医疗（款）事业单位医疗（项</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指财政部门安排的事业单位基本医疗保险缴费经费，未参加医疗保险的事业单位的公费医疗经费，按国家规定享受离休人员待遇的医疗经费。</w:t>
      </w:r>
    </w:p>
    <w:p w14:paraId="1879021A">
      <w:pPr>
        <w:spacing w:line="600" w:lineRule="exact"/>
        <w:ind w:firstLine="640" w:firstLineChars="200"/>
        <w:rPr>
          <w:rFonts w:ascii="仿宋_GB2312" w:eastAsia="仿宋_GB2312" w:cs="仿宋"/>
          <w:color w:val="000000"/>
          <w:sz w:val="32"/>
          <w:szCs w:val="32"/>
        </w:rPr>
      </w:pPr>
      <w:r>
        <w:rPr>
          <w:rFonts w:hint="eastAsia" w:ascii="仿宋_GB2312" w:eastAsia="仿宋_GB2312" w:cs="仿宋"/>
          <w:color w:val="000000"/>
          <w:sz w:val="32"/>
          <w:szCs w:val="32"/>
        </w:rPr>
        <w:t>8</w:t>
      </w:r>
      <w:r>
        <w:rPr>
          <w:rFonts w:ascii="仿宋_GB2312" w:eastAsia="仿宋_GB2312" w:cs="仿宋"/>
          <w:color w:val="000000"/>
          <w:sz w:val="32"/>
          <w:szCs w:val="32"/>
        </w:rPr>
        <w:t>.</w:t>
      </w:r>
      <w:r>
        <w:rPr>
          <w:rFonts w:hint="eastAsia" w:ascii="仿宋_GB2312" w:eastAsia="仿宋_GB2312" w:cs="仿宋"/>
          <w:color w:val="000000"/>
          <w:sz w:val="32"/>
          <w:szCs w:val="32"/>
        </w:rPr>
        <w:t>卫生健康支出（类）行政事业单位医疗（款）公务员医疗补助（项）</w:t>
      </w:r>
      <w:r>
        <w:rPr>
          <w:rFonts w:ascii="仿宋_GB2312" w:eastAsia="仿宋_GB2312" w:cs="仿宋"/>
          <w:color w:val="000000"/>
          <w:sz w:val="32"/>
          <w:szCs w:val="32"/>
        </w:rPr>
        <w:t>:</w:t>
      </w:r>
      <w:r>
        <w:rPr>
          <w:rFonts w:hint="eastAsia" w:ascii="仿宋_GB2312" w:eastAsia="仿宋_GB2312" w:cs="仿宋"/>
          <w:color w:val="000000"/>
          <w:sz w:val="32"/>
          <w:szCs w:val="32"/>
        </w:rPr>
        <w:t>指财政部门安排的公务员医疗补助经费。</w:t>
      </w:r>
    </w:p>
    <w:p w14:paraId="7F0071A4">
      <w:pPr>
        <w:spacing w:line="600" w:lineRule="exact"/>
        <w:ind w:firstLine="640" w:firstLineChars="200"/>
        <w:rPr>
          <w:rFonts w:ascii="仿宋_GB2312" w:eastAsia="仿宋_GB2312" w:cs="仿宋"/>
          <w:color w:val="000000"/>
          <w:sz w:val="32"/>
          <w:szCs w:val="32"/>
        </w:rPr>
      </w:pPr>
      <w:r>
        <w:rPr>
          <w:rFonts w:hint="eastAsia" w:ascii="仿宋_GB2312" w:eastAsia="仿宋_GB2312" w:cs="仿宋"/>
          <w:color w:val="000000"/>
          <w:sz w:val="32"/>
          <w:szCs w:val="32"/>
        </w:rPr>
        <w:t>9</w:t>
      </w:r>
      <w:r>
        <w:rPr>
          <w:rFonts w:ascii="仿宋_GB2312" w:eastAsia="仿宋_GB2312" w:cs="仿宋"/>
          <w:color w:val="000000"/>
          <w:sz w:val="32"/>
          <w:szCs w:val="32"/>
        </w:rPr>
        <w:t>.</w:t>
      </w:r>
      <w:r>
        <w:rPr>
          <w:rFonts w:hint="eastAsia" w:ascii="仿宋_GB2312" w:eastAsia="仿宋_GB2312" w:cs="仿宋"/>
          <w:color w:val="000000"/>
          <w:sz w:val="32"/>
          <w:szCs w:val="32"/>
        </w:rPr>
        <w:t>卫生健康支出（类）行政事业单位医疗（款）其他行政事业单位医疗支出（项）</w:t>
      </w:r>
      <w:r>
        <w:rPr>
          <w:rFonts w:ascii="仿宋_GB2312" w:eastAsia="仿宋_GB2312" w:cs="仿宋"/>
          <w:color w:val="000000"/>
          <w:sz w:val="32"/>
          <w:szCs w:val="32"/>
        </w:rPr>
        <w:t>:</w:t>
      </w:r>
      <w:r>
        <w:rPr>
          <w:rFonts w:hint="eastAsia" w:ascii="仿宋_GB2312" w:eastAsia="仿宋_GB2312" w:cs="仿宋"/>
          <w:color w:val="000000"/>
          <w:sz w:val="32"/>
          <w:szCs w:val="32"/>
        </w:rPr>
        <w:t>指除上述项目以外的其他用于行政事业单位医疗方面的支出。</w:t>
      </w:r>
    </w:p>
    <w:p w14:paraId="27948B99">
      <w:pPr>
        <w:pStyle w:val="25"/>
        <w:spacing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10.</w:t>
      </w:r>
      <w:r>
        <w:rPr>
          <w:rFonts w:ascii="仿宋_GB2312" w:eastAsia="仿宋_GB2312" w:cs="Times New Roman"/>
          <w:kern w:val="2"/>
          <w:sz w:val="32"/>
          <w:szCs w:val="32"/>
        </w:rPr>
        <w:t>住房保障支出（类）住房改革支出（款）住房公积金（项）:</w:t>
      </w:r>
      <w:r>
        <w:rPr>
          <w:rFonts w:hint="eastAsia" w:ascii="仿宋_GB2312" w:eastAsia="仿宋_GB2312" w:cs="Times New Roman"/>
          <w:kern w:val="2"/>
          <w:sz w:val="32"/>
          <w:szCs w:val="32"/>
        </w:rPr>
        <w:t>指行政事业单位按人力资源和社会保障部，财政部规定的基本工资和津贴补贴以及规定比例为职工缴纳的住房公积金</w:t>
      </w:r>
      <w:r>
        <w:rPr>
          <w:rFonts w:ascii="仿宋_GB2312" w:eastAsia="仿宋_GB2312" w:cs="Times New Roman"/>
          <w:kern w:val="2"/>
          <w:sz w:val="32"/>
          <w:szCs w:val="32"/>
        </w:rPr>
        <w:t>。</w:t>
      </w:r>
    </w:p>
    <w:p w14:paraId="4C1DDD60">
      <w:pPr>
        <w:pStyle w:val="25"/>
        <w:spacing w:line="560" w:lineRule="exact"/>
        <w:ind w:firstLine="640" w:firstLineChars="200"/>
        <w:rPr>
          <w:rFonts w:ascii="仿宋_GB2312" w:eastAsia="仿宋_GB2312"/>
          <w:color w:val="auto"/>
          <w:sz w:val="32"/>
          <w:szCs w:val="32"/>
        </w:rPr>
      </w:pPr>
      <w:r>
        <w:rPr>
          <w:rFonts w:hint="eastAsia" w:ascii="仿宋_GB2312" w:eastAsia="仿宋_GB2312" w:cs="Times New Roman"/>
          <w:kern w:val="2"/>
          <w:sz w:val="32"/>
          <w:szCs w:val="32"/>
        </w:rPr>
        <w:t>11.</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F2C977B">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5CE47307">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9BBC257">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4A2916A">
      <w:pPr>
        <w:spacing w:line="600" w:lineRule="exact"/>
        <w:jc w:val="center"/>
        <w:outlineLvl w:val="0"/>
        <w:rPr>
          <w:rFonts w:eastAsia="黑体"/>
          <w:sz w:val="44"/>
          <w:szCs w:val="44"/>
        </w:rPr>
      </w:pPr>
      <w:bookmarkStart w:id="83" w:name="_Toc208217904"/>
    </w:p>
    <w:p w14:paraId="45C5A597">
      <w:pPr>
        <w:spacing w:line="600" w:lineRule="exact"/>
        <w:jc w:val="center"/>
        <w:outlineLvl w:val="0"/>
        <w:rPr>
          <w:bCs/>
        </w:rPr>
      </w:pPr>
      <w:r>
        <w:rPr>
          <w:rFonts w:hint="eastAsia" w:eastAsia="黑体"/>
          <w:sz w:val="44"/>
          <w:szCs w:val="44"/>
        </w:rPr>
        <w:t>第四部分  附件</w:t>
      </w:r>
      <w:bookmarkEnd w:id="81"/>
      <w:bookmarkEnd w:id="83"/>
    </w:p>
    <w:p w14:paraId="7219E783">
      <w:pPr>
        <w:spacing w:line="572" w:lineRule="exact"/>
        <w:jc w:val="left"/>
        <w:outlineLvl w:val="0"/>
        <w:rPr>
          <w:rFonts w:eastAsia="黑体" w:cs="黑体"/>
          <w:color w:val="FF0000"/>
          <w:sz w:val="32"/>
          <w:szCs w:val="32"/>
        </w:rPr>
      </w:pPr>
    </w:p>
    <w:p w14:paraId="29D1E50A">
      <w:pPr>
        <w:spacing w:line="600" w:lineRule="exact"/>
        <w:jc w:val="center"/>
        <w:outlineLvl w:val="0"/>
        <w:rPr>
          <w:rFonts w:ascii="宋体" w:cs="宋体"/>
          <w:kern w:val="0"/>
          <w:sz w:val="32"/>
          <w:szCs w:val="32"/>
        </w:rPr>
      </w:pPr>
      <w:r>
        <w:rPr>
          <w:rFonts w:hint="eastAsia" w:ascii="宋体" w:cs="宋体"/>
          <w:kern w:val="0"/>
          <w:sz w:val="32"/>
          <w:szCs w:val="32"/>
        </w:rPr>
        <w:t xml:space="preserve">    </w:t>
      </w:r>
      <w:bookmarkStart w:id="84" w:name="_Toc176509493"/>
      <w:r>
        <w:rPr>
          <w:rFonts w:hint="eastAsia" w:ascii="宋体" w:cs="宋体"/>
          <w:kern w:val="0"/>
          <w:sz w:val="32"/>
          <w:szCs w:val="32"/>
        </w:rPr>
        <w:t>攀枝花市地理信息中心2024年度单位预算项目支出绩效自评表见附件</w:t>
      </w:r>
      <w:bookmarkEnd w:id="84"/>
    </w:p>
    <w:p w14:paraId="169150C2">
      <w:pPr>
        <w:pStyle w:val="8"/>
        <w:spacing w:line="560" w:lineRule="exact"/>
        <w:ind w:left="0" w:leftChars="0" w:firstLine="0" w:firstLineChars="0"/>
        <w:rPr>
          <w:rFonts w:ascii="Times New Roman" w:hAnsi="Times New Roman"/>
          <w:sz w:val="32"/>
          <w:highlight w:val="yellow"/>
        </w:rPr>
      </w:pPr>
    </w:p>
    <w:p w14:paraId="3DD63253">
      <w:pPr>
        <w:pStyle w:val="2"/>
        <w:spacing w:before="93" w:beforeLines="0"/>
        <w:rPr>
          <w:rFonts w:ascii="Times New Roman" w:hAnsi="Times New Roman" w:cs="宋体"/>
          <w:color w:val="FF0000"/>
          <w:sz w:val="32"/>
          <w:szCs w:val="32"/>
          <w:highlight w:val="yellow"/>
          <w:shd w:val="clear" w:color="auto" w:fill="FFFFFF"/>
          <w:lang w:val="zh-CN"/>
        </w:rPr>
      </w:pPr>
    </w:p>
    <w:p w14:paraId="5EC11A43">
      <w:pPr>
        <w:rPr>
          <w:rFonts w:eastAsia="黑体" w:cs="黑体"/>
          <w:kern w:val="0"/>
          <w:sz w:val="32"/>
          <w:szCs w:val="32"/>
          <w:shd w:val="clear" w:color="auto" w:fill="FFFFFF"/>
          <w:lang w:val="zh-CN"/>
        </w:rPr>
      </w:pPr>
      <w:r>
        <w:rPr>
          <w:rFonts w:hint="eastAsia" w:eastAsia="黑体" w:cs="黑体"/>
          <w:kern w:val="0"/>
          <w:sz w:val="32"/>
          <w:szCs w:val="32"/>
          <w:shd w:val="clear" w:color="auto" w:fill="FFFFFF"/>
          <w:lang w:val="zh-CN"/>
        </w:rPr>
        <w:br w:type="page"/>
      </w:r>
    </w:p>
    <w:p w14:paraId="5F6B9C2A">
      <w:pPr>
        <w:spacing w:line="600" w:lineRule="exact"/>
        <w:jc w:val="center"/>
        <w:outlineLvl w:val="0"/>
        <w:rPr>
          <w:rFonts w:ascii="黑体" w:eastAsia="黑体"/>
          <w:sz w:val="44"/>
          <w:szCs w:val="44"/>
        </w:rPr>
      </w:pPr>
      <w:bookmarkStart w:id="85" w:name="_Toc208217905"/>
      <w:bookmarkStart w:id="86" w:name="_Toc15396618"/>
      <w:r>
        <w:rPr>
          <w:rFonts w:hint="eastAsia" w:ascii="黑体" w:eastAsia="黑体"/>
          <w:sz w:val="44"/>
          <w:szCs w:val="44"/>
        </w:rPr>
        <w:t>第</w:t>
      </w:r>
      <w:r>
        <w:rPr>
          <w:rFonts w:hint="eastAsia" w:ascii="黑体" w:eastAsia="黑体"/>
          <w:bCs/>
          <w:sz w:val="44"/>
          <w:szCs w:val="44"/>
        </w:rPr>
        <w:t>五部分 附表</w:t>
      </w:r>
      <w:bookmarkEnd w:id="82"/>
      <w:bookmarkEnd w:id="85"/>
      <w:bookmarkEnd w:id="86"/>
      <w:bookmarkStart w:id="87" w:name="_Toc15396619"/>
    </w:p>
    <w:p w14:paraId="2E4AF889">
      <w:pPr>
        <w:pStyle w:val="14"/>
        <w:adjustRightInd w:val="0"/>
        <w:snapToGrid w:val="0"/>
        <w:spacing w:line="560" w:lineRule="exact"/>
        <w:jc w:val="left"/>
        <w:rPr>
          <w:rFonts w:eastAsia="仿宋_GB2312" w:cs="仿宋_GB2312"/>
          <w:sz w:val="32"/>
          <w:szCs w:val="32"/>
        </w:rPr>
      </w:pPr>
    </w:p>
    <w:p w14:paraId="501E84A2">
      <w:pPr>
        <w:pStyle w:val="14"/>
        <w:adjustRightInd w:val="0"/>
        <w:snapToGrid w:val="0"/>
        <w:spacing w:line="560" w:lineRule="exact"/>
        <w:jc w:val="left"/>
        <w:outlineLvl w:val="1"/>
        <w:rPr>
          <w:rFonts w:eastAsia="仿宋_GB2312" w:cs="仿宋_GB2312"/>
          <w:sz w:val="32"/>
          <w:szCs w:val="32"/>
        </w:rPr>
      </w:pPr>
      <w:bookmarkStart w:id="88" w:name="_Toc208217906"/>
      <w:r>
        <w:rPr>
          <w:rFonts w:hint="eastAsia" w:eastAsia="仿宋_GB2312" w:cs="仿宋_GB2312"/>
          <w:sz w:val="32"/>
          <w:szCs w:val="32"/>
        </w:rPr>
        <w:t>一、收入支出决算总表</w:t>
      </w:r>
      <w:bookmarkEnd w:id="87"/>
      <w:bookmarkEnd w:id="88"/>
    </w:p>
    <w:p w14:paraId="741593F9">
      <w:pPr>
        <w:pStyle w:val="14"/>
        <w:adjustRightInd w:val="0"/>
        <w:snapToGrid w:val="0"/>
        <w:spacing w:line="560" w:lineRule="exact"/>
        <w:jc w:val="left"/>
        <w:outlineLvl w:val="1"/>
        <w:rPr>
          <w:rFonts w:eastAsia="仿宋_GB2312" w:cs="仿宋_GB2312"/>
          <w:sz w:val="32"/>
          <w:szCs w:val="32"/>
        </w:rPr>
      </w:pPr>
      <w:bookmarkStart w:id="89" w:name="_Toc15396620"/>
      <w:bookmarkStart w:id="90" w:name="_Toc208217907"/>
      <w:r>
        <w:rPr>
          <w:rFonts w:hint="eastAsia" w:eastAsia="仿宋_GB2312" w:cs="仿宋_GB2312"/>
          <w:sz w:val="32"/>
          <w:szCs w:val="32"/>
        </w:rPr>
        <w:t>二、收入决算表</w:t>
      </w:r>
      <w:bookmarkEnd w:id="89"/>
      <w:bookmarkEnd w:id="90"/>
    </w:p>
    <w:p w14:paraId="372A7136">
      <w:pPr>
        <w:pStyle w:val="14"/>
        <w:adjustRightInd w:val="0"/>
        <w:snapToGrid w:val="0"/>
        <w:spacing w:line="560" w:lineRule="exact"/>
        <w:jc w:val="left"/>
        <w:outlineLvl w:val="1"/>
        <w:rPr>
          <w:rFonts w:eastAsia="仿宋_GB2312" w:cs="仿宋_GB2312"/>
          <w:sz w:val="32"/>
          <w:szCs w:val="32"/>
        </w:rPr>
      </w:pPr>
      <w:bookmarkStart w:id="91" w:name="_Toc208217908"/>
      <w:bookmarkStart w:id="92" w:name="_Toc15396621"/>
      <w:r>
        <w:rPr>
          <w:rFonts w:hint="eastAsia" w:eastAsia="仿宋_GB2312" w:cs="仿宋_GB2312"/>
          <w:sz w:val="32"/>
          <w:szCs w:val="32"/>
        </w:rPr>
        <w:t>三、支出决算表</w:t>
      </w:r>
      <w:bookmarkEnd w:id="91"/>
      <w:bookmarkEnd w:id="92"/>
    </w:p>
    <w:p w14:paraId="723B3126">
      <w:pPr>
        <w:pStyle w:val="14"/>
        <w:adjustRightInd w:val="0"/>
        <w:snapToGrid w:val="0"/>
        <w:spacing w:line="560" w:lineRule="exact"/>
        <w:jc w:val="left"/>
        <w:outlineLvl w:val="1"/>
        <w:rPr>
          <w:rFonts w:eastAsia="仿宋_GB2312" w:cs="仿宋_GB2312"/>
          <w:sz w:val="32"/>
          <w:szCs w:val="32"/>
        </w:rPr>
      </w:pPr>
      <w:bookmarkStart w:id="93" w:name="_Toc15396622"/>
      <w:bookmarkStart w:id="94" w:name="_Toc208217909"/>
      <w:r>
        <w:rPr>
          <w:rFonts w:hint="eastAsia" w:eastAsia="仿宋_GB2312" w:cs="仿宋_GB2312"/>
          <w:sz w:val="32"/>
          <w:szCs w:val="32"/>
        </w:rPr>
        <w:t>四、财政拨款收入支出决算总表</w:t>
      </w:r>
      <w:bookmarkEnd w:id="93"/>
      <w:bookmarkEnd w:id="94"/>
    </w:p>
    <w:p w14:paraId="60EEDEE6">
      <w:pPr>
        <w:pStyle w:val="14"/>
        <w:adjustRightInd w:val="0"/>
        <w:snapToGrid w:val="0"/>
        <w:spacing w:line="560" w:lineRule="exact"/>
        <w:jc w:val="left"/>
        <w:outlineLvl w:val="1"/>
        <w:rPr>
          <w:rFonts w:eastAsia="仿宋_GB2312" w:cs="仿宋_GB2312"/>
          <w:sz w:val="32"/>
          <w:szCs w:val="32"/>
        </w:rPr>
      </w:pPr>
      <w:bookmarkStart w:id="95" w:name="_Toc15396623"/>
      <w:bookmarkStart w:id="96" w:name="_Toc208217910"/>
      <w:r>
        <w:rPr>
          <w:rFonts w:hint="eastAsia" w:eastAsia="仿宋_GB2312" w:cs="仿宋_GB2312"/>
          <w:sz w:val="32"/>
          <w:szCs w:val="32"/>
        </w:rPr>
        <w:t>五、财政拨款支出决算明细表</w:t>
      </w:r>
      <w:bookmarkEnd w:id="95"/>
      <w:bookmarkEnd w:id="96"/>
      <w:bookmarkStart w:id="97" w:name="_Toc15396624"/>
    </w:p>
    <w:p w14:paraId="6EB95496">
      <w:pPr>
        <w:pStyle w:val="14"/>
        <w:adjustRightInd w:val="0"/>
        <w:snapToGrid w:val="0"/>
        <w:spacing w:line="560" w:lineRule="exact"/>
        <w:jc w:val="left"/>
        <w:outlineLvl w:val="1"/>
        <w:rPr>
          <w:rFonts w:eastAsia="仿宋_GB2312" w:cs="仿宋_GB2312"/>
          <w:sz w:val="32"/>
          <w:szCs w:val="32"/>
        </w:rPr>
      </w:pPr>
      <w:bookmarkStart w:id="98" w:name="_Toc208217911"/>
      <w:r>
        <w:rPr>
          <w:rFonts w:hint="eastAsia" w:eastAsia="仿宋_GB2312" w:cs="仿宋_GB2312"/>
          <w:sz w:val="32"/>
          <w:szCs w:val="32"/>
        </w:rPr>
        <w:t>六、一般公共预算财政拨款支出决算表</w:t>
      </w:r>
      <w:bookmarkEnd w:id="97"/>
      <w:bookmarkEnd w:id="98"/>
    </w:p>
    <w:p w14:paraId="151ACACA">
      <w:pPr>
        <w:pStyle w:val="14"/>
        <w:adjustRightInd w:val="0"/>
        <w:snapToGrid w:val="0"/>
        <w:spacing w:line="560" w:lineRule="exact"/>
        <w:jc w:val="left"/>
        <w:outlineLvl w:val="1"/>
        <w:rPr>
          <w:rFonts w:eastAsia="仿宋_GB2312" w:cs="仿宋_GB2312"/>
          <w:sz w:val="32"/>
          <w:szCs w:val="32"/>
        </w:rPr>
      </w:pPr>
      <w:bookmarkStart w:id="99" w:name="_Toc208217912"/>
      <w:bookmarkStart w:id="100" w:name="_Toc15396625"/>
      <w:r>
        <w:rPr>
          <w:rFonts w:hint="eastAsia" w:eastAsia="仿宋_GB2312" w:cs="仿宋_GB2312"/>
          <w:sz w:val="32"/>
          <w:szCs w:val="32"/>
        </w:rPr>
        <w:t>七、一般公共预算财政拨款支出决算明细表</w:t>
      </w:r>
      <w:bookmarkEnd w:id="99"/>
      <w:bookmarkEnd w:id="100"/>
    </w:p>
    <w:p w14:paraId="14688246">
      <w:pPr>
        <w:pStyle w:val="14"/>
        <w:adjustRightInd w:val="0"/>
        <w:snapToGrid w:val="0"/>
        <w:spacing w:line="560" w:lineRule="exact"/>
        <w:jc w:val="left"/>
        <w:outlineLvl w:val="1"/>
        <w:rPr>
          <w:rFonts w:eastAsia="仿宋_GB2312" w:cs="仿宋_GB2312"/>
          <w:sz w:val="32"/>
          <w:szCs w:val="32"/>
        </w:rPr>
      </w:pPr>
      <w:bookmarkStart w:id="101" w:name="_Toc208217913"/>
      <w:bookmarkStart w:id="102" w:name="_Toc15396626"/>
      <w:r>
        <w:rPr>
          <w:rFonts w:hint="eastAsia" w:eastAsia="仿宋_GB2312" w:cs="仿宋_GB2312"/>
          <w:sz w:val="32"/>
          <w:szCs w:val="32"/>
        </w:rPr>
        <w:t>八、一般公共预算财政拨款基本支出决算表</w:t>
      </w:r>
      <w:bookmarkEnd w:id="101"/>
      <w:bookmarkEnd w:id="102"/>
    </w:p>
    <w:p w14:paraId="21EE4BA1">
      <w:pPr>
        <w:pStyle w:val="14"/>
        <w:adjustRightInd w:val="0"/>
        <w:snapToGrid w:val="0"/>
        <w:spacing w:line="560" w:lineRule="exact"/>
        <w:jc w:val="left"/>
        <w:outlineLvl w:val="1"/>
        <w:rPr>
          <w:rFonts w:eastAsia="仿宋_GB2312" w:cs="仿宋_GB2312"/>
          <w:sz w:val="32"/>
          <w:szCs w:val="32"/>
        </w:rPr>
      </w:pPr>
      <w:bookmarkStart w:id="103" w:name="_Toc208217914"/>
      <w:bookmarkStart w:id="104" w:name="_Toc15396627"/>
      <w:r>
        <w:rPr>
          <w:rFonts w:hint="eastAsia" w:eastAsia="仿宋_GB2312" w:cs="仿宋_GB2312"/>
          <w:sz w:val="32"/>
          <w:szCs w:val="32"/>
        </w:rPr>
        <w:t>九、一般公共预算财政拨款项目支出决算表</w:t>
      </w:r>
      <w:bookmarkEnd w:id="103"/>
      <w:bookmarkEnd w:id="104"/>
    </w:p>
    <w:p w14:paraId="0F1D4D80">
      <w:pPr>
        <w:pStyle w:val="14"/>
        <w:adjustRightInd w:val="0"/>
        <w:snapToGrid w:val="0"/>
        <w:spacing w:line="560" w:lineRule="exact"/>
        <w:jc w:val="left"/>
        <w:outlineLvl w:val="1"/>
        <w:rPr>
          <w:rFonts w:eastAsia="仿宋_GB2312" w:cs="仿宋_GB2312"/>
          <w:sz w:val="32"/>
          <w:szCs w:val="32"/>
        </w:rPr>
      </w:pPr>
      <w:bookmarkStart w:id="105" w:name="_Toc15396628"/>
      <w:bookmarkStart w:id="106" w:name="_Toc208217915"/>
      <w:r>
        <w:rPr>
          <w:rFonts w:hint="eastAsia" w:eastAsia="仿宋_GB2312" w:cs="仿宋_GB2312"/>
          <w:sz w:val="32"/>
          <w:szCs w:val="32"/>
        </w:rPr>
        <w:t>十、</w:t>
      </w:r>
      <w:bookmarkEnd w:id="105"/>
      <w:r>
        <w:rPr>
          <w:rFonts w:hint="eastAsia" w:eastAsia="仿宋_GB2312" w:cs="仿宋_GB2312"/>
          <w:sz w:val="32"/>
          <w:szCs w:val="32"/>
        </w:rPr>
        <w:t>政府性基金预算财政拨款收入支出决算表</w:t>
      </w:r>
      <w:bookmarkEnd w:id="106"/>
    </w:p>
    <w:p w14:paraId="355BF554">
      <w:pPr>
        <w:pStyle w:val="14"/>
        <w:adjustRightInd w:val="0"/>
        <w:snapToGrid w:val="0"/>
        <w:spacing w:line="560" w:lineRule="exact"/>
        <w:jc w:val="left"/>
        <w:outlineLvl w:val="1"/>
        <w:rPr>
          <w:rFonts w:eastAsia="仿宋_GB2312" w:cs="仿宋_GB2312"/>
          <w:sz w:val="32"/>
          <w:szCs w:val="32"/>
        </w:rPr>
      </w:pPr>
      <w:bookmarkStart w:id="107" w:name="_Toc15396629"/>
      <w:bookmarkStart w:id="108" w:name="_Toc208217916"/>
      <w:r>
        <w:rPr>
          <w:rFonts w:hint="eastAsia" w:eastAsia="仿宋_GB2312" w:cs="仿宋_GB2312"/>
          <w:sz w:val="32"/>
          <w:szCs w:val="32"/>
        </w:rPr>
        <w:t>十一、</w:t>
      </w:r>
      <w:bookmarkEnd w:id="107"/>
      <w:r>
        <w:rPr>
          <w:rFonts w:hint="eastAsia" w:eastAsia="仿宋_GB2312" w:cs="仿宋_GB2312"/>
          <w:sz w:val="32"/>
          <w:szCs w:val="32"/>
        </w:rPr>
        <w:t>国有资本经营预算财政拨款收入支出决算表</w:t>
      </w:r>
      <w:bookmarkEnd w:id="108"/>
    </w:p>
    <w:p w14:paraId="0155E106">
      <w:pPr>
        <w:pStyle w:val="14"/>
        <w:adjustRightInd w:val="0"/>
        <w:snapToGrid w:val="0"/>
        <w:spacing w:line="560" w:lineRule="exact"/>
        <w:jc w:val="left"/>
        <w:outlineLvl w:val="1"/>
        <w:rPr>
          <w:rFonts w:eastAsia="仿宋_GB2312" w:cs="仿宋_GB2312"/>
          <w:sz w:val="32"/>
          <w:szCs w:val="32"/>
        </w:rPr>
      </w:pPr>
      <w:bookmarkStart w:id="109" w:name="_Toc15396630"/>
      <w:bookmarkStart w:id="110" w:name="_Toc208217917"/>
      <w:r>
        <w:rPr>
          <w:rFonts w:hint="eastAsia" w:eastAsia="仿宋_GB2312" w:cs="仿宋_GB2312"/>
          <w:sz w:val="32"/>
          <w:szCs w:val="32"/>
        </w:rPr>
        <w:t>十二、</w:t>
      </w:r>
      <w:bookmarkEnd w:id="109"/>
      <w:r>
        <w:rPr>
          <w:rFonts w:hint="eastAsia" w:eastAsia="仿宋_GB2312" w:cs="仿宋_GB2312"/>
          <w:sz w:val="32"/>
          <w:szCs w:val="32"/>
        </w:rPr>
        <w:t>国有资本经营预算财政拨款支出决算表</w:t>
      </w:r>
      <w:bookmarkEnd w:id="110"/>
    </w:p>
    <w:p w14:paraId="25999A2E">
      <w:pPr>
        <w:pStyle w:val="14"/>
        <w:adjustRightInd w:val="0"/>
        <w:snapToGrid w:val="0"/>
        <w:spacing w:line="560" w:lineRule="exact"/>
        <w:jc w:val="left"/>
        <w:outlineLvl w:val="1"/>
        <w:rPr>
          <w:rFonts w:eastAsia="仿宋_GB2312" w:cs="仿宋_GB2312"/>
          <w:sz w:val="32"/>
          <w:szCs w:val="32"/>
        </w:rPr>
      </w:pPr>
      <w:bookmarkStart w:id="111" w:name="_Toc15396631"/>
      <w:bookmarkStart w:id="112" w:name="_Toc208217918"/>
      <w:r>
        <w:rPr>
          <w:rFonts w:hint="eastAsia" w:eastAsia="仿宋_GB2312" w:cs="仿宋_GB2312"/>
          <w:sz w:val="32"/>
          <w:szCs w:val="32"/>
        </w:rPr>
        <w:t>十三、</w:t>
      </w:r>
      <w:bookmarkEnd w:id="111"/>
      <w:r>
        <w:rPr>
          <w:rFonts w:hint="eastAsia" w:eastAsia="仿宋_GB2312" w:cs="仿宋_GB2312"/>
          <w:sz w:val="32"/>
          <w:szCs w:val="32"/>
        </w:rPr>
        <w:t>财政拨款“三公”经费支出决算表</w:t>
      </w:r>
      <w:bookmarkEnd w:id="112"/>
    </w:p>
    <w:p w14:paraId="4EFD144C"/>
    <w:sectPr>
      <w:footerReference r:id="rId6" w:type="first"/>
      <w:footerReference r:id="rId5" w:type="default"/>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ksdb"/>
    <w:panose1 w:val="00000000000000000000"/>
    <w:charset w:val="00"/>
    <w:family w:val="roman"/>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方正小标宋简体">
    <w:altName w:val="黑体"/>
    <w:panose1 w:val="03000509000000000000"/>
    <w:charset w:val="86"/>
    <w:family w:val="auto"/>
    <w:pitch w:val="default"/>
    <w:sig w:usb0="00000000" w:usb1="00000000" w:usb2="00000010" w:usb3="00000000" w:csb0="00040000" w:csb1="00000000"/>
  </w:font>
  <w:font w:name="永中宋体">
    <w:altName w:val="宋体"/>
    <w:panose1 w:val="00000000000000000000"/>
    <w:charset w:val="01"/>
    <w:family w:val="auto"/>
    <w:pitch w:val="default"/>
    <w:sig w:usb0="00000000" w:usb1="00000000" w:usb2="00000000" w:usb3="00000000" w:csb0="00000000" w:csb1="00000000"/>
  </w:font>
  <w:font w:name="Lucida Sans">
    <w:panose1 w:val="020B0602030504020204"/>
    <w:charset w:val="01"/>
    <w:family w:val="auto"/>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B32E">
    <w:pPr>
      <w:pStyle w:val="3"/>
      <w:jc w:val="center"/>
    </w:pPr>
  </w:p>
  <w:p w14:paraId="7A95401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7DAFB">
    <w:pPr>
      <w:pStyle w:val="3"/>
      <w:jc w:val="center"/>
    </w:pPr>
  </w:p>
  <w:p w14:paraId="2DB49E8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245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3D8D">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16B961D0"/>
    <w:rsid w:val="1A036530"/>
    <w:rsid w:val="2A02452F"/>
    <w:rsid w:val="3D7306A2"/>
    <w:rsid w:val="50EC69F5"/>
    <w:rsid w:val="6C456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link w:val="20"/>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30" w:beforeLines="30"/>
    </w:pPr>
    <w:rPr>
      <w:rFonts w:ascii="仿宋_GB2312" w:eastAsia="仿宋_GB2312"/>
      <w:kern w:val="0"/>
      <w:sz w:val="30"/>
    </w:rPr>
  </w:style>
  <w:style w:type="paragraph" w:styleId="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7">
    <w:name w:val="Body Text Indent"/>
    <w:basedOn w:val="1"/>
    <w:next w:val="8"/>
    <w:qFormat/>
    <w:uiPriority w:val="0"/>
    <w:pPr>
      <w:spacing w:after="120"/>
      <w:ind w:left="200" w:leftChars="200"/>
    </w:pPr>
    <w:rPr>
      <w:rFonts w:ascii="仿宋_GB2312" w:hAnsi="仿宋_GB2312"/>
      <w:szCs w:val="32"/>
    </w:rPr>
  </w:style>
  <w:style w:type="paragraph" w:styleId="8">
    <w:name w:val="Body Text First Indent 2"/>
    <w:basedOn w:val="7"/>
    <w:qFormat/>
    <w:uiPriority w:val="0"/>
    <w:pPr>
      <w:ind w:firstLine="200" w:firstLineChars="200"/>
    </w:p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pPr>
      <w:tabs>
        <w:tab w:val="right" w:leader="dot" w:pos="8296"/>
      </w:tabs>
      <w:spacing w:before="93"/>
      <w:jc w:val="center"/>
    </w:pPr>
    <w:rPr>
      <w:rFonts w:ascii="仿宋" w:eastAsia="仿宋"/>
      <w:sz w:val="28"/>
      <w:szCs w:val="28"/>
    </w:rPr>
  </w:style>
  <w:style w:type="paragraph" w:styleId="13">
    <w:name w:val="footnote text"/>
    <w:basedOn w:val="1"/>
    <w:next w:val="8"/>
    <w:qFormat/>
    <w:uiPriority w:val="0"/>
    <w:pPr>
      <w:snapToGrid w:val="0"/>
      <w:jc w:val="left"/>
    </w:pPr>
    <w:rPr>
      <w:sz w:val="18"/>
      <w:szCs w:val="18"/>
    </w:rPr>
  </w:style>
  <w:style w:type="paragraph" w:styleId="14">
    <w:name w:val="toc 2"/>
    <w:basedOn w:val="1"/>
    <w:next w:val="1"/>
    <w:qFormat/>
    <w:uiPriority w:val="0"/>
    <w:pPr>
      <w:tabs>
        <w:tab w:val="right" w:leader="dot" w:pos="8296"/>
      </w:tabs>
      <w:ind w:left="200" w:leftChars="200"/>
    </w:pPr>
  </w:style>
  <w:style w:type="character" w:styleId="17">
    <w:name w:val="Strong"/>
    <w:basedOn w:val="16"/>
    <w:qFormat/>
    <w:uiPriority w:val="0"/>
    <w:rPr>
      <w:b/>
    </w:rPr>
  </w:style>
  <w:style w:type="character" w:styleId="18">
    <w:name w:val="Hyperlink"/>
    <w:basedOn w:val="16"/>
    <w:uiPriority w:val="0"/>
    <w:rPr>
      <w:color w:val="0000FF"/>
      <w:u w:val="single"/>
    </w:rPr>
  </w:style>
  <w:style w:type="character" w:customStyle="1" w:styleId="19">
    <w:name w:val="heading 1 Char"/>
    <w:basedOn w:val="16"/>
    <w:link w:val="4"/>
    <w:uiPriority w:val="0"/>
    <w:rPr>
      <w:rFonts w:ascii="Times New Roman" w:hAnsi="Times New Roman" w:eastAsia="宋体" w:cs="Times New Roman"/>
      <w:b/>
      <w:bCs/>
      <w:kern w:val="44"/>
      <w:sz w:val="44"/>
      <w:szCs w:val="44"/>
      <w:lang w:val="en-US" w:eastAsia="zh-CN" w:bidi="ar-SA"/>
    </w:rPr>
  </w:style>
  <w:style w:type="character" w:customStyle="1" w:styleId="20">
    <w:name w:val="heading 2 Char"/>
    <w:basedOn w:val="16"/>
    <w:link w:val="5"/>
    <w:qFormat/>
    <w:uiPriority w:val="0"/>
    <w:rPr>
      <w:rFonts w:ascii="Cambria" w:hAnsi="Cambria" w:eastAsia="宋体" w:cs="Times New Roman"/>
      <w:b/>
      <w:bCs/>
      <w:kern w:val="2"/>
      <w:sz w:val="32"/>
      <w:szCs w:val="32"/>
      <w:lang w:val="en-US" w:eastAsia="zh-CN" w:bidi="ar-SA"/>
    </w:rPr>
  </w:style>
  <w:style w:type="paragraph" w:customStyle="1" w:styleId="21">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uiPriority w:val="0"/>
    <w:rPr>
      <w:rFonts w:ascii="Times New Roman" w:hAnsi="Times New Roman"/>
      <w:sz w:val="18"/>
      <w:szCs w:val="18"/>
    </w:rPr>
  </w:style>
  <w:style w:type="character" w:customStyle="1" w:styleId="23">
    <w:name w:val="Footer Char"/>
    <w:basedOn w:val="16"/>
    <w:qFormat/>
    <w:uiPriority w:val="0"/>
    <w:rPr>
      <w:rFonts w:ascii="Times New Roman" w:hAnsi="Times New Roman"/>
      <w:sz w:val="18"/>
      <w:szCs w:val="18"/>
    </w:rPr>
  </w:style>
  <w:style w:type="character" w:customStyle="1" w:styleId="24">
    <w:name w:val="Body Text Char"/>
    <w:basedOn w:val="16"/>
    <w:qFormat/>
    <w:uiPriority w:val="0"/>
    <w:rPr>
      <w:rFonts w:ascii="Times New Roman" w:hAnsi="Times New Roman"/>
      <w:szCs w:val="24"/>
    </w:rPr>
  </w:style>
  <w:style w:type="paragraph" w:customStyle="1" w:styleId="2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6">
    <w:name w:val="List Paragraph"/>
    <w:basedOn w:val="1"/>
    <w:qFormat/>
    <w:uiPriority w:val="0"/>
    <w:pPr>
      <w:ind w:firstLine="200" w:firstLineChars="200"/>
    </w:pPr>
  </w:style>
  <w:style w:type="paragraph" w:customStyle="1" w:styleId="27">
    <w:name w:val="TOC 标题1"/>
    <w:basedOn w:val="4"/>
    <w:next w:val="1"/>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TOC 标题2"/>
    <w:basedOn w:val="4"/>
    <w:next w:val="1"/>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9">
    <w:name w:val="四号正文"/>
    <w:basedOn w:val="1"/>
    <w:uiPriority w:val="0"/>
    <w:pPr>
      <w:spacing w:line="360" w:lineRule="auto"/>
    </w:pPr>
    <w:rPr>
      <w:rFonts w:ascii="??" w:hAnsi="??"/>
      <w:color w:val="000000"/>
      <w:kern w:val="0"/>
      <w:sz w:val="28"/>
      <w:szCs w:val="21"/>
      <w:lang w:val="zh-CN"/>
    </w:rPr>
  </w:style>
  <w:style w:type="paragraph" w:customStyle="1" w:styleId="30">
    <w:name w:val="TOC Heading"/>
    <w:basedOn w:val="4"/>
    <w:next w:val="1"/>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57122"/>
          <c:y val="0.025191"/>
          <c:w val="0.79535085"/>
          <c:h val="0.8475696"/>
        </c:manualLayout>
      </c:layout>
      <c:barChart>
        <c:barDir val="col"/>
        <c:grouping val="clustered"/>
        <c:varyColors val="0"/>
        <c:ser>
          <c:idx val="0"/>
          <c:order val="0"/>
          <c:tx>
            <c:strRef>
              <c:f>'Sheet1'!$B$1</c:f>
              <c:strCache>
                <c:ptCount val="1"/>
                <c:pt idx="0">
                  <c:v>收入</c:v>
                </c:pt>
              </c:strCache>
            </c:strRef>
          </c:tx>
          <c:spPr>
            <a:solidFill>
              <a:srgbClr val="4F81BD"/>
            </a:solidFill>
            <a:ln>
              <a:noFill/>
            </a:ln>
          </c:spPr>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233.72万元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406.87万元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2023年</c:v>
                </c:pt>
                <c:pt idx="1">
                  <c:v>2024年</c:v>
                </c:pt>
              </c:strCache>
            </c:strRef>
          </c:cat>
          <c:val>
            <c:numRef>
              <c:f>'Sheet1'!$B$2:$B$4</c:f>
              <c:numCache>
                <c:formatCode>General</c:formatCode>
                <c:ptCount val="3"/>
                <c:pt idx="0">
                  <c:v>233.72</c:v>
                </c:pt>
                <c:pt idx="1">
                  <c:v>406.87</c:v>
                </c:pt>
              </c:numCache>
            </c:numRef>
          </c:val>
        </c:ser>
        <c:ser>
          <c:idx val="1"/>
          <c:order val="1"/>
          <c:tx>
            <c:strRef>
              <c:f>'Sheet1'!$C$1</c:f>
              <c:strCache>
                <c:ptCount val="1"/>
                <c:pt idx="0">
                  <c:v>支出</c:v>
                </c:pt>
              </c:strCache>
            </c:strRef>
          </c:tx>
          <c:spPr>
            <a:solidFill>
              <a:srgbClr val="C0504D"/>
            </a:solidFill>
            <a:ln>
              <a:noFill/>
            </a:ln>
          </c:spPr>
          <c:invertIfNegative val="0"/>
          <c:dLbls>
            <c:dLbl>
              <c:idx val="0"/>
              <c:layout>
                <c:manualLayout>
                  <c:x val="0.0072254334"/>
                  <c:y val="0.14026402"/>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233.72万元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633912"/>
                  <c:y val="0.16089109"/>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406.87万元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2023年</c:v>
                </c:pt>
                <c:pt idx="1">
                  <c:v>2024年</c:v>
                </c:pt>
              </c:strCache>
            </c:strRef>
          </c:cat>
          <c:val>
            <c:numRef>
              <c:f>'Sheet1'!$C$2:$C$4</c:f>
              <c:numCache>
                <c:formatCode>General</c:formatCode>
                <c:ptCount val="3"/>
                <c:pt idx="0">
                  <c:v>233.72</c:v>
                </c:pt>
                <c:pt idx="1">
                  <c:v>406.87</c:v>
                </c:pt>
              </c:numCache>
            </c:numRef>
          </c:val>
        </c:ser>
        <c:dLbls>
          <c:showLegendKey val="0"/>
          <c:showVal val="1"/>
          <c:showCatName val="0"/>
          <c:showSerName val="0"/>
          <c:showPercent val="0"/>
          <c:showBubbleSize val="0"/>
        </c:dLbls>
        <c:gapWidth val="100"/>
        <c:overlap val="-56"/>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gap"/>
    <c:showDLblsOverMax val="0"/>
    <c:extLst>
      <c:ext uri="{0b15fc19-7d7d-44ad-8c2d-2c3a37ce22c3}">
        <chartProps xmlns="https://web.wps.cn/et/2018/main" chartId="{e9c1c1bf-11c2-4b9c-8629-7f2429ddb3b4}"/>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永中宋体"/>
                <a:ea typeface="永中宋体"/>
                <a:cs typeface="Lucida Sans" panose="020B0602030504020204"/>
              </a:defRPr>
            </a:pPr>
            <a:r>
              <a:rPr lang="zh-CN"/>
              <a:t>收入决算情况</a:t>
            </a:r>
            <a:endParaRPr lang="zh-CN"/>
          </a:p>
        </c:rich>
      </c:tx>
      <c:layout/>
      <c:overlay val="0"/>
      <c:spPr>
        <a:ln>
          <a:noFill/>
        </a:ln>
      </c:spPr>
    </c:title>
    <c:autoTitleDeleted val="0"/>
    <c:plotArea>
      <c:layout/>
      <c:pieChart>
        <c:varyColors val="1"/>
        <c:ser>
          <c:idx val="0"/>
          <c:order val="0"/>
          <c:tx>
            <c:strRef>
              <c:f>'Sheet1 (2)'!$B$1</c:f>
              <c:strCache>
                <c:ptCount val="1"/>
                <c:pt idx="0">
                  <c:v>列1</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Pt>
            <c:idx val="7"/>
            <c:bubble3D val="0"/>
            <c:spPr>
              <a:solidFill>
                <a:srgbClr val="DB9A98"/>
              </a:solidFill>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406.87万元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dLbl>
              <c:idx val="5"/>
              <c:delete val="1"/>
            </c:dLbl>
            <c:dLbl>
              <c:idx val="6"/>
              <c:delete val="1"/>
            </c:dLbl>
            <c:dLbl>
              <c:idx val="7"/>
              <c:layout>
                <c:manualLayout>
                  <c:x val="-0.004537615"/>
                  <c:y val="0.28640768"/>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100%</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(2)'!$A$2:$A$9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 (2)'!$B$2:$B$9</c:f>
              <c:numCache>
                <c:formatCode>General</c:formatCode>
                <c:ptCount val="8"/>
                <c:pt idx="0">
                  <c:v>406.87</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gap"/>
    <c:showDLblsOverMax val="0"/>
    <c:extLst>
      <c:ext uri="{0b15fc19-7d7d-44ad-8c2d-2c3a37ce22c3}">
        <chartProps xmlns="https://web.wps.cn/et/2018/main" chartId="{12d6fdce-3f1f-490e-8675-3b66453070c8}"/>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永中宋体"/>
                <a:ea typeface="永中宋体"/>
                <a:cs typeface="Lucida Sans" panose="020B0602030504020204"/>
              </a:defRPr>
            </a:pPr>
            <a:r>
              <a:rPr lang="zh-CN"/>
              <a:t>支出决算情况</a:t>
            </a:r>
            <a:endParaRPr lang="zh-CN"/>
          </a:p>
        </c:rich>
      </c:tx>
      <c:layout/>
      <c:overlay val="0"/>
      <c:spPr>
        <a:ln>
          <a:noFill/>
        </a:ln>
      </c:spPr>
    </c:title>
    <c:autoTitleDeleted val="0"/>
    <c:view3D>
      <c:rotX val="75"/>
      <c:rotY val="0"/>
      <c:depthPercent val="100"/>
      <c:rAngAx val="0"/>
      <c:hPercent val="100"/>
      <c:perspective val="0"/>
    </c:view3D>
    <c:floor>
      <c:thickness val="0"/>
      <c:spPr>
        <a:ln w="6350">
          <a:solidFill>
            <a:srgbClr val="898989"/>
          </a:solidFill>
          <a:prstDash val="solid"/>
        </a:ln>
      </c:spPr>
    </c:floor>
    <c:sideWall>
      <c:thickness val="0"/>
      <c:spPr>
        <a:ln>
          <a:noFill/>
        </a:ln>
      </c:spPr>
    </c:sideWall>
    <c:backWall>
      <c:thickness val="0"/>
      <c:spPr>
        <a:ln>
          <a:noFill/>
        </a:ln>
      </c:spPr>
    </c:backWall>
    <c:plotArea>
      <c:layout/>
      <c:pie3DChart>
        <c:varyColors val="1"/>
        <c:ser>
          <c:idx val="0"/>
          <c:order val="0"/>
          <c:tx>
            <c:strRef>
              <c:f>'Sheet1 (3)'!$B$1</c:f>
              <c:strCache>
                <c:ptCount val="1"/>
                <c:pt idx="0">
                  <c:v>支出决算情况</c:v>
                </c:pt>
              </c:strCache>
            </c:strRef>
          </c:tx>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 (3)'!$A$2:$A$5</c:f>
              <c:strCache>
                <c:ptCount val="4"/>
                <c:pt idx="0">
                  <c:v>基本支出</c:v>
                </c:pt>
                <c:pt idx="1">
                  <c:v>项目支出</c:v>
                </c:pt>
              </c:strCache>
            </c:strRef>
          </c:cat>
          <c:val>
            <c:numRef>
              <c:f>'Sheet1 (3)'!$B$2:$B$5</c:f>
              <c:numCache>
                <c:formatCode>General</c:formatCode>
                <c:ptCount val="4"/>
                <c:pt idx="0">
                  <c:v>198.97</c:v>
                </c:pt>
                <c:pt idx="1">
                  <c:v>207.9</c:v>
                </c:pt>
              </c:numCache>
            </c:numRef>
          </c:val>
        </c:ser>
        <c:dLbls>
          <c:showLegendKey val="0"/>
          <c:showVal val="0"/>
          <c:showCatName val="1"/>
          <c:showSerName val="0"/>
          <c:showPercent val="1"/>
          <c:showBubbleSize val="0"/>
        </c:dLbls>
      </c:pie3DChart>
      <c:spPr>
        <a:noFill/>
      </c:spPr>
    </c:plotArea>
    <c:plotVisOnly val="1"/>
    <c:dispBlanksAs val="gap"/>
    <c:showDLblsOverMax val="0"/>
    <c:extLst>
      <c:ext uri="{0b15fc19-7d7d-44ad-8c2d-2c3a37ce22c3}">
        <chartProps xmlns="https://web.wps.cn/et/2018/main" chartId="{005bc9c1-dfbc-463f-b23a-912a7c601f39}"/>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61071"/>
          <c:y val="0.041702867"/>
          <c:w val="0.69901174"/>
          <c:h val="0.8475696"/>
        </c:manualLayout>
      </c:layout>
      <c:barChart>
        <c:barDir val="col"/>
        <c:grouping val="clustered"/>
        <c:varyColors val="0"/>
        <c:ser>
          <c:idx val="0"/>
          <c:order val="0"/>
          <c:tx>
            <c:strRef>
              <c:f>'Sheet1 (4)'!$B$1</c:f>
              <c:strCache>
                <c:ptCount val="1"/>
                <c:pt idx="0">
                  <c:v>财政拨款收入</c:v>
                </c:pt>
              </c:strCache>
            </c:strRef>
          </c:tx>
          <c:spPr>
            <a:solidFill>
              <a:srgbClr val="4F81BD"/>
            </a:solidFill>
            <a:ln>
              <a:noFill/>
            </a:ln>
          </c:spPr>
          <c:invertIfNegative val="0"/>
          <c:dLbls>
            <c:dLbl>
              <c:idx val="0"/>
              <c:layout>
                <c:manualLayout>
                  <c:x val="0.014450867"/>
                  <c:y val="-0.0041254126"/>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233.72万元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406.87万元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173.15万元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(4)'!$A$2:$A$7</c:f>
              <c:strCache>
                <c:ptCount val="6"/>
                <c:pt idx="0">
                  <c:v>2023年</c:v>
                </c:pt>
                <c:pt idx="1">
                  <c:v>2024年</c:v>
                </c:pt>
                <c:pt idx="2">
                  <c:v>增加额</c:v>
                </c:pt>
              </c:strCache>
            </c:strRef>
          </c:cat>
          <c:val>
            <c:numRef>
              <c:f>'Sheet1 (4)'!$B$2:$B$7</c:f>
              <c:numCache>
                <c:formatCode>General</c:formatCode>
                <c:ptCount val="6"/>
                <c:pt idx="0">
                  <c:v>233.72</c:v>
                </c:pt>
                <c:pt idx="1">
                  <c:v>406.87</c:v>
                </c:pt>
                <c:pt idx="2">
                  <c:v>173.15</c:v>
                </c:pt>
              </c:numCache>
            </c:numRef>
          </c:val>
        </c:ser>
        <c:ser>
          <c:idx val="1"/>
          <c:order val="1"/>
          <c:tx>
            <c:strRef>
              <c:f>'Sheet1 (4)'!$C$1</c:f>
              <c:strCache>
                <c:ptCount val="1"/>
                <c:pt idx="0">
                  <c:v>财政拨款支出</c:v>
                </c:pt>
              </c:strCache>
            </c:strRef>
          </c:tx>
          <c:spPr>
            <a:solidFill>
              <a:srgbClr val="C0504D"/>
            </a:solidFill>
            <a:ln>
              <a:noFill/>
            </a:ln>
          </c:spPr>
          <c:invertIfNegative val="0"/>
          <c:dLbls>
            <c:dLbl>
              <c:idx val="0"/>
              <c:layout>
                <c:manualLayout>
                  <c:x val="0.03612717"/>
                  <c:y val="0.090759076"/>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233.72万元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8901733"/>
                  <c:y val="0.111386135"/>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406.87万元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8901733"/>
                  <c:y val="0.10313531"/>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173.15万元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(4)'!$A$2:$A$7</c:f>
              <c:strCache>
                <c:ptCount val="6"/>
                <c:pt idx="0">
                  <c:v>2023年</c:v>
                </c:pt>
                <c:pt idx="1">
                  <c:v>2024年</c:v>
                </c:pt>
                <c:pt idx="2">
                  <c:v>增加额</c:v>
                </c:pt>
              </c:strCache>
            </c:strRef>
          </c:cat>
          <c:val>
            <c:numRef>
              <c:f>'Sheet1 (4)'!$C$2:$C$7</c:f>
              <c:numCache>
                <c:formatCode>General</c:formatCode>
                <c:ptCount val="6"/>
                <c:pt idx="0">
                  <c:v>233.72</c:v>
                </c:pt>
                <c:pt idx="1">
                  <c:v>406.87</c:v>
                </c:pt>
                <c:pt idx="2">
                  <c:v>173.15</c:v>
                </c:pt>
              </c:numCache>
            </c:numRef>
          </c:val>
        </c:ser>
        <c:dLbls>
          <c:showLegendKey val="0"/>
          <c:showVal val="1"/>
          <c:showCatName val="0"/>
          <c:showSerName val="0"/>
          <c:showPercent val="0"/>
          <c:showBubbleSize val="0"/>
        </c:dLbls>
        <c:gapWidth val="150"/>
        <c:overlap val="-5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0"/>
        <c:crossesAt val="1"/>
        <c:crossBetween val="between"/>
      </c:valAx>
      <c:spPr>
        <a:no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gap"/>
    <c:showDLblsOverMax val="0"/>
    <c:extLst>
      <c:ext uri="{0b15fc19-7d7d-44ad-8c2d-2c3a37ce22c3}">
        <chartProps xmlns="https://web.wps.cn/et/2018/main" chartId="{b51f917c-a922-4a60-bb89-6830f22fc2ad}"/>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78775"/>
          <c:y val="0.041744146"/>
          <c:w val="0.7534305"/>
          <c:h val="0.7938116"/>
        </c:manualLayout>
      </c:layout>
      <c:barChart>
        <c:barDir val="col"/>
        <c:grouping val="clustered"/>
        <c:varyColors val="0"/>
        <c:ser>
          <c:idx val="0"/>
          <c:order val="0"/>
          <c:tx>
            <c:strRef>
              <c:f>'Sheet1 (5)'!$B$1</c:f>
              <c:strCache>
                <c:ptCount val="1"/>
                <c:pt idx="0">
                  <c:v>2023年</c:v>
                </c:pt>
              </c:strCache>
            </c:strRef>
          </c:tx>
          <c:spPr>
            <a:solidFill>
              <a:srgbClr val="4F81BD"/>
            </a:solidFill>
            <a:ln>
              <a:noFill/>
            </a:ln>
          </c:spPr>
          <c:invertIfNegative val="0"/>
          <c:dLbls>
            <c:dLbl>
              <c:idx val="0"/>
              <c:layout>
                <c:manualLayout>
                  <c:x val="0.0216763"/>
                  <c:y val="0.0660066"/>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233.72万元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(5)'!$A$2:$A$5</c:f>
              <c:strCache>
                <c:ptCount val="4"/>
                <c:pt idx="0">
                  <c:v>一般公共预算财政拨款支出</c:v>
                </c:pt>
              </c:strCache>
            </c:strRef>
          </c:cat>
          <c:val>
            <c:numRef>
              <c:f>'Sheet1 (5)'!$B$2:$B$5</c:f>
              <c:numCache>
                <c:formatCode>General</c:formatCode>
                <c:ptCount val="4"/>
                <c:pt idx="0">
                  <c:v>233.72</c:v>
                </c:pt>
              </c:numCache>
            </c:numRef>
          </c:val>
        </c:ser>
        <c:ser>
          <c:idx val="1"/>
          <c:order val="1"/>
          <c:tx>
            <c:strRef>
              <c:f>'Sheet1 (5)'!$C$1</c:f>
              <c:strCache>
                <c:ptCount val="1"/>
                <c:pt idx="0">
                  <c:v>2024年</c:v>
                </c:pt>
              </c:strCache>
            </c:strRef>
          </c:tx>
          <c:spPr>
            <a:solidFill>
              <a:srgbClr val="C0504D"/>
            </a:solidFill>
            <a:ln>
              <a:noFill/>
            </a:ln>
          </c:spPr>
          <c:invertIfNegative val="0"/>
          <c:dLbls>
            <c:dLbl>
              <c:idx val="0"/>
              <c:layout>
                <c:manualLayout>
                  <c:x val="0.028901733"/>
                  <c:y val="0.078382835"/>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406.87万元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(5)'!$A$2:$A$5</c:f>
              <c:strCache>
                <c:ptCount val="4"/>
                <c:pt idx="0">
                  <c:v>一般公共预算财政拨款支出</c:v>
                </c:pt>
              </c:strCache>
            </c:strRef>
          </c:cat>
          <c:val>
            <c:numRef>
              <c:f>'Sheet1 (5)'!$C$2:$C$5</c:f>
              <c:numCache>
                <c:formatCode>General</c:formatCode>
                <c:ptCount val="4"/>
                <c:pt idx="0">
                  <c:v>406.87</c:v>
                </c:pt>
              </c:numCache>
            </c:numRef>
          </c:val>
        </c:ser>
        <c:dLbls>
          <c:showLegendKey val="0"/>
          <c:showVal val="1"/>
          <c:showCatName val="0"/>
          <c:showSerName val="0"/>
          <c:showPercent val="0"/>
          <c:showBubbleSize val="0"/>
        </c:dLbls>
        <c:gapWidth val="110"/>
        <c:overlap val="-5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gap"/>
    <c:showDLblsOverMax val="0"/>
    <c:extLst>
      <c:ext uri="{0b15fc19-7d7d-44ad-8c2d-2c3a37ce22c3}">
        <chartProps xmlns="https://web.wps.cn/et/2018/main" chartId="{5d1ffe99-c788-4d13-a168-5942768d3642}"/>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depthPercent val="100"/>
      <c:rAngAx val="0"/>
      <c:hPercent val="100"/>
      <c:perspective val="0"/>
    </c:view3D>
    <c:floor>
      <c:thickness val="0"/>
      <c:spPr>
        <a:ln w="6350">
          <a:solidFill>
            <a:srgbClr val="898989"/>
          </a:solidFill>
          <a:prstDash val="solid"/>
        </a:ln>
      </c:spPr>
    </c:floor>
    <c:sideWall>
      <c:thickness val="0"/>
      <c:spPr>
        <a:ln>
          <a:noFill/>
        </a:ln>
      </c:spPr>
    </c:sideWall>
    <c:backWall>
      <c:thickness val="0"/>
      <c:spPr>
        <a:ln>
          <a:noFill/>
        </a:ln>
      </c:spPr>
    </c:backWall>
    <c:plotArea>
      <c:layout>
        <c:manualLayout>
          <c:layoutTarget val="inner"/>
          <c:xMode val="edge"/>
          <c:yMode val="edge"/>
          <c:x val="0.093832746"/>
          <c:y val="0.107842974"/>
          <c:w val="0.82205176"/>
          <c:h val="0.78409123"/>
        </c:manualLayout>
      </c:layout>
      <c:pie3DChart>
        <c:varyColors val="1"/>
        <c:ser>
          <c:idx val="0"/>
          <c:order val="0"/>
          <c:tx>
            <c:strRef>
              <c:f>'Sheet1 (6)'!$B$1</c:f>
              <c:strCache>
                <c:ptCount val="1"/>
                <c:pt idx="0">
                  <c:v>一般公共预算财政拨款支出结构</c:v>
                </c:pt>
              </c:strCache>
            </c:strRef>
          </c:tx>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dLbl>
              <c:idx val="0"/>
              <c:layout>
                <c:manualLayout>
                  <c:x val="0.037491117"/>
                  <c:y val="0.10708694"/>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社会保障和就业支出, 23.74万元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自然资源海洋气象等支出, 356.55万元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0.011711627"/>
                  <c:y val="0.18258996"/>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住房保障支出, 14.94万元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r>
                      <a:rPr lang="zh-CN" sz="1000" b="0" i="0" u="none" strike="noStrike" baseline="0">
                        <a:solidFill>
                          <a:srgbClr val="000000"/>
                        </a:solidFill>
                        <a:latin typeface="永中宋体"/>
                        <a:ea typeface="永中宋体"/>
                        <a:cs typeface="Lucida Sans" panose="020B0602030504020204"/>
                      </a:rPr>
                      <a:t>卫生健康支出, 11.94万元</a:t>
                    </a:r>
                    <a:endParaRPr lang="zh-CN" sz="1000" b="0" i="0" u="none" strike="noStrike" baseline="0">
                      <a:solidFill>
                        <a:srgbClr val="000000"/>
                      </a:solidFill>
                      <a:latin typeface="永中宋体"/>
                      <a:ea typeface="永中宋体"/>
                      <a:cs typeface="Lucida Sans" panose="020B0602030504020204"/>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1"/>
              <c:showCatName val="1"/>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'Sheet1 (6)'!$A$2:$A$5</c:f>
              <c:strCache>
                <c:ptCount val="4"/>
                <c:pt idx="0">
                  <c:v>社会保障和就业支出</c:v>
                </c:pt>
                <c:pt idx="1">
                  <c:v>自然资源海洋气象等支出</c:v>
                </c:pt>
                <c:pt idx="2">
                  <c:v>住房保障支出</c:v>
                </c:pt>
                <c:pt idx="3">
                  <c:v>卫生健康支出</c:v>
                </c:pt>
              </c:strCache>
            </c:strRef>
          </c:cat>
          <c:val>
            <c:numRef>
              <c:f>'Sheet1 (6)'!$B$2:$B$5</c:f>
              <c:numCache>
                <c:formatCode>General</c:formatCode>
                <c:ptCount val="4"/>
                <c:pt idx="0">
                  <c:v>23.64</c:v>
                </c:pt>
                <c:pt idx="1">
                  <c:v>356.55</c:v>
                </c:pt>
                <c:pt idx="2">
                  <c:v>14.74</c:v>
                </c:pt>
                <c:pt idx="3">
                  <c:v>11.94</c:v>
                </c:pt>
              </c:numCache>
            </c:numRef>
          </c:val>
        </c:ser>
        <c:dLbls>
          <c:showLegendKey val="0"/>
          <c:showVal val="1"/>
          <c:showCatName val="1"/>
          <c:showSerName val="0"/>
          <c:showPercent val="0"/>
          <c:showBubbleSize val="0"/>
        </c:dLbls>
      </c:pie3DChart>
      <c:spPr>
        <a:noFill/>
      </c:spPr>
    </c:plotArea>
    <c:plotVisOnly val="1"/>
    <c:dispBlanksAs val="gap"/>
    <c:showDLblsOverMax val="0"/>
    <c:extLst>
      <c:ext uri="{0b15fc19-7d7d-44ad-8c2d-2c3a37ce22c3}">
        <chartProps xmlns="https://web.wps.cn/et/2018/main" chartId="{f52ef201-0f89-493e-b758-ad8566dba46e}"/>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(7)'!$B$1</c:f>
              <c:strCache>
                <c:ptCount val="1"/>
                <c:pt idx="0">
                  <c:v>列1</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Lbls>
            <c:dLbl>
              <c:idx val="0"/>
              <c:delete val="1"/>
            </c:dLbl>
            <c:dLbl>
              <c:idx val="1"/>
              <c:delete val="1"/>
            </c:dLbl>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永中宋体"/>
                    <a:ea typeface="永中宋体"/>
                    <a:cs typeface="Lucida Sans" panose="020B0602030504020204"/>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 (7)'!$A$2:$A$4</c:f>
              <c:strCache>
                <c:ptCount val="3"/>
                <c:pt idx="0">
                  <c:v>因公出国（境）经费支出</c:v>
                </c:pt>
                <c:pt idx="1">
                  <c:v>公务用车购置及运行维护费支出</c:v>
                </c:pt>
                <c:pt idx="2">
                  <c:v>公务接待支出</c:v>
                </c:pt>
              </c:strCache>
            </c:strRef>
          </c:cat>
          <c:val>
            <c:numRef>
              <c:f>'Sheet1 (7)'!$B$2:$B$4</c:f>
              <c:numCache>
                <c:formatCode>General</c:formatCode>
                <c:ptCount val="3"/>
                <c:pt idx="0">
                  <c:v>0</c:v>
                </c:pt>
                <c:pt idx="1">
                  <c:v>0</c:v>
                </c:pt>
                <c:pt idx="2">
                  <c:v>0.25</c:v>
                </c:pt>
              </c:numCache>
            </c:numRef>
          </c:val>
        </c:ser>
        <c:dLbls>
          <c:showLegendKey val="0"/>
          <c:showVal val="0"/>
          <c:showCatName val="0"/>
          <c:showSerName val="0"/>
          <c:showPercent val="1"/>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永中宋体"/>
              <a:ea typeface="永中宋体"/>
              <a:cs typeface="Lucida Sans" panose="020B0602030504020204"/>
            </a:defRPr>
          </a:pPr>
        </a:p>
      </c:txPr>
    </c:legend>
    <c:plotVisOnly val="1"/>
    <c:dispBlanksAs val="gap"/>
    <c:showDLblsOverMax val="0"/>
    <c:extLst>
      <c:ext uri="{0b15fc19-7d7d-44ad-8c2d-2c3a37ce22c3}">
        <chartProps xmlns="https://web.wps.cn/et/2018/main" chartId="{b6b5729e-9717-4053-a420-bf572fd16bc6}"/>
      </c:ext>
    </c:extLst>
  </c:chart>
  <c:txPr>
    <a:bodyPr/>
    <a:lstStyle/>
    <a:p>
      <a:pPr>
        <a:defRPr lang="zh-CN" sz="1000" b="0" i="0" u="none" strike="noStrike" baseline="0">
          <a:solidFill>
            <a:srgbClr val="000000"/>
          </a:solidFill>
          <a:latin typeface="永中宋体"/>
          <a:ea typeface="永中宋体"/>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四川省财政厅</Company>
  <Pages>19</Pages>
  <Words>4741</Words>
  <Characters>5162</Characters>
  <Lines>370</Lines>
  <Paragraphs>130</Paragraphs>
  <TotalTime>0</TotalTime>
  <ScaleCrop>false</ScaleCrop>
  <LinksUpToDate>false</LinksUpToDate>
  <CharactersWithSpaces>5349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leelyeel</cp:lastModifiedBy>
  <cp:lastPrinted>2025-08-06T17:34:00Z</cp:lastPrinted>
  <dcterms:modified xsi:type="dcterms:W3CDTF">2025-09-12T00:24:18Z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eyJoZGlkIjoiYjIzN2QyMWFmODZmNTg4YTI0NmUxYTE4YzFiMTY0NGUiLCJ1c2VySWQiOiI4NzkyNzA0NjIifQ==</vt:lpwstr>
  </property>
</Properties>
</file>