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8C80">
      <w:pPr>
        <w:rPr>
          <w:rFonts w:ascii="Times New Roman" w:hAnsi="Times New Roman"/>
        </w:rPr>
      </w:pPr>
      <w:bookmarkStart w:id="0" w:name="_Toc15396475"/>
      <w:bookmarkStart w:id="1" w:name="_Toc15377425"/>
      <w:bookmarkStart w:id="2" w:name="_Toc15378441"/>
      <w:bookmarkStart w:id="3" w:name="_Toc15396597"/>
      <w:bookmarkStart w:id="4" w:name="_Toc15377193"/>
      <w:bookmarkStart w:id="5" w:name="_Toc15306267"/>
    </w:p>
    <w:p w14:paraId="3EF4A46D">
      <w:pPr>
        <w:pStyle w:val="2"/>
        <w:spacing w:before="93"/>
        <w:rPr>
          <w:rFonts w:ascii="Times New Roman" w:eastAsia="方正小标宋简体"/>
          <w:kern w:val="2"/>
          <w:sz w:val="72"/>
          <w:szCs w:val="72"/>
        </w:rPr>
      </w:pPr>
    </w:p>
    <w:p w14:paraId="37ECF89B">
      <w:pPr>
        <w:pStyle w:val="2"/>
        <w:spacing w:before="93"/>
        <w:rPr>
          <w:rFonts w:ascii="Times New Roman" w:eastAsia="方正小标宋简体"/>
          <w:kern w:val="2"/>
          <w:sz w:val="72"/>
          <w:szCs w:val="72"/>
        </w:rPr>
      </w:pPr>
    </w:p>
    <w:p w14:paraId="262A5C95">
      <w:pPr>
        <w:pStyle w:val="2"/>
        <w:spacing w:before="93"/>
        <w:rPr>
          <w:rFonts w:ascii="Times New Roman" w:eastAsia="方正小标宋简体"/>
          <w:kern w:val="2"/>
          <w:sz w:val="72"/>
          <w:szCs w:val="72"/>
        </w:rPr>
      </w:pPr>
    </w:p>
    <w:p w14:paraId="2BBAA44A">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eastAsia" w:ascii="Times New Roman" w:eastAsia="方正小标宋简体"/>
          <w:kern w:val="2"/>
          <w:sz w:val="44"/>
          <w:szCs w:val="44"/>
          <w:lang w:val="en-US" w:eastAsia="zh-CN"/>
        </w:rPr>
        <w:t>四川省攀枝花市自然资源和规划局西区分局</w:t>
      </w:r>
    </w:p>
    <w:p w14:paraId="5C2B54F1">
      <w:pPr>
        <w:pStyle w:val="2"/>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单位决算公开文字说明</w:t>
      </w:r>
    </w:p>
    <w:p w14:paraId="3E2F973E">
      <w:pPr>
        <w:pStyle w:val="2"/>
        <w:rPr>
          <w:rFonts w:ascii="Times New Roman" w:hAnsi="Times New Roman"/>
        </w:rPr>
      </w:pPr>
    </w:p>
    <w:p w14:paraId="19ACC37B">
      <w:pPr>
        <w:pStyle w:val="2"/>
        <w:rPr>
          <w:rFonts w:ascii="Times New Roman" w:hAnsi="Times New Roman"/>
        </w:rPr>
      </w:pPr>
    </w:p>
    <w:p w14:paraId="26FCE50E">
      <w:pPr>
        <w:pStyle w:val="2"/>
        <w:rPr>
          <w:rFonts w:ascii="Times New Roman" w:hAnsi="Times New Roman"/>
        </w:rPr>
      </w:pPr>
    </w:p>
    <w:p w14:paraId="45FA3E0B">
      <w:pPr>
        <w:pStyle w:val="2"/>
        <w:rPr>
          <w:rFonts w:ascii="Times New Roman" w:hAnsi="Times New Roman"/>
        </w:rPr>
      </w:pPr>
    </w:p>
    <w:p w14:paraId="5FE44AD4">
      <w:pPr>
        <w:pStyle w:val="2"/>
        <w:rPr>
          <w:rFonts w:ascii="Times New Roman" w:hAnsi="Times New Roman"/>
        </w:rPr>
      </w:pPr>
    </w:p>
    <w:p w14:paraId="7AF4AC0C">
      <w:pPr>
        <w:pStyle w:val="2"/>
        <w:rPr>
          <w:rFonts w:ascii="Times New Roman" w:hAnsi="Times New Roman"/>
        </w:rPr>
      </w:pPr>
    </w:p>
    <w:p w14:paraId="4730FCA1">
      <w:pPr>
        <w:pStyle w:val="2"/>
        <w:rPr>
          <w:rFonts w:ascii="Times New Roman" w:hAnsi="Times New Roman"/>
        </w:rPr>
      </w:pPr>
    </w:p>
    <w:p w14:paraId="542C2268">
      <w:pPr>
        <w:pStyle w:val="2"/>
        <w:rPr>
          <w:rFonts w:ascii="Times New Roman" w:hAnsi="Times New Roman"/>
        </w:rPr>
      </w:pPr>
    </w:p>
    <w:p w14:paraId="754C7E65">
      <w:pPr>
        <w:pStyle w:val="2"/>
        <w:rPr>
          <w:rFonts w:ascii="Times New Roman" w:hAnsi="Times New Roman"/>
        </w:rPr>
      </w:pPr>
    </w:p>
    <w:p w14:paraId="1589D238">
      <w:pPr>
        <w:pStyle w:val="2"/>
        <w:rPr>
          <w:rFonts w:ascii="Times New Roman" w:hAnsi="Times New Roman"/>
        </w:rPr>
      </w:pPr>
    </w:p>
    <w:p w14:paraId="167F201C">
      <w:pPr>
        <w:pStyle w:val="2"/>
        <w:rPr>
          <w:rFonts w:ascii="Times New Roman" w:hAnsi="Times New Roman"/>
        </w:rPr>
      </w:pPr>
    </w:p>
    <w:p w14:paraId="3AD095FE">
      <w:pPr>
        <w:pStyle w:val="2"/>
        <w:rPr>
          <w:rFonts w:ascii="Times New Roman" w:hAnsi="Times New Roman"/>
        </w:rPr>
      </w:pPr>
    </w:p>
    <w:p w14:paraId="6A5A089E">
      <w:pPr>
        <w:pStyle w:val="2"/>
        <w:rPr>
          <w:rFonts w:ascii="Times New Roman" w:hAnsi="Times New Roman"/>
        </w:rPr>
      </w:pPr>
    </w:p>
    <w:p w14:paraId="1AA2D364">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7B70C453">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4943582C">
      <w:pPr>
        <w:pStyle w:val="2"/>
        <w:spacing w:before="93"/>
        <w:jc w:val="center"/>
        <w:rPr>
          <w:rFonts w:hint="eastAsia" w:ascii="Times New Roman" w:eastAsia="方正小标宋简体"/>
          <w:kern w:val="2"/>
          <w:sz w:val="44"/>
          <w:szCs w:val="44"/>
          <w:lang w:val="en-US" w:eastAsia="zh-CN"/>
        </w:rPr>
      </w:pPr>
      <w:bookmarkStart w:id="6" w:name="_Toc15396476"/>
      <w:bookmarkStart w:id="7" w:name="_Toc15377426"/>
      <w:bookmarkStart w:id="8" w:name="_Toc15377194"/>
      <w:bookmarkStart w:id="9" w:name="_Toc15396598"/>
      <w:bookmarkStart w:id="10" w:name="_Toc15378442"/>
      <w:r>
        <w:rPr>
          <w:rFonts w:hint="eastAsia" w:ascii="Times New Roman" w:eastAsia="方正小标宋简体"/>
          <w:kern w:val="2"/>
          <w:sz w:val="44"/>
          <w:szCs w:val="44"/>
          <w:lang w:val="en-US" w:eastAsia="zh-CN"/>
        </w:rPr>
        <w:t>2024年度四川省</w:t>
      </w:r>
      <w:bookmarkEnd w:id="5"/>
      <w:bookmarkStart w:id="11" w:name="_Toc15306268"/>
      <w:bookmarkStart w:id="12" w:name="_Toc16778"/>
      <w:r>
        <w:rPr>
          <w:rFonts w:hint="eastAsia" w:ascii="Times New Roman" w:eastAsia="方正小标宋简体"/>
          <w:kern w:val="2"/>
          <w:sz w:val="44"/>
          <w:szCs w:val="44"/>
          <w:lang w:val="en-US" w:eastAsia="zh-CN"/>
        </w:rPr>
        <w:t>攀枝花市自然资源和规划局西区分局单位决算</w:t>
      </w:r>
      <w:bookmarkEnd w:id="6"/>
      <w:bookmarkEnd w:id="7"/>
      <w:bookmarkEnd w:id="8"/>
      <w:bookmarkEnd w:id="9"/>
      <w:bookmarkEnd w:id="10"/>
      <w:bookmarkEnd w:id="11"/>
      <w:bookmarkEnd w:id="12"/>
    </w:p>
    <w:p w14:paraId="00F60685">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bookmarkStart w:id="13" w:name="_Toc15377196"/>
      <w:bookmarkStart w:id="14" w:name="_Toc15396599"/>
      <w:r>
        <w:rPr>
          <w:rFonts w:hint="eastAsia" w:ascii="Times New Roman" w:hAnsi="Times New Roman" w:eastAsia="黑体"/>
          <w:color w:val="auto"/>
          <w:sz w:val="48"/>
          <w:szCs w:val="48"/>
          <w:highlight w:val="none"/>
        </w:rPr>
        <w:t>目录</w:t>
      </w:r>
    </w:p>
    <w:p w14:paraId="026C7970">
      <w:pPr>
        <w:widowControl/>
        <w:jc w:val="center"/>
        <w:rPr>
          <w:rFonts w:ascii="Times New Roman" w:hAnsi="Times New Roman" w:eastAsia="黑体" w:cstheme="minorBidi"/>
          <w:color w:val="auto"/>
          <w:sz w:val="28"/>
          <w:szCs w:val="28"/>
          <w:highlight w:val="none"/>
        </w:rPr>
      </w:pPr>
    </w:p>
    <w:p w14:paraId="518CF481">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日</w:t>
      </w:r>
    </w:p>
    <w:p w14:paraId="7F32DA35">
      <w:pPr>
        <w:rPr>
          <w:rFonts w:ascii="Times New Roman" w:hAnsi="Times New Roman"/>
          <w:color w:val="auto"/>
          <w:highlight w:val="none"/>
        </w:rPr>
      </w:pPr>
    </w:p>
    <w:p w14:paraId="27D82D79">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default" w:ascii="Times New Roman" w:hAnsi="Times New Roman" w:cs="Times New Roman"/>
          <w:sz w:val="24"/>
        </w:rPr>
        <w:tab/>
      </w:r>
      <w:r>
        <w:rPr>
          <w:rFonts w:hint="eastAsia" w:ascii="Times New Roman" w:hAnsi="Times New Roman" w:cs="Times New Roman"/>
          <w:sz w:val="24"/>
          <w:lang w:val="en-US" w:eastAsia="zh-CN"/>
        </w:rPr>
        <w:t>1</w:t>
      </w:r>
    </w:p>
    <w:p w14:paraId="4FDA340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default" w:ascii="Times New Roman" w:hAnsi="Times New Roman" w:cs="Times New Roman"/>
          <w:sz w:val="24"/>
        </w:rPr>
        <w:tab/>
      </w:r>
      <w:r>
        <w:rPr>
          <w:rFonts w:hint="eastAsia" w:cs="Times New Roman"/>
          <w:sz w:val="24"/>
          <w:lang w:val="en-US" w:eastAsia="zh-CN"/>
        </w:rPr>
        <w:t>1</w:t>
      </w:r>
    </w:p>
    <w:p w14:paraId="2CD0C17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default" w:ascii="Times New Roman" w:hAnsi="Times New Roman" w:cs="Times New Roman"/>
          <w:sz w:val="24"/>
        </w:rPr>
        <w:tab/>
      </w:r>
      <w:r>
        <w:rPr>
          <w:rFonts w:hint="eastAsia" w:cs="Times New Roman"/>
          <w:sz w:val="24"/>
          <w:lang w:val="en-US" w:eastAsia="zh-CN"/>
        </w:rPr>
        <w:t>1</w:t>
      </w:r>
    </w:p>
    <w:p w14:paraId="38989A5A">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2</w:t>
      </w:r>
    </w:p>
    <w:p w14:paraId="0AEFBA1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default" w:ascii="Times New Roman" w:hAnsi="Times New Roman" w:cs="Times New Roman"/>
          <w:sz w:val="24"/>
        </w:rPr>
        <w:tab/>
      </w:r>
      <w:r>
        <w:rPr>
          <w:rFonts w:hint="eastAsia" w:cs="Times New Roman"/>
          <w:sz w:val="24"/>
          <w:lang w:val="en-US" w:eastAsia="zh-CN"/>
        </w:rPr>
        <w:t>2</w:t>
      </w:r>
    </w:p>
    <w:p w14:paraId="45B55E6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default" w:ascii="Times New Roman" w:hAnsi="Times New Roman" w:cs="Times New Roman"/>
          <w:sz w:val="24"/>
        </w:rPr>
        <w:tab/>
      </w:r>
      <w:r>
        <w:rPr>
          <w:rFonts w:hint="eastAsia" w:cs="Times New Roman"/>
          <w:sz w:val="24"/>
          <w:lang w:val="en-US" w:eastAsia="zh-CN"/>
        </w:rPr>
        <w:t>2</w:t>
      </w:r>
    </w:p>
    <w:p w14:paraId="4CE5BB0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default" w:ascii="Times New Roman" w:hAnsi="Times New Roman" w:cs="Times New Roman"/>
          <w:sz w:val="24"/>
        </w:rPr>
        <w:tab/>
      </w:r>
      <w:r>
        <w:rPr>
          <w:rFonts w:hint="eastAsia" w:cs="Times New Roman"/>
          <w:sz w:val="24"/>
          <w:lang w:val="en-US" w:eastAsia="zh-CN"/>
        </w:rPr>
        <w:t>3</w:t>
      </w:r>
    </w:p>
    <w:p w14:paraId="5500885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w:t>
      </w:r>
      <w:r>
        <w:rPr>
          <w:rFonts w:hint="default" w:ascii="Times New Roman" w:hAnsi="Times New Roman" w:cs="Times New Roman"/>
          <w:sz w:val="24"/>
        </w:rPr>
        <w:tab/>
      </w:r>
      <w:r>
        <w:rPr>
          <w:rFonts w:hint="eastAsia" w:cs="Times New Roman"/>
          <w:sz w:val="24"/>
          <w:lang w:val="en-US" w:eastAsia="zh-CN"/>
        </w:rPr>
        <w:t>4</w:t>
      </w:r>
    </w:p>
    <w:p w14:paraId="524CB29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default" w:ascii="Times New Roman" w:hAnsi="Times New Roman" w:cs="Times New Roman"/>
          <w:sz w:val="24"/>
        </w:rPr>
        <w:tab/>
      </w:r>
      <w:r>
        <w:rPr>
          <w:rFonts w:hint="eastAsia" w:cs="Times New Roman"/>
          <w:sz w:val="24"/>
          <w:lang w:val="en-US" w:eastAsia="zh-CN"/>
        </w:rPr>
        <w:t>4</w:t>
      </w:r>
    </w:p>
    <w:p w14:paraId="3BFE83C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default" w:ascii="Times New Roman" w:hAnsi="Times New Roman" w:cs="Times New Roman"/>
          <w:sz w:val="24"/>
        </w:rPr>
        <w:tab/>
      </w:r>
      <w:r>
        <w:rPr>
          <w:rFonts w:hint="eastAsia" w:cs="Times New Roman"/>
          <w:sz w:val="24"/>
          <w:lang w:val="en-US" w:eastAsia="zh-CN"/>
        </w:rPr>
        <w:t>7</w:t>
      </w:r>
    </w:p>
    <w:p w14:paraId="41AB398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default" w:ascii="Times New Roman" w:hAnsi="Times New Roman" w:cs="Times New Roman"/>
          <w:sz w:val="24"/>
        </w:rPr>
        <w:tab/>
      </w:r>
      <w:r>
        <w:rPr>
          <w:rFonts w:hint="eastAsia" w:cs="Times New Roman"/>
          <w:sz w:val="24"/>
          <w:lang w:val="en-US" w:eastAsia="zh-CN"/>
        </w:rPr>
        <w:t>8</w:t>
      </w:r>
    </w:p>
    <w:p w14:paraId="577FF6B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default" w:ascii="Times New Roman" w:hAnsi="Times New Roman" w:cs="Times New Roman"/>
          <w:sz w:val="24"/>
        </w:rPr>
        <w:tab/>
      </w:r>
      <w:r>
        <w:rPr>
          <w:rFonts w:hint="eastAsia" w:cs="Times New Roman"/>
          <w:sz w:val="24"/>
          <w:lang w:val="en-US" w:eastAsia="zh-CN"/>
        </w:rPr>
        <w:t>10</w:t>
      </w:r>
    </w:p>
    <w:p w14:paraId="57DDFF1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default" w:ascii="Times New Roman" w:hAnsi="Times New Roman" w:cs="Times New Roman"/>
          <w:sz w:val="24"/>
        </w:rPr>
        <w:tab/>
      </w:r>
      <w:r>
        <w:rPr>
          <w:rFonts w:hint="eastAsia" w:cs="Times New Roman"/>
          <w:sz w:val="24"/>
          <w:lang w:val="en-US" w:eastAsia="zh-CN"/>
        </w:rPr>
        <w:t>10</w:t>
      </w:r>
    </w:p>
    <w:p w14:paraId="5B33F5C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default" w:ascii="Times New Roman" w:hAnsi="Times New Roman" w:cs="Times New Roman"/>
          <w:sz w:val="24"/>
        </w:rPr>
        <w:tab/>
      </w:r>
      <w:r>
        <w:rPr>
          <w:rFonts w:hint="eastAsia" w:cs="Times New Roman"/>
          <w:sz w:val="24"/>
          <w:lang w:val="en-US" w:eastAsia="zh-CN"/>
        </w:rPr>
        <w:t>10</w:t>
      </w:r>
    </w:p>
    <w:p w14:paraId="6377DE06">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default" w:ascii="Times New Roman" w:hAnsi="Times New Roman" w:cs="Times New Roman"/>
          <w:sz w:val="24"/>
        </w:rPr>
        <w:tab/>
      </w:r>
      <w:r>
        <w:rPr>
          <w:rFonts w:hint="eastAsia" w:ascii="Times New Roman" w:hAnsi="Times New Roman" w:cs="Times New Roman"/>
          <w:sz w:val="24"/>
          <w:lang w:val="en-US" w:eastAsia="zh-CN"/>
        </w:rPr>
        <w:t>13</w:t>
      </w:r>
    </w:p>
    <w:p w14:paraId="7FA3BCC0">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default" w:ascii="Times New Roman" w:hAnsi="Times New Roman" w:cs="Times New Roman"/>
          <w:sz w:val="24"/>
        </w:rPr>
        <w:tab/>
      </w:r>
      <w:r>
        <w:rPr>
          <w:rFonts w:hint="eastAsia" w:ascii="Times New Roman" w:hAnsi="Times New Roman" w:cs="Times New Roman"/>
          <w:sz w:val="24"/>
          <w:lang w:val="en-US" w:eastAsia="zh-CN"/>
        </w:rPr>
        <w:t>16</w:t>
      </w:r>
    </w:p>
    <w:p w14:paraId="1201F8FC">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default" w:ascii="Times New Roman" w:hAnsi="Times New Roman" w:cs="Times New Roman"/>
          <w:sz w:val="24"/>
        </w:rPr>
        <w:tab/>
      </w:r>
      <w:r>
        <w:rPr>
          <w:rFonts w:hint="eastAsia" w:ascii="Times New Roman" w:hAnsi="Times New Roman" w:cs="Times New Roman"/>
          <w:sz w:val="24"/>
          <w:lang w:val="en-US" w:eastAsia="zh-CN"/>
        </w:rPr>
        <w:t>17</w:t>
      </w:r>
    </w:p>
    <w:p w14:paraId="7BE9C50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default" w:ascii="Times New Roman" w:hAnsi="Times New Roman" w:cs="Times New Roman"/>
          <w:sz w:val="24"/>
        </w:rPr>
        <w:tab/>
      </w:r>
      <w:r>
        <w:rPr>
          <w:rFonts w:hint="eastAsia" w:cs="Times New Roman"/>
          <w:sz w:val="24"/>
          <w:lang w:val="en-US" w:eastAsia="zh-CN"/>
        </w:rPr>
        <w:t>17</w:t>
      </w:r>
    </w:p>
    <w:p w14:paraId="67EDA68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default" w:ascii="Times New Roman" w:hAnsi="Times New Roman" w:cs="Times New Roman"/>
          <w:sz w:val="24"/>
        </w:rPr>
        <w:tab/>
      </w:r>
      <w:r>
        <w:rPr>
          <w:rFonts w:hint="eastAsia" w:cs="Times New Roman"/>
          <w:sz w:val="24"/>
          <w:lang w:val="en-US" w:eastAsia="zh-CN"/>
        </w:rPr>
        <w:t>17</w:t>
      </w:r>
    </w:p>
    <w:p w14:paraId="538116D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default" w:ascii="Times New Roman" w:hAnsi="Times New Roman" w:cs="Times New Roman"/>
          <w:sz w:val="24"/>
        </w:rPr>
        <w:tab/>
      </w:r>
      <w:r>
        <w:rPr>
          <w:rFonts w:hint="eastAsia" w:cs="Times New Roman"/>
          <w:sz w:val="24"/>
          <w:lang w:val="en-US" w:eastAsia="zh-CN"/>
        </w:rPr>
        <w:t>17</w:t>
      </w:r>
    </w:p>
    <w:p w14:paraId="138959C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2CAB4C5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default" w:ascii="Times New Roman" w:hAnsi="Times New Roman" w:cs="Times New Roman"/>
          <w:sz w:val="24"/>
        </w:rPr>
        <w:tab/>
      </w:r>
      <w:r>
        <w:rPr>
          <w:rFonts w:hint="eastAsia" w:cs="Times New Roman"/>
          <w:sz w:val="24"/>
          <w:lang w:val="en-US" w:eastAsia="zh-CN"/>
        </w:rPr>
        <w:t>17</w:t>
      </w:r>
    </w:p>
    <w:p w14:paraId="2076CA2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default" w:ascii="Times New Roman" w:hAnsi="Times New Roman" w:cs="Times New Roman"/>
          <w:sz w:val="24"/>
        </w:rPr>
        <w:tab/>
      </w:r>
      <w:r>
        <w:rPr>
          <w:rFonts w:hint="eastAsia" w:cs="Times New Roman"/>
          <w:sz w:val="24"/>
          <w:lang w:val="en-US" w:eastAsia="zh-CN"/>
        </w:rPr>
        <w:t>17</w:t>
      </w:r>
    </w:p>
    <w:p w14:paraId="06577BD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default" w:ascii="Times New Roman" w:hAnsi="Times New Roman" w:cs="Times New Roman"/>
          <w:sz w:val="24"/>
        </w:rPr>
        <w:tab/>
      </w:r>
      <w:r>
        <w:rPr>
          <w:rFonts w:hint="eastAsia" w:cs="Times New Roman"/>
          <w:sz w:val="24"/>
          <w:lang w:val="en-US" w:eastAsia="zh-CN"/>
        </w:rPr>
        <w:t>17</w:t>
      </w:r>
    </w:p>
    <w:p w14:paraId="22F2FFB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default" w:ascii="Times New Roman" w:hAnsi="Times New Roman" w:cs="Times New Roman"/>
          <w:sz w:val="24"/>
        </w:rPr>
        <w:tab/>
      </w:r>
      <w:r>
        <w:rPr>
          <w:rFonts w:hint="eastAsia" w:cs="Times New Roman"/>
          <w:sz w:val="24"/>
          <w:lang w:val="en-US" w:eastAsia="zh-CN"/>
        </w:rPr>
        <w:t>17</w:t>
      </w:r>
    </w:p>
    <w:p w14:paraId="3A7992E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default" w:ascii="Times New Roman" w:hAnsi="Times New Roman" w:cs="Times New Roman"/>
          <w:sz w:val="24"/>
        </w:rPr>
        <w:tab/>
      </w:r>
      <w:r>
        <w:rPr>
          <w:rFonts w:hint="eastAsia" w:cs="Times New Roman"/>
          <w:sz w:val="24"/>
          <w:lang w:val="en-US" w:eastAsia="zh-CN"/>
        </w:rPr>
        <w:t>17</w:t>
      </w:r>
    </w:p>
    <w:p w14:paraId="7AAB5C9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default" w:ascii="Times New Roman" w:hAnsi="Times New Roman" w:cs="Times New Roman"/>
          <w:sz w:val="24"/>
        </w:rPr>
        <w:tab/>
      </w:r>
      <w:r>
        <w:rPr>
          <w:rFonts w:hint="eastAsia" w:cs="Times New Roman"/>
          <w:sz w:val="24"/>
          <w:lang w:val="en-US" w:eastAsia="zh-CN"/>
        </w:rPr>
        <w:t>17</w:t>
      </w:r>
    </w:p>
    <w:p w14:paraId="75114D5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default" w:ascii="Times New Roman" w:hAnsi="Times New Roman" w:cs="Times New Roman"/>
          <w:sz w:val="24"/>
        </w:rPr>
        <w:tab/>
      </w:r>
      <w:r>
        <w:rPr>
          <w:rFonts w:hint="eastAsia" w:cs="Times New Roman"/>
          <w:sz w:val="24"/>
          <w:lang w:val="en-US" w:eastAsia="zh-CN"/>
        </w:rPr>
        <w:t>17</w:t>
      </w:r>
    </w:p>
    <w:p w14:paraId="0DEFE0E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default" w:ascii="Times New Roman" w:hAnsi="Times New Roman" w:cs="Times New Roman"/>
          <w:sz w:val="24"/>
        </w:rPr>
        <w:tab/>
      </w:r>
      <w:r>
        <w:rPr>
          <w:rFonts w:hint="eastAsia" w:cs="Times New Roman"/>
          <w:sz w:val="24"/>
          <w:lang w:val="en-US" w:eastAsia="zh-CN"/>
        </w:rPr>
        <w:t>17</w:t>
      </w:r>
    </w:p>
    <w:p w14:paraId="758C186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default" w:ascii="Times New Roman" w:hAnsi="Times New Roman" w:cs="Times New Roman"/>
          <w:sz w:val="24"/>
        </w:rPr>
        <w:tab/>
      </w:r>
      <w:r>
        <w:rPr>
          <w:rFonts w:hint="eastAsia" w:cs="Times New Roman"/>
          <w:sz w:val="24"/>
          <w:lang w:val="en-US" w:eastAsia="zh-CN"/>
        </w:rPr>
        <w:t>17</w:t>
      </w:r>
    </w:p>
    <w:p w14:paraId="513C8E2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default" w:ascii="Times New Roman" w:hAnsi="Times New Roman" w:cs="Times New Roman"/>
          <w:sz w:val="24"/>
        </w:rPr>
        <w:tab/>
      </w:r>
      <w:r>
        <w:rPr>
          <w:rFonts w:hint="eastAsia" w:cs="Times New Roman"/>
          <w:sz w:val="24"/>
          <w:lang w:val="en-US" w:eastAsia="zh-CN"/>
        </w:rPr>
        <w:t>17</w:t>
      </w:r>
    </w:p>
    <w:p w14:paraId="72A10695">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p>
    <w:p w14:paraId="229172F2">
      <w:pPr>
        <w:pStyle w:val="4"/>
        <w:jc w:val="center"/>
        <w:rPr>
          <w:rFonts w:hint="eastAsia" w:ascii="Times New Roman" w:hAnsi="Times New Roman" w:eastAsia="方正小标宋简体" w:cs="方正小标宋简体"/>
          <w:b w:val="0"/>
          <w:color w:val="auto"/>
          <w:highlight w:val="none"/>
        </w:rPr>
      </w:pPr>
    </w:p>
    <w:p w14:paraId="5A107CCE">
      <w:pPr>
        <w:rPr>
          <w:rFonts w:hint="eastAsia" w:ascii="Times New Roman" w:hAnsi="Times New Roman" w:eastAsia="方正小标宋简体" w:cs="方正小标宋简体"/>
          <w:b w:val="0"/>
          <w:color w:val="auto"/>
          <w:highlight w:val="none"/>
        </w:rPr>
      </w:pPr>
    </w:p>
    <w:p w14:paraId="3BA996E0">
      <w:pPr>
        <w:pStyle w:val="2"/>
        <w:rPr>
          <w:rFonts w:hint="eastAsia"/>
        </w:rPr>
      </w:pPr>
    </w:p>
    <w:p w14:paraId="328A7328">
      <w:pPr>
        <w:pStyle w:val="4"/>
        <w:jc w:val="center"/>
        <w:rPr>
          <w:rFonts w:hint="eastAsia" w:ascii="Times New Roman" w:hAnsi="Times New Roman" w:eastAsia="方正小标宋简体" w:cs="方正小标宋简体"/>
          <w:b w:val="0"/>
          <w:color w:val="auto"/>
          <w:highlight w:val="none"/>
        </w:rPr>
      </w:pPr>
    </w:p>
    <w:p w14:paraId="699D54A4">
      <w:pPr>
        <w:rPr>
          <w:rFonts w:hint="eastAsia" w:ascii="Times New Roman" w:hAnsi="Times New Roman" w:eastAsia="方正小标宋简体" w:cs="方正小标宋简体"/>
          <w:b w:val="0"/>
          <w:color w:val="auto"/>
          <w:highlight w:val="none"/>
        </w:rPr>
      </w:pPr>
    </w:p>
    <w:p w14:paraId="566B4938">
      <w:pPr>
        <w:pStyle w:val="2"/>
        <w:rPr>
          <w:rFonts w:hint="eastAsia"/>
        </w:rPr>
      </w:pPr>
    </w:p>
    <w:p w14:paraId="772E03B2">
      <w:pPr>
        <w:pStyle w:val="4"/>
        <w:jc w:val="center"/>
        <w:rPr>
          <w:rFonts w:hint="eastAsia" w:ascii="Times New Roman" w:hAnsi="Times New Roman" w:eastAsia="方正小标宋简体" w:cs="方正小标宋简体"/>
          <w:b w:val="0"/>
          <w:color w:val="auto"/>
          <w:highlight w:val="none"/>
        </w:rPr>
      </w:pPr>
    </w:p>
    <w:p w14:paraId="523B5B00">
      <w:pPr>
        <w:pStyle w:val="4"/>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3"/>
      <w:bookmarkEnd w:id="14"/>
    </w:p>
    <w:p w14:paraId="52D27BD4">
      <w:pPr>
        <w:widowControl/>
        <w:jc w:val="left"/>
        <w:rPr>
          <w:rFonts w:ascii="Times New Roman" w:hAnsi="Times New Roman" w:eastAsia="黑体"/>
          <w:color w:val="auto"/>
          <w:sz w:val="32"/>
          <w:szCs w:val="32"/>
          <w:highlight w:val="none"/>
        </w:rPr>
      </w:pPr>
    </w:p>
    <w:p w14:paraId="3AF7419C">
      <w:pPr>
        <w:pStyle w:val="5"/>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4889F7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 xml:space="preserve">  </w:t>
      </w:r>
      <w:r>
        <w:rPr>
          <w:rFonts w:hint="eastAsia" w:ascii="仿宋_GB2312" w:hAnsi="仿宋" w:eastAsia="仿宋_GB2312" w:cs="Times New Roman"/>
          <w:sz w:val="32"/>
          <w:szCs w:val="32"/>
        </w:rPr>
        <w:t>负责所在行政区域内的自然资源行政管理和规划实施管理工作</w:t>
      </w:r>
      <w:r>
        <w:rPr>
          <w:rFonts w:hint="eastAsia" w:ascii="仿宋_GB2312" w:hAnsi="仿宋" w:eastAsia="仿宋_GB2312" w:cs="Times New Roman"/>
          <w:sz w:val="32"/>
          <w:szCs w:val="32"/>
          <w:lang w:eastAsia="zh-CN"/>
        </w:rPr>
        <w:t>，具体为</w:t>
      </w:r>
      <w:r>
        <w:rPr>
          <w:rFonts w:hint="default" w:ascii="Times New Roman" w:hAnsi="Times New Roman" w:eastAsia="仿宋_GB2312" w:cs="Times New Roman"/>
          <w:sz w:val="32"/>
          <w:szCs w:val="32"/>
        </w:rPr>
        <w:t>组织开展国土资源法制宣传教育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负责辖区内矿产资源管理、地质环境保护、地质灾害防治与监管工作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负责权限内采矿权审批登记、发证工作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辖区内耕地保护的责任，拟定并组织实施耕地保护、基本农田保护政策，监督占用耕地补偿制度执行情况；受市局委托负责辖区内村民宅基地审批、临时用地审核和农村集体土地所有权、集体建设用地使用权的登记发证。指导辖区内土地征收、土地储备工作</w:t>
      </w:r>
      <w:r>
        <w:rPr>
          <w:rFonts w:hint="eastAsia" w:ascii="Times New Roman" w:hAnsi="Times New Roman" w:eastAsia="仿宋_GB2312" w:cs="Times New Roman"/>
          <w:sz w:val="32"/>
          <w:szCs w:val="32"/>
          <w:lang w:eastAsia="zh-CN"/>
        </w:rPr>
        <w:t>等工作及</w:t>
      </w:r>
      <w:r>
        <w:rPr>
          <w:rFonts w:hint="eastAsia" w:ascii="仿宋_GB2312" w:hAnsi="仿宋" w:eastAsia="仿宋_GB2312" w:cs="Times New Roman"/>
          <w:sz w:val="32"/>
          <w:szCs w:val="32"/>
        </w:rPr>
        <w:t>完成市自然资源和规划局交办的其他任务。</w:t>
      </w:r>
    </w:p>
    <w:p w14:paraId="7D703D9E">
      <w:pPr>
        <w:pStyle w:val="5"/>
        <w:rPr>
          <w:rStyle w:val="29"/>
          <w:rFonts w:ascii="Times New Roman" w:hAnsi="Times New Roman"/>
          <w:b w:val="0"/>
          <w:bCs w:val="0"/>
          <w:color w:val="auto"/>
          <w:highlight w:val="none"/>
        </w:rPr>
      </w:pPr>
      <w:bookmarkStart w:id="15" w:name="_Toc15396601"/>
      <w:bookmarkStart w:id="16"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5"/>
      <w:bookmarkEnd w:id="16"/>
    </w:p>
    <w:p w14:paraId="0B2F7A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highlight w:val="none"/>
        </w:rPr>
        <w:t>四川省攀枝花市自然资源和规划局西区分局</w:t>
      </w:r>
      <w:r>
        <w:rPr>
          <w:rFonts w:hint="eastAsia" w:ascii="Times New Roman" w:hAnsi="Times New Roman" w:eastAsia="仿宋_GB2312" w:cs="Times New Roman"/>
          <w:sz w:val="32"/>
          <w:szCs w:val="32"/>
          <w:lang w:val="en-US" w:eastAsia="zh-CN"/>
        </w:rPr>
        <w:t>内设土管股、矿管股、规划股、土地利用股及办公室5个股室；代市自然资源和规划局管理攀枝花市格里坪自然资源所和自然资源综合执法大队。</w:t>
      </w:r>
    </w:p>
    <w:p w14:paraId="557C5701">
      <w:pPr>
        <w:pStyle w:val="4"/>
        <w:jc w:val="center"/>
        <w:rPr>
          <w:rFonts w:hint="eastAsia" w:ascii="Times New Roman" w:hAnsi="Times New Roman" w:eastAsia="方正小标宋简体" w:cs="方正小标宋简体"/>
          <w:b w:val="0"/>
          <w:color w:val="auto"/>
          <w:highlight w:val="none"/>
        </w:rPr>
      </w:pPr>
      <w:bookmarkStart w:id="17" w:name="_Toc15396602"/>
      <w:bookmarkStart w:id="18"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7"/>
      <w:bookmarkEnd w:id="18"/>
    </w:p>
    <w:p w14:paraId="2C495DC9">
      <w:pPr>
        <w:rPr>
          <w:rFonts w:ascii="Times New Roman" w:hAnsi="Times New Roman"/>
          <w:color w:val="auto"/>
          <w:highlight w:val="none"/>
        </w:rPr>
      </w:pPr>
    </w:p>
    <w:p w14:paraId="2AE32EC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9" w:name="_Toc15396603"/>
      <w:bookmarkStart w:id="20"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9"/>
      <w:bookmarkEnd w:id="20"/>
    </w:p>
    <w:p w14:paraId="21F8BE5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1854.38</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1289.26</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228.14</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2024年在节能环保、城乡社区、灾害防治及应急管理方面支出较2023年大幅上涨。</w:t>
      </w:r>
    </w:p>
    <w:p w14:paraId="0FEEAA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r>
        <w:rPr>
          <w:rFonts w:hint="default" w:ascii="仿宋_GB2312" w:eastAsia="仿宋_GB2312"/>
          <w:color w:val="auto"/>
          <w:sz w:val="32"/>
          <w:szCs w:val="32"/>
          <w:highlight w:val="none"/>
          <w:lang w:val="en-US" w:eastAsia="zh-CN"/>
        </w:rPr>
        <w:pict>
          <v:shape id="Object 2" o:spid="_x0000_s1027" o:spt="75" type="#_x0000_t75" style="position:absolute;left:0pt;margin-left:14.05pt;margin-top:0.9pt;height:206.45pt;width:401.9pt;mso-wrap-distance-left:9pt;mso-wrap-distance-right:9pt;z-index:-251656192;mso-width-relative:page;mso-height-relative:page;" o:ole="t" fillcolor="#FFFFFF" filled="t" o:preferrelative="t" stroked="t" coordsize="21600,21600" wrapcoords="21592 -2 0 0 0 21600 21592 21602 8 21602 21600 21600 21600 0 8 -2 21592 -2">
            <v:path/>
            <v:fill on="t" color2="#FFFFFF" focussize="0,0"/>
            <v:stroke weight="0pt" color="#000000" joinstyle="miter"/>
            <v:imagedata r:id="rId9" o:title=""/>
            <o:lock v:ext="edit" aspectratio="t"/>
            <w10:wrap type="tight"/>
          </v:shape>
          <o:OLEObject Type="Embed" ProgID="Excel.Chart.8" ShapeID="Object 2" DrawAspect="Content" ObjectID="_1468075725" r:id="rId8">
            <o:LockedField>false</o:LockedField>
          </o:OLEObject>
        </w:pict>
      </w:r>
      <w:r>
        <w:rPr>
          <w:rFonts w:hint="eastAsia" w:eastAsia="仿宋_GB2312" w:cs="仿宋_GB2312"/>
          <w:color w:val="auto"/>
          <w:sz w:val="32"/>
          <w:szCs w:val="32"/>
          <w:highlight w:val="none"/>
          <w:lang w:val="en-US" w:eastAsia="zh-CN"/>
        </w:rPr>
        <w:t xml:space="preserve"> </w:t>
      </w:r>
    </w:p>
    <w:p w14:paraId="3432BF6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1" w:name="_Toc15396604"/>
      <w:bookmarkStart w:id="22" w:name="_Toc15377206"/>
      <w:r>
        <w:rPr>
          <w:rFonts w:hint="eastAsia" w:ascii="Times New Roman" w:hAnsi="Times New Roman" w:eastAsia="黑体"/>
          <w:color w:val="auto"/>
          <w:sz w:val="32"/>
          <w:szCs w:val="32"/>
          <w:highlight w:val="none"/>
          <w:lang w:eastAsia="zh-CN"/>
        </w:rPr>
        <w:t>二、收入决算情况说明</w:t>
      </w:r>
      <w:bookmarkEnd w:id="21"/>
      <w:bookmarkEnd w:id="22"/>
    </w:p>
    <w:p w14:paraId="6CE0CDA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1854.38万元，其中：一般公共预算财政拨款收入346.97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18.71</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183.4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9.88%</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1324.01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71.39</w:t>
      </w:r>
      <w:r>
        <w:rPr>
          <w:rFonts w:hint="eastAsia" w:ascii="仿宋_GB2312" w:hAnsi="仿宋_GB2312" w:eastAsia="仿宋_GB2312" w:cs="仿宋_GB2312"/>
          <w:color w:val="auto"/>
          <w:sz w:val="32"/>
          <w:szCs w:val="32"/>
          <w:highlight w:val="none"/>
          <w:lang w:eastAsia="zh-CN"/>
        </w:rPr>
        <w:t>%。</w:t>
      </w:r>
    </w:p>
    <w:p w14:paraId="2760F9E0">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r>
        <w:rPr>
          <w:rFonts w:hint="eastAsia" w:eastAsia="仿宋_GB2312" w:cs="仿宋_GB2312"/>
          <w:color w:val="auto"/>
          <w:sz w:val="32"/>
          <w:szCs w:val="32"/>
          <w:highlight w:val="none"/>
          <w:lang w:val="en-US" w:eastAsia="zh-CN"/>
        </w:rPr>
        <w:t xml:space="preserve"> </w:t>
      </w:r>
    </w:p>
    <w:p w14:paraId="4886323C">
      <w:pPr>
        <w:rPr>
          <w:rFonts w:hint="eastAsia" w:ascii="Times New Roman" w:hAnsi="Times New Roman" w:eastAsia="仿宋_GB2312" w:cs="仿宋_GB2312"/>
          <w:color w:val="auto"/>
          <w:sz w:val="32"/>
          <w:szCs w:val="32"/>
          <w:highlight w:val="none"/>
          <w:lang w:eastAsia="zh-CN"/>
        </w:rPr>
      </w:pPr>
      <w:r>
        <w:rPr>
          <w:rFonts w:hint="eastAsia" w:ascii="仿宋_GB2312" w:eastAsia="仿宋_GB2312"/>
          <w:color w:val="auto"/>
          <w:sz w:val="32"/>
          <w:szCs w:val="32"/>
          <w:highlight w:val="none"/>
          <w:lang w:eastAsia="zh-CN"/>
        </w:rPr>
        <w:object>
          <v:shape id="_x0000_i1025" o:spt="75" type="#_x0000_t75" style="height:216.3pt;width:463.65pt;" o:ole="t" filled="f" o:preferrelative="t" stroked="t" coordsize="21600,21600">
            <v:path/>
            <v:fill on="f" focussize="0,0"/>
            <v:stroke color="#000000" joinstyle="miter"/>
            <v:imagedata r:id="rId11" o:title=""/>
            <o:lock v:ext="edit" aspectratio="t"/>
            <w10:wrap type="none"/>
            <w10:anchorlock/>
          </v:shape>
          <o:OLEObject Type="Embed" ProgID="Excel.Chart.8" ShapeID="_x0000_i1025" DrawAspect="Content" ObjectID="_1468075726" r:id="rId10">
            <o:LockedField>false</o:LockedField>
          </o:OLEObject>
        </w:object>
      </w:r>
    </w:p>
    <w:p w14:paraId="232E607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3" w:name="_Toc15377207"/>
      <w:bookmarkStart w:id="24"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3"/>
      <w:bookmarkEnd w:id="24"/>
    </w:p>
    <w:p w14:paraId="640FCB5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1854.38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124.16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6.69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1730.22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93.3</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0BD5BC6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Times New Roman"/>
          <w:sz w:val="32"/>
          <w:szCs w:val="32"/>
          <w:lang w:val="en-US" w:eastAsia="zh-CN"/>
        </w:rPr>
        <w:pict>
          <v:shape id="Object 4" o:spid="_x0000_s1028" o:spt="75" type="#_x0000_t75" style="position:absolute;left:0pt;margin-left:3.75pt;margin-top:35.5pt;height:210.3pt;width:411.2pt;mso-wrap-distance-bottom:0pt;mso-wrap-distance-left:9pt;mso-wrap-distance-right:9pt;mso-wrap-distance-top:0pt;z-index:251661312;mso-width-relative:page;mso-height-relative:page;" o:ole="t" filled="f" o:preferrelative="t" stroked="t" coordsize="21600,21600">
            <v:path/>
            <v:fill on="f" focussize="0,0"/>
            <v:stroke color="#000000" joinstyle="miter"/>
            <v:imagedata r:id="rId13" o:title=""/>
            <o:lock v:ext="edit" aspectratio="t"/>
            <w10:wrap type="square"/>
          </v:shape>
          <o:OLEObject Type="Embed" ProgID="Excel.Chart.8" ShapeID="Object 4" DrawAspect="Content" ObjectID="_1468075727" r:id="rId12">
            <o:LockedField>false</o:LockedField>
          </o:OLEObject>
        </w:pict>
      </w:r>
      <w:r>
        <w:rPr>
          <w:rFonts w:hint="eastAsia" w:ascii="Times New Roman" w:hAnsi="Times New Roman" w:eastAsia="仿宋_GB2312" w:cs="仿宋_GB2312"/>
          <w:color w:val="auto"/>
          <w:sz w:val="32"/>
          <w:szCs w:val="32"/>
          <w:highlight w:val="none"/>
          <w:lang w:eastAsia="zh-CN"/>
        </w:rPr>
        <w:t>（图3：支出决算结构图）</w:t>
      </w:r>
      <w:r>
        <w:rPr>
          <w:rFonts w:hint="eastAsia" w:eastAsia="仿宋_GB2312" w:cs="仿宋_GB2312"/>
          <w:color w:val="auto"/>
          <w:sz w:val="32"/>
          <w:szCs w:val="32"/>
          <w:highlight w:val="none"/>
          <w:lang w:val="en-US" w:eastAsia="zh-CN"/>
        </w:rPr>
        <w:t xml:space="preserve"> </w:t>
      </w:r>
    </w:p>
    <w:p w14:paraId="6AB5A115">
      <w:pPr>
        <w:spacing w:line="600" w:lineRule="exact"/>
        <w:ind w:firstLine="640" w:firstLineChars="200"/>
        <w:outlineLvl w:val="1"/>
        <w:rPr>
          <w:rStyle w:val="29"/>
          <w:rFonts w:ascii="Times New Roman" w:hAnsi="Times New Roman" w:eastAsia="黑体"/>
          <w:b w:val="0"/>
          <w:color w:val="auto"/>
          <w:highlight w:val="none"/>
        </w:rPr>
      </w:pPr>
      <w:bookmarkStart w:id="25" w:name="_Toc15396606"/>
      <w:bookmarkStart w:id="26"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5"/>
      <w:bookmarkEnd w:id="26"/>
    </w:p>
    <w:p w14:paraId="62B1C7A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530.37</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358.64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208.84</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城乡社区支出、灾害防治及应急管理支出较2023年大幅增加。</w:t>
      </w:r>
    </w:p>
    <w:p w14:paraId="3D08BEE8">
      <w:pPr>
        <w:spacing w:line="600" w:lineRule="exact"/>
        <w:ind w:firstLine="640" w:firstLineChars="20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r>
        <w:rPr>
          <w:rFonts w:hint="eastAsia" w:eastAsia="仿宋_GB2312" w:cs="仿宋_GB2312"/>
          <w:color w:val="auto"/>
          <w:kern w:val="2"/>
          <w:sz w:val="32"/>
          <w:szCs w:val="32"/>
          <w:highlight w:val="none"/>
          <w:lang w:val="en-US" w:eastAsia="zh-CN" w:bidi="ar-SA"/>
        </w:rPr>
        <w:t xml:space="preserve"> </w:t>
      </w:r>
    </w:p>
    <w:p w14:paraId="629CB9B9">
      <w:pPr>
        <w:pStyle w:val="2"/>
        <w:rPr>
          <w:rFonts w:hint="eastAsia"/>
          <w:lang w:val="en-US" w:eastAsia="zh-CN"/>
        </w:rPr>
      </w:pPr>
      <w:r>
        <w:rPr>
          <w:rFonts w:hint="eastAsia" w:ascii="仿宋" w:hAnsi="仿宋" w:eastAsia="仿宋"/>
          <w:b/>
          <w:color w:val="auto"/>
          <w:sz w:val="32"/>
          <w:szCs w:val="32"/>
          <w:highlight w:val="none"/>
          <w:lang w:eastAsia="zh-CN"/>
        </w:rPr>
        <w:object>
          <v:shape id="_x0000_i1026" o:spt="75" type="#_x0000_t75" style="height:221.2pt;width:413.15pt;" o:ole="t" filled="f" o:preferrelative="t" stroked="t" coordsize="21600,21600">
            <v:path/>
            <v:fill on="f" focussize="0,0"/>
            <v:stroke color="#000000" joinstyle="miter"/>
            <v:imagedata r:id="rId15" o:title=""/>
            <o:lock v:ext="edit" aspectratio="t"/>
            <w10:wrap type="none"/>
            <w10:anchorlock/>
          </v:shape>
          <o:OLEObject Type="Embed" ProgID="Excel.Chart.8" ShapeID="_x0000_i1026" DrawAspect="Content" ObjectID="_1468075728" r:id="rId14">
            <o:LockedField>false</o:LockedField>
          </o:OLEObject>
        </w:object>
      </w:r>
    </w:p>
    <w:p w14:paraId="4BB6A64D">
      <w:pPr>
        <w:spacing w:line="600" w:lineRule="exact"/>
        <w:ind w:firstLine="640" w:firstLineChars="200"/>
        <w:outlineLvl w:val="1"/>
        <w:rPr>
          <w:rStyle w:val="29"/>
          <w:rFonts w:ascii="Times New Roman" w:hAnsi="Times New Roman" w:eastAsia="黑体"/>
          <w:b w:val="0"/>
          <w:color w:val="auto"/>
          <w:highlight w:val="none"/>
        </w:rPr>
      </w:pPr>
      <w:bookmarkStart w:id="27" w:name="_Toc15396607"/>
      <w:bookmarkStart w:id="28"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7"/>
      <w:bookmarkEnd w:id="28"/>
    </w:p>
    <w:p w14:paraId="66EC99B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9"/>
    </w:p>
    <w:p w14:paraId="772A23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346.97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18.71</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%。与2023年度相比，一般公共预算财政拨款支出增加358.64万元，增长208.84%。主要变动原因是</w:t>
      </w:r>
      <w:r>
        <w:rPr>
          <w:rFonts w:hint="eastAsia" w:eastAsia="仿宋_GB2312" w:cs="仿宋_GB2312"/>
          <w:color w:val="auto"/>
          <w:kern w:val="2"/>
          <w:sz w:val="32"/>
          <w:szCs w:val="32"/>
          <w:highlight w:val="none"/>
          <w:lang w:val="en-US" w:eastAsia="zh-CN" w:bidi="ar-SA"/>
        </w:rPr>
        <w:t>城乡社区支出、灾害防治及应急管理支出较2023年大幅增加。</w:t>
      </w:r>
    </w:p>
    <w:p w14:paraId="4EB37C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r>
        <w:rPr>
          <w:rFonts w:hint="eastAsia" w:eastAsia="仿宋_GB2312" w:cs="仿宋_GB2312"/>
          <w:color w:val="auto"/>
          <w:kern w:val="2"/>
          <w:sz w:val="32"/>
          <w:szCs w:val="32"/>
          <w:highlight w:val="none"/>
          <w:lang w:val="en-US" w:eastAsia="zh-CN" w:bidi="ar-SA"/>
        </w:rPr>
        <w:t xml:space="preserve"> </w:t>
      </w:r>
    </w:p>
    <w:p w14:paraId="244A6192">
      <w:pPr>
        <w:pStyle w:val="2"/>
        <w:rPr>
          <w:rFonts w:hint="eastAsia"/>
          <w:lang w:val="en-US" w:eastAsia="zh-CN"/>
        </w:rPr>
      </w:pPr>
      <w:r>
        <w:rPr>
          <w:rFonts w:hint="eastAsia" w:ascii="仿宋" w:hAnsi="仿宋" w:eastAsia="仿宋"/>
          <w:color w:val="auto"/>
          <w:sz w:val="32"/>
          <w:szCs w:val="32"/>
          <w:highlight w:val="none"/>
          <w:lang w:eastAsia="zh-CN"/>
        </w:rPr>
        <w:object>
          <v:shape id="_x0000_i1027" o:spt="75" type="#_x0000_t75" style="height:219.35pt;width:413.15pt;" o:ole="t" filled="f" o:preferrelative="t" stroked="t" coordsize="21600,21600">
            <v:path/>
            <v:fill on="f" focussize="0,0"/>
            <v:stroke color="#000000" joinstyle="miter"/>
            <v:imagedata r:id="rId17" o:title=""/>
            <o:lock v:ext="edit" aspectratio="t"/>
            <w10:wrap type="none"/>
            <w10:anchorlock/>
          </v:shape>
          <o:OLEObject Type="Embed" ProgID="Excel.Chart.8" ShapeID="_x0000_i1027" DrawAspect="Content" ObjectID="_1468075729" r:id="rId16">
            <o:LockedField>false</o:LockedField>
          </o:OLEObject>
        </w:object>
      </w:r>
    </w:p>
    <w:p w14:paraId="09277D9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0"/>
    </w:p>
    <w:p w14:paraId="65ABED66">
      <w:pPr>
        <w:spacing w:line="600" w:lineRule="exact"/>
        <w:ind w:firstLine="640"/>
        <w:rPr>
          <w:rFonts w:hint="default" w:ascii="Times New Roman" w:hAnsi="Times New Roman" w:eastAsia="仿宋" w:cs="仿宋_GB2312"/>
          <w:color w:val="auto"/>
          <w:kern w:val="2"/>
          <w:sz w:val="32"/>
          <w:szCs w:val="32"/>
          <w:highlight w:val="none"/>
          <w:lang w:val="en-US" w:eastAsia="zh-CN" w:bidi="ar-SA"/>
        </w:rPr>
      </w:pPr>
      <w:r>
        <w:rPr>
          <w:rFonts w:hint="eastAsia" w:ascii="Times New Roman" w:hAnsi="Times New Roman" w:eastAsia="仿宋" w:cs="仿宋_GB2312"/>
          <w:color w:val="auto"/>
          <w:kern w:val="2"/>
          <w:sz w:val="32"/>
          <w:szCs w:val="32"/>
          <w:highlight w:val="none"/>
          <w:lang w:val="en-US" w:eastAsia="zh-CN" w:bidi="ar-SA"/>
        </w:rPr>
        <w:t>2024年度一般公共预算财政拨款支出346.97万元，主要用于以下方面：社会保障和就业支出13.76万元，占3.97%；卫生健康支出7.06万元，占2.03%；自然资源海洋气象等支出108.88万元，占31.38%；住房保障支出8.91万元，占2.57%；灾害防治及应急管理支出208.37万元，占60.05</w:t>
      </w:r>
      <w:r>
        <w:rPr>
          <w:rFonts w:hint="default" w:ascii="Times New Roman" w:hAnsi="Times New Roman" w:eastAsia="仿宋" w:cs="仿宋_GB2312"/>
          <w:color w:val="auto"/>
          <w:kern w:val="2"/>
          <w:sz w:val="32"/>
          <w:szCs w:val="32"/>
          <w:highlight w:val="none"/>
          <w:lang w:val="en-US" w:eastAsia="zh-CN" w:bidi="ar-SA"/>
        </w:rPr>
        <w:t>%</w:t>
      </w:r>
      <w:r>
        <w:rPr>
          <w:rFonts w:hint="eastAsia" w:ascii="Times New Roman" w:hAnsi="Times New Roman" w:eastAsia="仿宋" w:cs="仿宋_GB2312"/>
          <w:color w:val="auto"/>
          <w:kern w:val="2"/>
          <w:sz w:val="32"/>
          <w:szCs w:val="32"/>
          <w:highlight w:val="none"/>
          <w:lang w:val="en-US" w:eastAsia="zh-CN" w:bidi="ar-SA"/>
        </w:rPr>
        <w:t>。</w:t>
      </w:r>
    </w:p>
    <w:p w14:paraId="0617E3E6">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r>
        <w:rPr>
          <w:rFonts w:hint="eastAsia" w:eastAsia="仿宋_GB2312" w:cs="仿宋_GB2312"/>
          <w:color w:val="auto"/>
          <w:kern w:val="2"/>
          <w:sz w:val="32"/>
          <w:szCs w:val="32"/>
          <w:highlight w:val="none"/>
          <w:lang w:val="en-US" w:eastAsia="zh-CN" w:bidi="ar-SA"/>
        </w:rPr>
        <w:t xml:space="preserve"> </w:t>
      </w:r>
    </w:p>
    <w:p w14:paraId="58A68B3A">
      <w:pPr>
        <w:pStyle w:val="2"/>
        <w:rPr>
          <w:rFonts w:hint="eastAsia"/>
          <w:lang w:val="en-US" w:eastAsia="zh-CN"/>
        </w:rPr>
      </w:pPr>
      <w:r>
        <w:rPr>
          <w:rFonts w:hint="eastAsia" w:ascii="Times New Roman" w:hAnsi="Times New Roman" w:eastAsia="仿宋_GB2312" w:cs="Times New Roman"/>
          <w:sz w:val="32"/>
          <w:szCs w:val="32"/>
          <w:lang w:val="en-US" w:eastAsia="zh-CN"/>
        </w:rPr>
        <w:pict>
          <v:shape id="Object 5" o:spid="_x0000_s1029" o:spt="75" type="#_x0000_t75" style="position:absolute;left:0pt;margin-left:8.95pt;margin-top:-36.05pt;height:186.6pt;width:388.65pt;mso-wrap-distance-bottom:0pt;mso-wrap-distance-left:9pt;mso-wrap-distance-right:9pt;mso-wrap-distance-top:0pt;z-index:251662336;mso-width-relative:page;mso-height-relative:page;" o:ole="t" filled="f" o:preferrelative="t" stroked="t" coordsize="21600,21600">
            <v:path/>
            <v:fill on="f" focussize="0,0"/>
            <v:stroke color="#000000" joinstyle="miter"/>
            <v:imagedata r:id="rId19" o:title=""/>
            <o:lock v:ext="edit" aspectratio="t"/>
            <w10:wrap type="square"/>
          </v:shape>
          <o:OLEObject Type="Embed" ProgID="Excel.Chart.8" ShapeID="Object 5" DrawAspect="Content" ObjectID="_1468075730" r:id="rId18">
            <o:LockedField>false</o:LockedField>
          </o:OLEObject>
        </w:pict>
      </w:r>
    </w:p>
    <w:p w14:paraId="0283860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1"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1"/>
    </w:p>
    <w:p w14:paraId="141B2AD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2" w:name="_Toc15378460"/>
      <w:bookmarkStart w:id="33" w:name="_Toc15377213"/>
      <w:bookmarkStart w:id="34"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346.97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2"/>
      <w:bookmarkEnd w:id="33"/>
      <w:bookmarkEnd w:id="34"/>
    </w:p>
    <w:p w14:paraId="7FE389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社会保障和就业支出（类）行政事业单位养老支出（款）行政单位离退休（项）</w:t>
      </w:r>
      <w:r>
        <w:rPr>
          <w:rFonts w:hint="eastAsia" w:ascii="Times New Roman" w:hAnsi="Times New Roman" w:eastAsia="仿宋_GB2312" w:cs="仿宋_GB2312"/>
          <w:color w:val="auto"/>
          <w:kern w:val="2"/>
          <w:sz w:val="32"/>
          <w:szCs w:val="32"/>
          <w:highlight w:val="none"/>
          <w:lang w:val="en-US" w:eastAsia="zh-CN" w:bidi="ar-SA"/>
        </w:rPr>
        <w:t>: 支出决算为2.84万元，完成预算100%，决算数等于预算数。</w:t>
      </w:r>
    </w:p>
    <w:p w14:paraId="1FF211C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b/>
          <w:bCs/>
          <w:color w:val="auto"/>
          <w:kern w:val="2"/>
          <w:sz w:val="32"/>
          <w:szCs w:val="32"/>
          <w:highlight w:val="none"/>
          <w:lang w:val="en-US" w:eastAsia="zh-CN" w:bidi="ar-SA"/>
        </w:rPr>
        <w:t>社会保障和就业支出（类）行政事业单位养老支出（款）机关事业单位基本养老保险缴费支出（项）</w:t>
      </w:r>
      <w:r>
        <w:rPr>
          <w:rFonts w:hint="eastAsia" w:ascii="Times New Roman" w:hAnsi="Times New Roman" w:eastAsia="仿宋_GB2312" w:cs="仿宋_GB2312"/>
          <w:color w:val="auto"/>
          <w:kern w:val="2"/>
          <w:sz w:val="32"/>
          <w:szCs w:val="32"/>
          <w:highlight w:val="none"/>
          <w:lang w:val="en-US" w:eastAsia="zh-CN" w:bidi="ar-SA"/>
        </w:rPr>
        <w:t>: 支出决算为10.92万元，完成预算100%，决算数等于预算数。</w:t>
      </w:r>
    </w:p>
    <w:p w14:paraId="3B248D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b/>
          <w:bCs/>
          <w:color w:val="auto"/>
          <w:kern w:val="2"/>
          <w:sz w:val="32"/>
          <w:szCs w:val="32"/>
          <w:highlight w:val="none"/>
          <w:lang w:val="en-US" w:eastAsia="zh-CN" w:bidi="ar-SA"/>
        </w:rPr>
        <w:t>卫生健康支出（类）行政事业单位医疗（款）行政单位医疗（项）</w:t>
      </w:r>
      <w:r>
        <w:rPr>
          <w:rFonts w:hint="eastAsia" w:ascii="Times New Roman" w:hAnsi="Times New Roman" w:eastAsia="仿宋_GB2312" w:cs="仿宋_GB2312"/>
          <w:color w:val="auto"/>
          <w:kern w:val="2"/>
          <w:sz w:val="32"/>
          <w:szCs w:val="32"/>
          <w:highlight w:val="none"/>
          <w:lang w:val="en-US" w:eastAsia="zh-CN" w:bidi="ar-SA"/>
        </w:rPr>
        <w:t>: 支出决算为3.77万元，完成预算100%，决算数等于预算数。</w:t>
      </w:r>
    </w:p>
    <w:p w14:paraId="4558C0F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b/>
          <w:bCs/>
          <w:color w:val="auto"/>
          <w:kern w:val="2"/>
          <w:sz w:val="32"/>
          <w:szCs w:val="32"/>
          <w:highlight w:val="none"/>
          <w:lang w:val="en-US" w:eastAsia="zh-CN" w:bidi="ar-SA"/>
        </w:rPr>
        <w:t>卫生健康支出（类）行政事业单位医疗（款）事业单位医疗（项）</w:t>
      </w:r>
      <w:r>
        <w:rPr>
          <w:rFonts w:hint="eastAsia" w:ascii="Times New Roman" w:hAnsi="Times New Roman" w:eastAsia="仿宋_GB2312" w:cs="仿宋_GB2312"/>
          <w:color w:val="auto"/>
          <w:kern w:val="2"/>
          <w:sz w:val="32"/>
          <w:szCs w:val="32"/>
          <w:highlight w:val="none"/>
          <w:lang w:val="en-US" w:eastAsia="zh-CN" w:bidi="ar-SA"/>
        </w:rPr>
        <w:t>: 支出决算为1.95万元，完成预算100%，决算数等于预算数。</w:t>
      </w:r>
    </w:p>
    <w:p w14:paraId="6969B98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b/>
          <w:bCs/>
          <w:color w:val="auto"/>
          <w:kern w:val="2"/>
          <w:sz w:val="32"/>
          <w:szCs w:val="32"/>
          <w:highlight w:val="none"/>
          <w:lang w:val="en-US" w:eastAsia="zh-CN" w:bidi="ar-SA"/>
        </w:rPr>
        <w:t>卫生健康支出（类）行政事业单位医疗（款）公务员医疗补助（项）</w:t>
      </w:r>
      <w:r>
        <w:rPr>
          <w:rFonts w:hint="eastAsia" w:ascii="Times New Roman" w:hAnsi="Times New Roman" w:eastAsia="仿宋_GB2312" w:cs="仿宋_GB2312"/>
          <w:color w:val="auto"/>
          <w:kern w:val="2"/>
          <w:sz w:val="32"/>
          <w:szCs w:val="32"/>
          <w:highlight w:val="none"/>
          <w:lang w:val="en-US" w:eastAsia="zh-CN" w:bidi="ar-SA"/>
        </w:rPr>
        <w:t>: 支出决算为0.68万元，完成预算100%，决算数等于预算数。</w:t>
      </w:r>
    </w:p>
    <w:p w14:paraId="1AE6EF8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b/>
          <w:bCs/>
          <w:color w:val="auto"/>
          <w:kern w:val="2"/>
          <w:sz w:val="32"/>
          <w:szCs w:val="32"/>
          <w:highlight w:val="none"/>
          <w:lang w:val="en-US" w:eastAsia="zh-CN" w:bidi="ar-SA"/>
        </w:rPr>
        <w:t>卫生健康（类）行政事业单位医疗（款）其他行政事业单位医疗支出（项）</w:t>
      </w:r>
      <w:r>
        <w:rPr>
          <w:rFonts w:hint="eastAsia" w:ascii="Times New Roman" w:hAnsi="Times New Roman" w:eastAsia="仿宋_GB2312" w:cs="仿宋_GB2312"/>
          <w:color w:val="auto"/>
          <w:kern w:val="2"/>
          <w:sz w:val="32"/>
          <w:szCs w:val="32"/>
          <w:highlight w:val="none"/>
          <w:lang w:val="en-US" w:eastAsia="zh-CN" w:bidi="ar-SA"/>
        </w:rPr>
        <w:t>:支出决算为0.66万元，完成预算100%，决算数等于预算数。</w:t>
      </w:r>
    </w:p>
    <w:p w14:paraId="4293E38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b/>
          <w:bCs/>
          <w:color w:val="auto"/>
          <w:kern w:val="2"/>
          <w:sz w:val="32"/>
          <w:szCs w:val="32"/>
          <w:highlight w:val="none"/>
          <w:lang w:val="en-US" w:eastAsia="zh-CN" w:bidi="ar-SA"/>
        </w:rPr>
        <w:t>自然资源海洋气象等支出（类）自然资源事务（款）行政运行（项）</w:t>
      </w:r>
      <w:r>
        <w:rPr>
          <w:rFonts w:hint="eastAsia" w:ascii="Times New Roman" w:hAnsi="Times New Roman" w:eastAsia="仿宋_GB2312" w:cs="仿宋_GB2312"/>
          <w:color w:val="auto"/>
          <w:kern w:val="2"/>
          <w:sz w:val="32"/>
          <w:szCs w:val="32"/>
          <w:highlight w:val="none"/>
          <w:lang w:val="en-US" w:eastAsia="zh-CN" w:bidi="ar-SA"/>
        </w:rPr>
        <w:t>: 支出决算为37.88万元，完成预算100%，决算数等于预算数。</w:t>
      </w:r>
    </w:p>
    <w:p w14:paraId="7C3F43C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b/>
          <w:bCs/>
          <w:color w:val="auto"/>
          <w:kern w:val="2"/>
          <w:sz w:val="32"/>
          <w:szCs w:val="32"/>
          <w:highlight w:val="none"/>
          <w:lang w:val="en-US" w:eastAsia="zh-CN" w:bidi="ar-SA"/>
        </w:rPr>
        <w:t>自然资源海洋气象等支出（类）自然资源事务（款）自然资源利用与保护（项）</w:t>
      </w:r>
      <w:r>
        <w:rPr>
          <w:rFonts w:hint="eastAsia" w:ascii="Times New Roman" w:hAnsi="Times New Roman" w:eastAsia="仿宋_GB2312" w:cs="仿宋_GB2312"/>
          <w:color w:val="auto"/>
          <w:kern w:val="2"/>
          <w:sz w:val="32"/>
          <w:szCs w:val="32"/>
          <w:highlight w:val="none"/>
          <w:lang w:val="en-US" w:eastAsia="zh-CN" w:bidi="ar-SA"/>
        </w:rPr>
        <w:t>: 支出决算为40万元，完成预算100%，决算数预算数。</w:t>
      </w:r>
    </w:p>
    <w:p w14:paraId="4807CFA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b/>
          <w:bCs/>
          <w:color w:val="auto"/>
          <w:kern w:val="2"/>
          <w:sz w:val="32"/>
          <w:szCs w:val="32"/>
          <w:highlight w:val="none"/>
          <w:lang w:val="en-US" w:eastAsia="zh-CN" w:bidi="ar-SA"/>
        </w:rPr>
        <w:t>自然资源海洋气象等支出（类）自然资源事务（款）事业运行（项）</w:t>
      </w:r>
      <w:r>
        <w:rPr>
          <w:rFonts w:hint="eastAsia" w:ascii="Times New Roman" w:hAnsi="Times New Roman" w:eastAsia="仿宋_GB2312" w:cs="仿宋_GB2312"/>
          <w:color w:val="auto"/>
          <w:kern w:val="2"/>
          <w:sz w:val="32"/>
          <w:szCs w:val="32"/>
          <w:highlight w:val="none"/>
          <w:lang w:val="en-US" w:eastAsia="zh-CN" w:bidi="ar-SA"/>
        </w:rPr>
        <w:t>: 支出决算为31万元，完成预算100%，决算数等于预算数。</w:t>
      </w:r>
    </w:p>
    <w:p w14:paraId="5D79253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b/>
          <w:bCs/>
          <w:color w:val="auto"/>
          <w:kern w:val="2"/>
          <w:sz w:val="32"/>
          <w:szCs w:val="32"/>
          <w:highlight w:val="none"/>
          <w:lang w:val="en-US" w:eastAsia="zh-CN" w:bidi="ar-SA"/>
        </w:rPr>
        <w:t>住房保障支出（类）住房改革支出（款）住房公积金（项）</w:t>
      </w:r>
      <w:r>
        <w:rPr>
          <w:rFonts w:hint="eastAsia" w:ascii="Times New Roman" w:hAnsi="Times New Roman" w:eastAsia="仿宋_GB2312" w:cs="仿宋_GB2312"/>
          <w:color w:val="auto"/>
          <w:kern w:val="2"/>
          <w:sz w:val="32"/>
          <w:szCs w:val="32"/>
          <w:highlight w:val="none"/>
          <w:lang w:val="en-US" w:eastAsia="zh-CN" w:bidi="ar-SA"/>
        </w:rPr>
        <w:t>:支出决算为8.91万元，完成预算100%，决算数等于预算数。</w:t>
      </w:r>
    </w:p>
    <w:p w14:paraId="083544B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w:t>
      </w:r>
      <w:bookmarkStart w:id="69" w:name="_GoBack"/>
      <w:r>
        <w:rPr>
          <w:rFonts w:hint="eastAsia" w:ascii="Times New Roman" w:hAnsi="Times New Roman" w:eastAsia="仿宋_GB2312" w:cs="仿宋_GB2312"/>
          <w:b/>
          <w:bCs/>
          <w:color w:val="auto"/>
          <w:kern w:val="2"/>
          <w:sz w:val="32"/>
          <w:szCs w:val="32"/>
          <w:highlight w:val="none"/>
          <w:lang w:val="en-US" w:eastAsia="zh-CN" w:bidi="ar-SA"/>
        </w:rPr>
        <w:t>灾害防治及应急管理支出（类）自然灾害防治（款）地质灾害防治（项）</w:t>
      </w:r>
      <w:bookmarkEnd w:id="69"/>
      <w:r>
        <w:rPr>
          <w:rFonts w:hint="eastAsia" w:ascii="Times New Roman" w:hAnsi="Times New Roman" w:eastAsia="仿宋_GB2312" w:cs="仿宋_GB2312"/>
          <w:color w:val="auto"/>
          <w:kern w:val="2"/>
          <w:sz w:val="32"/>
          <w:szCs w:val="32"/>
          <w:highlight w:val="none"/>
          <w:lang w:val="en-US" w:eastAsia="zh-CN" w:bidi="ar-SA"/>
        </w:rPr>
        <w:t>:支出决算为208.37万元，完成预算100%，决算数等于预算数。</w:t>
      </w:r>
    </w:p>
    <w:p w14:paraId="020AAEC9">
      <w:pPr>
        <w:tabs>
          <w:tab w:val="right" w:pos="8306"/>
        </w:tabs>
        <w:spacing w:line="600" w:lineRule="exact"/>
        <w:ind w:firstLine="640"/>
        <w:outlineLvl w:val="1"/>
        <w:rPr>
          <w:rStyle w:val="29"/>
          <w:rFonts w:ascii="Times New Roman" w:hAnsi="Times New Roman"/>
          <w:color w:val="auto"/>
          <w:highlight w:val="none"/>
        </w:rPr>
      </w:pPr>
      <w:bookmarkStart w:id="35" w:name="_Toc15396608"/>
      <w:bookmarkStart w:id="36"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5"/>
      <w:bookmarkEnd w:id="36"/>
      <w:r>
        <w:rPr>
          <w:rStyle w:val="29"/>
          <w:rFonts w:ascii="Times New Roman" w:hAnsi="Times New Roman" w:eastAsia="黑体"/>
          <w:b w:val="0"/>
          <w:color w:val="auto"/>
          <w:highlight w:val="none"/>
        </w:rPr>
        <w:tab/>
      </w:r>
    </w:p>
    <w:p w14:paraId="0F15D31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98.61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BC8310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85.8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12.81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3794C8C">
      <w:pPr>
        <w:spacing w:line="600" w:lineRule="exact"/>
        <w:ind w:firstLine="640"/>
        <w:outlineLvl w:val="1"/>
        <w:rPr>
          <w:rStyle w:val="29"/>
          <w:rFonts w:ascii="Times New Roman" w:hAnsi="Times New Roman" w:eastAsia="黑体"/>
          <w:b w:val="0"/>
          <w:color w:val="auto"/>
          <w:highlight w:val="none"/>
        </w:rPr>
      </w:pPr>
      <w:bookmarkStart w:id="37" w:name="_Toc15396609"/>
      <w:bookmarkStart w:id="38"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7"/>
      <w:bookmarkEnd w:id="38"/>
    </w:p>
    <w:p w14:paraId="02D94B9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9"/>
    </w:p>
    <w:p w14:paraId="067C97E3">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2.55</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0.25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8.93</w:t>
      </w:r>
      <w:r>
        <w:rPr>
          <w:rFonts w:hint="eastAsia" w:ascii="Times New Roman" w:hAnsi="Times New Roman" w:eastAsia="仿宋_GB2312" w:cs="仿宋_GB2312"/>
          <w:color w:val="auto"/>
          <w:kern w:val="2"/>
          <w:sz w:val="32"/>
          <w:szCs w:val="32"/>
          <w:highlight w:val="none"/>
          <w:lang w:val="en-US" w:eastAsia="zh-CN" w:bidi="ar-SA"/>
        </w:rPr>
        <w:t>%。决算数与预算数持平的主要原因是</w:t>
      </w:r>
      <w:r>
        <w:rPr>
          <w:rFonts w:hint="eastAsia" w:ascii="仿宋_GB2312" w:eastAsia="仿宋_GB2312" w:cs="Times New Roman"/>
          <w:color w:val="auto"/>
          <w:sz w:val="32"/>
          <w:szCs w:val="32"/>
          <w:highlight w:val="none"/>
          <w:lang w:eastAsia="zh-CN"/>
        </w:rPr>
        <w:t>按进度完成拨付计划</w:t>
      </w:r>
      <w:r>
        <w:rPr>
          <w:rFonts w:hint="eastAsia" w:ascii="仿宋_GB2312" w:eastAsia="仿宋_GB2312" w:cs="Times New Roman"/>
          <w:color w:val="auto"/>
          <w:sz w:val="32"/>
          <w:szCs w:val="32"/>
          <w:highlight w:val="none"/>
        </w:rPr>
        <w:t>。</w:t>
      </w:r>
    </w:p>
    <w:p w14:paraId="6F0D976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0"/>
    </w:p>
    <w:p w14:paraId="53A70398">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2.45</w:t>
      </w:r>
      <w:r>
        <w:rPr>
          <w:rFonts w:hint="eastAsia" w:ascii="仿宋_GB2312" w:hAnsi="仿宋_GB2312" w:eastAsia="仿宋_GB2312" w:cs="仿宋_GB2312"/>
          <w:color w:val="auto"/>
          <w:kern w:val="2"/>
          <w:sz w:val="32"/>
          <w:szCs w:val="32"/>
          <w:highlight w:val="none"/>
          <w:lang w:val="en-US" w:eastAsia="zh-CN" w:bidi="ar-SA"/>
        </w:rPr>
        <w:t>万元，占96.08%；公务接待费支出决算</w:t>
      </w:r>
      <w:r>
        <w:rPr>
          <w:rFonts w:hint="eastAsia" w:ascii="仿宋_GB2312" w:hAnsi="仿宋_GB2312" w:eastAsia="仿宋_GB2312" w:cs="仿宋_GB2312"/>
          <w:sz w:val="32"/>
          <w:szCs w:val="32"/>
        </w:rPr>
        <w:t>0.1</w:t>
      </w:r>
      <w:r>
        <w:rPr>
          <w:rFonts w:hint="eastAsia" w:ascii="仿宋_GB2312" w:hAnsi="仿宋_GB2312" w:eastAsia="仿宋_GB2312" w:cs="仿宋_GB2312"/>
          <w:color w:val="auto"/>
          <w:kern w:val="2"/>
          <w:sz w:val="32"/>
          <w:szCs w:val="32"/>
          <w:highlight w:val="none"/>
          <w:lang w:val="en-US" w:eastAsia="zh-CN" w:bidi="ar-SA"/>
        </w:rPr>
        <w:t>万元，占3.92%。具体情况如下：</w:t>
      </w:r>
    </w:p>
    <w:p w14:paraId="1DB36E9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r>
        <w:rPr>
          <w:rFonts w:hint="eastAsia" w:eastAsia="仿宋_GB2312" w:cs="仿宋_GB2312"/>
          <w:color w:val="auto"/>
          <w:kern w:val="2"/>
          <w:sz w:val="32"/>
          <w:szCs w:val="32"/>
          <w:highlight w:val="none"/>
          <w:lang w:val="en-US" w:eastAsia="zh-CN" w:bidi="ar-SA"/>
        </w:rPr>
        <w:t xml:space="preserve"> </w:t>
      </w:r>
    </w:p>
    <w:p w14:paraId="4B47D76D">
      <w:pPr>
        <w:pStyle w:val="2"/>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object>
          <v:shape id="_x0000_i1028" o:spt="75" type="#_x0000_t75" style="height:214.9pt;width:394.8pt;" o:ole="t" filled="f" o:preferrelative="t" stroked="f" coordsize="21600,21600">
            <v:path/>
            <v:fill on="f" focussize="0,0"/>
            <v:stroke on="f"/>
            <v:imagedata r:id="rId21" o:title=""/>
            <o:lock v:ext="edit" aspectratio="t"/>
            <w10:wrap type="none"/>
            <w10:anchorlock/>
          </v:shape>
          <o:OLEObject Type="Embed" ProgID="Excel.Chart.8" ShapeID="_x0000_i1028" DrawAspect="Content" ObjectID="_1468075731" r:id="rId20">
            <o:LockedField>false</o:LockedField>
          </o:OLEObject>
        </w:object>
      </w:r>
    </w:p>
    <w:p w14:paraId="5552AB07">
      <w:pPr>
        <w:pStyle w:val="2"/>
        <w:rPr>
          <w:rFonts w:hint="eastAsia" w:ascii="Times New Roman" w:hAnsi="Times New Roman" w:eastAsia="仿宋_GB2312" w:cs="仿宋_GB2312"/>
          <w:color w:val="auto"/>
          <w:kern w:val="2"/>
          <w:sz w:val="32"/>
          <w:szCs w:val="32"/>
          <w:highlight w:val="none"/>
          <w:lang w:val="en-US" w:eastAsia="zh-CN" w:bidi="ar-SA"/>
        </w:rPr>
      </w:pPr>
    </w:p>
    <w:p w14:paraId="6F188724">
      <w:pPr>
        <w:numPr>
          <w:ilvl w:val="0"/>
          <w:numId w:val="2"/>
        </w:num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1E0A36AC">
      <w:p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2.45万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0.35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12.5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cs="Times New Roman"/>
          <w:color w:val="auto"/>
          <w:sz w:val="32"/>
          <w:szCs w:val="32"/>
          <w:highlight w:val="none"/>
          <w:lang w:eastAsia="zh-CN"/>
        </w:rPr>
        <w:t>三公经费调整。</w:t>
      </w:r>
    </w:p>
    <w:p w14:paraId="56E315C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4AFF69C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2.45</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default" w:ascii="Times New Roman" w:hAnsi="Times New Roman" w:eastAsia="仿宋_GB2312" w:cs="Times New Roman"/>
          <w:color w:val="000000"/>
          <w:sz w:val="32"/>
          <w:szCs w:val="32"/>
        </w:rPr>
        <w:t>地灾巡查、耕地保护、土地开发利用现场勘察、土地执法巡查</w:t>
      </w:r>
      <w:r>
        <w:rPr>
          <w:rFonts w:hint="eastAsia" w:ascii="仿宋_GB2312" w:eastAsia="仿宋_GB2312"/>
          <w:color w:val="auto"/>
          <w:sz w:val="32"/>
          <w:szCs w:val="32"/>
          <w:highlight w:val="none"/>
        </w:rPr>
        <w:t>等</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14:paraId="35EDB23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0.1万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公务接待费支出决算比2023年度增加</w:t>
      </w:r>
      <w:r>
        <w:rPr>
          <w:rFonts w:hint="eastAsia" w:eastAsia="仿宋_GB2312" w:cs="仿宋_GB2312"/>
          <w:color w:val="auto"/>
          <w:kern w:val="2"/>
          <w:sz w:val="32"/>
          <w:szCs w:val="32"/>
          <w:highlight w:val="none"/>
          <w:lang w:val="en-US" w:eastAsia="zh-CN" w:bidi="ar-SA"/>
        </w:rPr>
        <w:t>0.1</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%。主要用于</w:t>
      </w:r>
      <w:r>
        <w:rPr>
          <w:rFonts w:hint="eastAsia" w:eastAsia="仿宋_GB2312" w:cs="仿宋_GB2312"/>
          <w:color w:val="auto"/>
          <w:kern w:val="2"/>
          <w:sz w:val="32"/>
          <w:szCs w:val="32"/>
          <w:highlight w:val="none"/>
          <w:lang w:val="en-US" w:eastAsia="zh-CN" w:bidi="ar-SA"/>
        </w:rPr>
        <w:t>接待省厅、市局督导检查组。</w:t>
      </w:r>
    </w:p>
    <w:p w14:paraId="1768894F">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接待省厅、市局督导检查组。</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5</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0.1</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省厅、市局督导检查自然资源督查反馈问题整改工作，在对拓盛石灰石矿、磨槽湾采石场督导检查后，安排就餐0.1万元。</w:t>
      </w:r>
    </w:p>
    <w:p w14:paraId="3BBB0F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14:paraId="7C3DAFE5">
      <w:pPr>
        <w:spacing w:line="600" w:lineRule="exact"/>
        <w:ind w:firstLine="640"/>
        <w:outlineLvl w:val="1"/>
        <w:rPr>
          <w:rStyle w:val="29"/>
          <w:rFonts w:ascii="Times New Roman" w:hAnsi="Times New Roman" w:eastAsia="黑体"/>
          <w:color w:val="auto"/>
          <w:highlight w:val="none"/>
        </w:rPr>
      </w:pPr>
      <w:bookmarkStart w:id="41" w:name="_Toc15396610"/>
      <w:bookmarkStart w:id="42" w:name="_Toc15377218"/>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1"/>
      <w:bookmarkEnd w:id="42"/>
    </w:p>
    <w:p w14:paraId="09FB0767">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183.4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9.88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183.4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增加了土地开发支出。</w:t>
      </w:r>
    </w:p>
    <w:p w14:paraId="400B9AF2">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3" w:name="_Toc15377219"/>
      <w:bookmarkStart w:id="44"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3"/>
      <w:bookmarkEnd w:id="44"/>
    </w:p>
    <w:p w14:paraId="2DA6909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w:t>
      </w:r>
    </w:p>
    <w:p w14:paraId="5DD353F5">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5" w:name="_Toc15377221"/>
      <w:bookmarkStart w:id="46"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5"/>
      <w:bookmarkEnd w:id="46"/>
    </w:p>
    <w:p w14:paraId="3B40DA9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2"/>
      <w:r>
        <w:rPr>
          <w:rFonts w:hint="eastAsia" w:ascii="Times New Roman" w:hAnsi="Times New Roman" w:eastAsia="楷体_GB2312" w:cs="楷体_GB2312"/>
          <w:b/>
          <w:color w:val="auto"/>
          <w:sz w:val="32"/>
          <w:szCs w:val="32"/>
          <w:highlight w:val="none"/>
        </w:rPr>
        <w:t>（一）机关运行经费支出情况</w:t>
      </w:r>
      <w:bookmarkEnd w:id="47"/>
    </w:p>
    <w:p w14:paraId="5801DBF0">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四川省攀枝花市自然资源和规划局西区分局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12.81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2.46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23.76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cs="Times New Roman"/>
          <w:color w:val="auto"/>
          <w:sz w:val="32"/>
          <w:szCs w:val="32"/>
          <w:highlight w:val="none"/>
          <w:lang w:eastAsia="zh-CN"/>
        </w:rPr>
        <w:t>维持运转的必要支出应付金额增加。</w:t>
      </w:r>
    </w:p>
    <w:p w14:paraId="363534A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3"/>
      <w:r>
        <w:rPr>
          <w:rFonts w:hint="eastAsia" w:ascii="Times New Roman" w:hAnsi="Times New Roman" w:eastAsia="楷体_GB2312" w:cs="楷体_GB2312"/>
          <w:b/>
          <w:color w:val="auto"/>
          <w:sz w:val="32"/>
          <w:szCs w:val="32"/>
          <w:highlight w:val="none"/>
        </w:rPr>
        <w:t>（二）政府采购支出情况</w:t>
      </w:r>
      <w:bookmarkEnd w:id="48"/>
    </w:p>
    <w:p w14:paraId="5A21F198">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四川省攀枝花市自然资源和规划局西区分局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2.3</w:t>
      </w:r>
      <w:r>
        <w:rPr>
          <w:rFonts w:hint="eastAsia" w:ascii="仿宋_GB2312" w:hAnsi="仿宋_GB2312" w:eastAsia="仿宋_GB2312" w:cs="仿宋_GB2312"/>
          <w:color w:val="auto"/>
          <w:kern w:val="2"/>
          <w:sz w:val="32"/>
          <w:szCs w:val="32"/>
          <w:highlight w:val="none"/>
          <w:lang w:val="en-US" w:eastAsia="zh-CN" w:bidi="ar-SA"/>
        </w:rPr>
        <w:t>万元。主要用于车辆相关服务政府采购。授予中小企业合同金额</w:t>
      </w:r>
      <w:r>
        <w:rPr>
          <w:rFonts w:hint="eastAsia" w:ascii="仿宋_GB2312" w:hAnsi="仿宋_GB2312" w:eastAsia="仿宋_GB2312" w:cs="仿宋_GB2312"/>
          <w:sz w:val="32"/>
          <w:szCs w:val="32"/>
        </w:rPr>
        <w:t>1.4</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60.86</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170C430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24"/>
      <w:r>
        <w:rPr>
          <w:rFonts w:hint="eastAsia" w:ascii="Times New Roman" w:hAnsi="Times New Roman" w:eastAsia="楷体_GB2312" w:cs="楷体_GB2312"/>
          <w:b/>
          <w:color w:val="auto"/>
          <w:sz w:val="32"/>
          <w:szCs w:val="32"/>
          <w:highlight w:val="none"/>
        </w:rPr>
        <w:t>（三）国有资产占有使用情况</w:t>
      </w:r>
      <w:bookmarkEnd w:id="49"/>
    </w:p>
    <w:p w14:paraId="18C2442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四川省攀枝花市自然资源和规划局西区分局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default" w:ascii="仿宋_GB2312" w:eastAsia="仿宋_GB2312" w:cs="Times New Roman"/>
          <w:color w:val="auto"/>
          <w:sz w:val="32"/>
          <w:szCs w:val="32"/>
          <w:highlight w:val="none"/>
          <w:lang w:eastAsia="zh-CN"/>
        </w:rPr>
        <w:t>地灾巡查、耕地保护、土地开发利用现场勘察、土地执法巡查</w:t>
      </w:r>
      <w:r>
        <w:rPr>
          <w:rFonts w:hint="eastAsia" w:ascii="仿宋_GB2312" w:eastAsia="仿宋_GB2312" w:cs="Times New Roman"/>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0A19A20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354F3975">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西区格里坪镇小学滑坡排危除险、2023年第三批省级地灾防治专业人员补助、第二批重点生态保护修复治理资金、攀枝花市西区格里坪镇金家村3社金家沟泥石流治理工程、攀枝花市西区格里坪镇烂坝村一社滑坡治理工程、攀枝花市西区格里坪镇苦荞村5社崩塌（危岩）治理工程、专职监测、攀枝花市西区西佛寺北100m采石场生态修复施工、西区地址灾害防治能力建设、攀枝花市西区静怡社区危岩治理工程、攀枝花市西区西佛寺景区崩塌治理工程项目、攀枝花市西区格里坪镇格里坪村一社土司坟采石场生态修复施工、攀枝花市西区静怡社区后山危岩治理工程运行监测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w:t>
      </w:r>
      <w:r>
        <w:rPr>
          <w:rFonts w:hint="eastAsia" w:ascii="仿宋_GB2312" w:hAnsi="Times New Roman" w:eastAsia="仿宋_GB2312" w:cs="Times New Roman"/>
          <w:color w:val="auto"/>
          <w:sz w:val="32"/>
          <w:szCs w:val="32"/>
          <w:highlight w:val="none"/>
          <w:lang w:eastAsia="zh-CN"/>
        </w:rPr>
        <w:t>组织对</w:t>
      </w:r>
      <w:r>
        <w:rPr>
          <w:rFonts w:hint="eastAsia" w:ascii="仿宋_GB2312" w:eastAsia="仿宋_GB2312" w:cs="Times New Roman"/>
          <w:color w:val="auto"/>
          <w:sz w:val="32"/>
          <w:szCs w:val="32"/>
          <w:highlight w:val="none"/>
          <w:lang w:val="en-US" w:eastAsia="zh-CN"/>
        </w:rPr>
        <w:t>13</w:t>
      </w:r>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14:paraId="545ECB99">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p>
    <w:p w14:paraId="44F96F77">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5CDC1E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3D952F9">
      <w:pPr>
        <w:pStyle w:val="2"/>
        <w:rPr>
          <w:rFonts w:hint="eastAsia" w:ascii="Times New Roman" w:hAnsi="Times New Roman" w:eastAsia="仿宋_GB2312" w:cs="仿宋_GB2312"/>
          <w:color w:val="auto"/>
          <w:kern w:val="2"/>
          <w:sz w:val="32"/>
          <w:szCs w:val="32"/>
          <w:highlight w:val="none"/>
          <w:lang w:val="en-US" w:eastAsia="zh-CN" w:bidi="ar-SA"/>
        </w:rPr>
      </w:pPr>
    </w:p>
    <w:p w14:paraId="073F869A">
      <w:pPr>
        <w:pStyle w:val="2"/>
        <w:rPr>
          <w:rFonts w:hint="eastAsia" w:ascii="Times New Roman" w:hAnsi="Times New Roman" w:eastAsia="仿宋_GB2312" w:cs="仿宋_GB2312"/>
          <w:color w:val="auto"/>
          <w:kern w:val="2"/>
          <w:sz w:val="32"/>
          <w:szCs w:val="32"/>
          <w:highlight w:val="none"/>
          <w:lang w:val="en-US" w:eastAsia="zh-CN" w:bidi="ar-SA"/>
        </w:rPr>
      </w:pPr>
    </w:p>
    <w:p w14:paraId="47D8281B">
      <w:pPr>
        <w:pStyle w:val="2"/>
        <w:rPr>
          <w:rFonts w:hint="eastAsia" w:ascii="Times New Roman" w:hAnsi="Times New Roman" w:eastAsia="仿宋_GB2312" w:cs="仿宋_GB2312"/>
          <w:color w:val="auto"/>
          <w:kern w:val="2"/>
          <w:sz w:val="32"/>
          <w:szCs w:val="32"/>
          <w:highlight w:val="none"/>
          <w:lang w:val="en-US" w:eastAsia="zh-CN" w:bidi="ar-SA"/>
        </w:rPr>
      </w:pPr>
    </w:p>
    <w:p w14:paraId="086F4546">
      <w:pPr>
        <w:pStyle w:val="3"/>
        <w:rPr>
          <w:rFonts w:hint="eastAsia" w:ascii="Times New Roman" w:hAnsi="Times New Roman" w:eastAsia="仿宋_GB2312" w:cs="仿宋_GB2312"/>
          <w:color w:val="auto"/>
          <w:kern w:val="2"/>
          <w:sz w:val="32"/>
          <w:szCs w:val="32"/>
          <w:highlight w:val="none"/>
          <w:lang w:val="en-US" w:eastAsia="zh-CN" w:bidi="ar-SA"/>
        </w:rPr>
      </w:pPr>
    </w:p>
    <w:p w14:paraId="6F853410">
      <w:pPr>
        <w:pStyle w:val="3"/>
        <w:rPr>
          <w:rFonts w:hint="eastAsia" w:ascii="Times New Roman" w:hAnsi="Times New Roman" w:eastAsia="仿宋_GB2312" w:cs="仿宋_GB2312"/>
          <w:color w:val="auto"/>
          <w:kern w:val="2"/>
          <w:sz w:val="32"/>
          <w:szCs w:val="32"/>
          <w:highlight w:val="none"/>
          <w:lang w:val="en-US" w:eastAsia="zh-CN" w:bidi="ar-SA"/>
        </w:rPr>
      </w:pPr>
    </w:p>
    <w:p w14:paraId="25E21DBC">
      <w:pPr>
        <w:pStyle w:val="3"/>
        <w:rPr>
          <w:rFonts w:hint="eastAsia" w:ascii="Times New Roman" w:hAnsi="Times New Roman" w:eastAsia="仿宋_GB2312" w:cs="仿宋_GB2312"/>
          <w:color w:val="auto"/>
          <w:kern w:val="2"/>
          <w:sz w:val="32"/>
          <w:szCs w:val="32"/>
          <w:highlight w:val="none"/>
          <w:lang w:val="en-US" w:eastAsia="zh-CN" w:bidi="ar-SA"/>
        </w:rPr>
      </w:pPr>
    </w:p>
    <w:p w14:paraId="5011E22F">
      <w:pPr>
        <w:pStyle w:val="3"/>
        <w:rPr>
          <w:rFonts w:hint="eastAsia" w:ascii="Times New Roman" w:hAnsi="Times New Roman" w:eastAsia="仿宋_GB2312" w:cs="仿宋_GB2312"/>
          <w:color w:val="auto"/>
          <w:kern w:val="2"/>
          <w:sz w:val="32"/>
          <w:szCs w:val="32"/>
          <w:highlight w:val="none"/>
          <w:lang w:val="en-US" w:eastAsia="zh-CN" w:bidi="ar-SA"/>
        </w:rPr>
      </w:pPr>
    </w:p>
    <w:p w14:paraId="0CA86EDD">
      <w:pPr>
        <w:pStyle w:val="3"/>
        <w:rPr>
          <w:rFonts w:hint="eastAsia" w:ascii="Times New Roman" w:hAnsi="Times New Roman" w:eastAsia="仿宋_GB2312" w:cs="仿宋_GB2312"/>
          <w:color w:val="auto"/>
          <w:kern w:val="2"/>
          <w:sz w:val="32"/>
          <w:szCs w:val="32"/>
          <w:highlight w:val="none"/>
          <w:lang w:val="en-US" w:eastAsia="zh-CN" w:bidi="ar-SA"/>
        </w:rPr>
      </w:pPr>
    </w:p>
    <w:p w14:paraId="2C66A861">
      <w:pPr>
        <w:pStyle w:val="3"/>
        <w:rPr>
          <w:rFonts w:hint="eastAsia" w:ascii="Times New Roman" w:hAnsi="Times New Roman" w:eastAsia="仿宋_GB2312" w:cs="仿宋_GB2312"/>
          <w:color w:val="auto"/>
          <w:kern w:val="2"/>
          <w:sz w:val="32"/>
          <w:szCs w:val="32"/>
          <w:highlight w:val="none"/>
          <w:lang w:val="en-US" w:eastAsia="zh-CN" w:bidi="ar-SA"/>
        </w:rPr>
      </w:pPr>
    </w:p>
    <w:p w14:paraId="5CFD3AC5">
      <w:pPr>
        <w:pStyle w:val="3"/>
        <w:rPr>
          <w:rFonts w:hint="eastAsia" w:ascii="Times New Roman" w:hAnsi="Times New Roman" w:eastAsia="仿宋_GB2312" w:cs="仿宋_GB2312"/>
          <w:color w:val="auto"/>
          <w:kern w:val="2"/>
          <w:sz w:val="32"/>
          <w:szCs w:val="32"/>
          <w:highlight w:val="none"/>
          <w:lang w:val="en-US" w:eastAsia="zh-CN" w:bidi="ar-SA"/>
        </w:rPr>
      </w:pPr>
    </w:p>
    <w:p w14:paraId="4FF7B955">
      <w:pPr>
        <w:pStyle w:val="2"/>
        <w:rPr>
          <w:rFonts w:hint="eastAsia" w:ascii="Times New Roman" w:hAnsi="Times New Roman" w:eastAsia="仿宋_GB2312" w:cs="仿宋_GB2312"/>
          <w:color w:val="auto"/>
          <w:kern w:val="2"/>
          <w:sz w:val="32"/>
          <w:szCs w:val="32"/>
          <w:highlight w:val="none"/>
          <w:lang w:val="en-US" w:eastAsia="zh-CN" w:bidi="ar-SA"/>
        </w:rPr>
      </w:pPr>
    </w:p>
    <w:p w14:paraId="597C02D0">
      <w:pPr>
        <w:pStyle w:val="2"/>
        <w:rPr>
          <w:rFonts w:hint="eastAsia" w:ascii="Times New Roman" w:hAnsi="Times New Roman" w:eastAsia="仿宋_GB2312" w:cs="仿宋_GB2312"/>
          <w:color w:val="auto"/>
          <w:kern w:val="2"/>
          <w:sz w:val="32"/>
          <w:szCs w:val="32"/>
          <w:highlight w:val="none"/>
          <w:lang w:val="en-US" w:eastAsia="zh-CN" w:bidi="ar-SA"/>
        </w:rPr>
      </w:pPr>
    </w:p>
    <w:p w14:paraId="2E50FB12">
      <w:pPr>
        <w:pStyle w:val="2"/>
        <w:rPr>
          <w:rFonts w:hint="eastAsia" w:ascii="Times New Roman" w:hAnsi="Times New Roman" w:eastAsia="仿宋_GB2312" w:cs="仿宋_GB2312"/>
          <w:color w:val="auto"/>
          <w:kern w:val="2"/>
          <w:sz w:val="32"/>
          <w:szCs w:val="32"/>
          <w:highlight w:val="none"/>
          <w:lang w:val="en-US" w:eastAsia="zh-CN" w:bidi="ar-SA"/>
        </w:rPr>
      </w:pPr>
    </w:p>
    <w:p w14:paraId="4101E264">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0" w:name="_Toc15396613"/>
      <w:bookmarkStart w:id="51"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0"/>
      <w:bookmarkEnd w:id="51"/>
    </w:p>
    <w:p w14:paraId="490EF60D">
      <w:pPr>
        <w:spacing w:line="600" w:lineRule="exact"/>
        <w:jc w:val="left"/>
        <w:rPr>
          <w:rFonts w:ascii="Times New Roman" w:hAnsi="Times New Roman"/>
          <w:b/>
          <w:color w:val="auto"/>
          <w:sz w:val="44"/>
          <w:szCs w:val="44"/>
          <w:highlight w:val="none"/>
        </w:rPr>
      </w:pPr>
    </w:p>
    <w:p w14:paraId="76DB352C">
      <w:pPr>
        <w:numPr>
          <w:ilvl w:val="0"/>
          <w:numId w:val="3"/>
        </w:num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财政拨款收入：指单位从同级财政部门取得的财政预算资金。</w:t>
      </w:r>
    </w:p>
    <w:p w14:paraId="55943C6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2CC3B47">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.年末结转和结余：指单位按有关规定结转到下年或以后年度继续使用的资金。</w:t>
      </w:r>
    </w:p>
    <w:p w14:paraId="77798682">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社会保障和就业支出（类）行政事业单位养老支出（款）行政单位离退休（项）：指反映行政单位(包括实行公务员管理的事业单位)开支的离退休经费。</w:t>
      </w:r>
    </w:p>
    <w:p w14:paraId="645186F9">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社会保障和就业支出（类）行政事业单位养老支出（款）机关事业单位基本养老保险缴费支出（项）：指反映机关事业单位实施养老保险制度由单位缴纳的基本养老保险费支出。</w:t>
      </w:r>
    </w:p>
    <w:p w14:paraId="6392113D">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自然资源海洋气象等支出（类）自然资源事务（款）行政运行（项）：指</w:t>
      </w:r>
      <w:r>
        <w:rPr>
          <w:rFonts w:hint="eastAsia" w:ascii="仿宋_GB2312" w:eastAsia="仿宋_GB2312"/>
          <w:sz w:val="32"/>
          <w:szCs w:val="32"/>
          <w:lang w:eastAsia="zh-CN"/>
        </w:rPr>
        <w:t>反映</w:t>
      </w:r>
      <w:r>
        <w:rPr>
          <w:rFonts w:hint="default" w:ascii="Times New Roman" w:hAnsi="Times New Roman" w:eastAsia="仿宋_GB2312" w:cs="Times New Roman"/>
          <w:color w:val="000000"/>
          <w:sz w:val="32"/>
          <w:szCs w:val="32"/>
        </w:rPr>
        <w:t>行政单位(包括实行公务员管理是事业单位)的基本支出</w:t>
      </w:r>
      <w:r>
        <w:rPr>
          <w:rFonts w:hint="eastAsia" w:ascii="仿宋_GB2312" w:eastAsia="仿宋_GB2312"/>
          <w:sz w:val="32"/>
          <w:szCs w:val="32"/>
        </w:rPr>
        <w:t>。</w:t>
      </w:r>
    </w:p>
    <w:p w14:paraId="54FD78CF">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自然资源海洋气象等支出（类）自然资源事务（款）自然资源利用与保护（项）：指反映用于自然资源有偿使用与合理开发利用，国土空间生态修复，国土整治，耕地保护等方面的支出。</w:t>
      </w:r>
    </w:p>
    <w:p w14:paraId="7248F601">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自然资源海洋气象等支出（类）自然资源事务（款）事业运行（项）：指</w:t>
      </w:r>
      <w:r>
        <w:rPr>
          <w:rFonts w:hint="eastAsia" w:ascii="仿宋_GB2312" w:eastAsia="仿宋_GB2312"/>
          <w:sz w:val="32"/>
          <w:szCs w:val="32"/>
          <w:lang w:eastAsia="zh-CN"/>
        </w:rPr>
        <w:t>反映</w:t>
      </w:r>
      <w:r>
        <w:rPr>
          <w:rFonts w:hint="default" w:ascii="Times New Roman" w:hAnsi="Times New Roman" w:eastAsia="仿宋_GB2312" w:cs="Times New Roman"/>
          <w:color w:val="000000"/>
          <w:sz w:val="32"/>
          <w:szCs w:val="32"/>
        </w:rPr>
        <w:t>事业单位的基本支出,不包括行政单位(包括实行公务员管理的事业单位)后勤服务中心,医务室等附属事业单位</w:t>
      </w:r>
      <w:r>
        <w:rPr>
          <w:rFonts w:hint="eastAsia" w:ascii="仿宋_GB2312" w:eastAsia="仿宋_GB2312"/>
          <w:sz w:val="32"/>
          <w:szCs w:val="32"/>
        </w:rPr>
        <w:t>。</w:t>
      </w:r>
    </w:p>
    <w:p w14:paraId="4C0111E4">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自然资源海洋气象等支出（类）自然资源事务（款） 其他自然资源事务支出（项）：指反映除上述项目以外其他用于自然资源事务方面的支出。</w:t>
      </w:r>
    </w:p>
    <w:p w14:paraId="72DD8318">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住房保障支出（类）住房改革支出（款）住房公积金（项）：指</w:t>
      </w:r>
      <w:r>
        <w:rPr>
          <w:rFonts w:hint="default" w:ascii="Times New Roman" w:hAnsi="Times New Roman" w:eastAsia="仿宋_GB2312" w:cs="Times New Roman"/>
          <w:color w:val="000000"/>
          <w:sz w:val="32"/>
          <w:szCs w:val="32"/>
        </w:rPr>
        <w:t>行政事业单位按人力资源和社会保障部、财政规定的基本工资和津贴补贴以及规定比例为职工缴纳的住房公积金</w:t>
      </w:r>
      <w:r>
        <w:rPr>
          <w:rFonts w:hint="eastAsia" w:ascii="仿宋_GB2312" w:eastAsia="仿宋_GB2312"/>
          <w:sz w:val="32"/>
          <w:szCs w:val="32"/>
        </w:rPr>
        <w:t>。</w:t>
      </w:r>
    </w:p>
    <w:p w14:paraId="0F77AE29">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灾害防治及应急管理支出（类）自然灾害防治（款）地质灾害防治（项）：指反映防治地质灾害方面的支出。</w:t>
      </w:r>
    </w:p>
    <w:p w14:paraId="7CD9EB5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754A94B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5E236FA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1EE3A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8A7BCA">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bookmarkStart w:id="52" w:name="_Toc15377226"/>
    </w:p>
    <w:p w14:paraId="6B81EC0B">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53"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3"/>
    </w:p>
    <w:p w14:paraId="36C89BCA">
      <w:pPr>
        <w:pStyle w:val="2"/>
        <w:rPr>
          <w:rFonts w:hint="default"/>
        </w:rPr>
      </w:pPr>
    </w:p>
    <w:p w14:paraId="7735FBC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hAnsi="Times New Roman" w:cs="Times New Roman"/>
          <w:sz w:val="32"/>
          <w:szCs w:val="32"/>
          <w:highlight w:val="none"/>
          <w:lang w:val="en-US" w:eastAsia="zh-CN"/>
        </w:rPr>
      </w:pPr>
      <w:bookmarkStart w:id="54" w:name="_Toc9955"/>
      <w:r>
        <w:rPr>
          <w:rFonts w:hint="eastAsia" w:cs="Times New Roman"/>
          <w:sz w:val="32"/>
          <w:szCs w:val="32"/>
          <w:highlight w:val="none"/>
          <w:lang w:val="en-US" w:eastAsia="zh-CN"/>
        </w:rPr>
        <w:t>攀枝花市自然资源和规划局西区分局</w:t>
      </w: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4</w:t>
      </w:r>
      <w:r>
        <w:rPr>
          <w:rFonts w:hint="eastAsia" w:hAnsi="Times New Roman" w:cs="Times New Roman"/>
          <w:sz w:val="32"/>
          <w:szCs w:val="32"/>
          <w:highlight w:val="none"/>
          <w:lang w:val="en-US" w:eastAsia="zh-CN"/>
        </w:rPr>
        <w:t>年度）</w:t>
      </w:r>
      <w:bookmarkEnd w:id="54"/>
    </w:p>
    <w:p w14:paraId="1158315C">
      <w:pPr>
        <w:pStyle w:val="2"/>
        <w:rPr>
          <w:rFonts w:hint="eastAsia" w:hAnsi="Times New Roman" w:cs="Times New Roman"/>
          <w:sz w:val="32"/>
          <w:szCs w:val="32"/>
          <w:highlight w:val="none"/>
          <w:lang w:val="en-US" w:eastAsia="zh-CN"/>
        </w:rPr>
      </w:pPr>
    </w:p>
    <w:p w14:paraId="3407879D">
      <w:pPr>
        <w:pStyle w:val="2"/>
        <w:rPr>
          <w:rFonts w:hint="eastAsia" w:hAnsi="Times New Roman" w:cs="Times New Roman"/>
          <w:sz w:val="32"/>
          <w:szCs w:val="32"/>
          <w:highlight w:val="none"/>
          <w:lang w:val="en-US" w:eastAsia="zh-CN"/>
        </w:rPr>
      </w:pPr>
    </w:p>
    <w:p w14:paraId="3B5E80D5">
      <w:pPr>
        <w:pStyle w:val="2"/>
        <w:rPr>
          <w:rFonts w:hint="eastAsia" w:hAnsi="Times New Roman" w:cs="Times New Roman"/>
          <w:sz w:val="32"/>
          <w:szCs w:val="32"/>
          <w:highlight w:val="none"/>
          <w:lang w:val="en-US" w:eastAsia="zh-CN"/>
        </w:rPr>
      </w:pPr>
    </w:p>
    <w:p w14:paraId="5A4C7CBA">
      <w:pPr>
        <w:pStyle w:val="2"/>
        <w:rPr>
          <w:rFonts w:hint="eastAsia" w:hAnsi="Times New Roman" w:cs="Times New Roman"/>
          <w:sz w:val="32"/>
          <w:szCs w:val="32"/>
          <w:highlight w:val="none"/>
          <w:lang w:val="en-US" w:eastAsia="zh-CN"/>
        </w:rPr>
      </w:pPr>
    </w:p>
    <w:p w14:paraId="3FC61ADC">
      <w:pPr>
        <w:pStyle w:val="2"/>
        <w:rPr>
          <w:rFonts w:hint="eastAsia" w:hAnsi="Times New Roman" w:cs="Times New Roman"/>
          <w:sz w:val="32"/>
          <w:szCs w:val="32"/>
          <w:highlight w:val="none"/>
          <w:lang w:val="en-US" w:eastAsia="zh-CN"/>
        </w:rPr>
      </w:pPr>
    </w:p>
    <w:p w14:paraId="3626DB6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0071B07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5"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0451D6E">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2"/>
      <w:bookmarkEnd w:id="55"/>
      <w:bookmarkStart w:id="56" w:name="_Toc15396619"/>
    </w:p>
    <w:p w14:paraId="1E32104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442688D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6"/>
    </w:p>
    <w:p w14:paraId="04F1994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0"/>
      <w:r>
        <w:rPr>
          <w:rFonts w:hint="eastAsia" w:ascii="Times New Roman" w:hAnsi="Times New Roman" w:eastAsia="仿宋_GB2312" w:cs="仿宋_GB2312"/>
          <w:color w:val="auto"/>
          <w:sz w:val="32"/>
          <w:szCs w:val="32"/>
          <w:highlight w:val="none"/>
        </w:rPr>
        <w:t>二、收入决算表</w:t>
      </w:r>
      <w:bookmarkEnd w:id="57"/>
    </w:p>
    <w:p w14:paraId="7E40D62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1"/>
      <w:r>
        <w:rPr>
          <w:rFonts w:hint="eastAsia" w:ascii="Times New Roman" w:hAnsi="Times New Roman" w:eastAsia="仿宋_GB2312" w:cs="仿宋_GB2312"/>
          <w:color w:val="auto"/>
          <w:sz w:val="32"/>
          <w:szCs w:val="32"/>
          <w:highlight w:val="none"/>
        </w:rPr>
        <w:t>三、支出决算表</w:t>
      </w:r>
      <w:bookmarkEnd w:id="58"/>
    </w:p>
    <w:p w14:paraId="4A94C39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2"/>
      <w:r>
        <w:rPr>
          <w:rFonts w:hint="eastAsia" w:ascii="Times New Roman" w:hAnsi="Times New Roman" w:eastAsia="仿宋_GB2312" w:cs="仿宋_GB2312"/>
          <w:color w:val="auto"/>
          <w:sz w:val="32"/>
          <w:szCs w:val="32"/>
          <w:highlight w:val="none"/>
        </w:rPr>
        <w:t>四、财政拨款收入支出决算总表</w:t>
      </w:r>
      <w:bookmarkEnd w:id="59"/>
    </w:p>
    <w:p w14:paraId="2D2574F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3"/>
      <w:r>
        <w:rPr>
          <w:rFonts w:hint="eastAsia" w:ascii="Times New Roman" w:hAnsi="Times New Roman" w:eastAsia="仿宋_GB2312" w:cs="仿宋_GB2312"/>
          <w:color w:val="auto"/>
          <w:sz w:val="32"/>
          <w:szCs w:val="32"/>
          <w:highlight w:val="none"/>
        </w:rPr>
        <w:t>五、财政拨款支出决算明细表</w:t>
      </w:r>
      <w:bookmarkEnd w:id="60"/>
      <w:bookmarkStart w:id="61" w:name="_Toc15396624"/>
    </w:p>
    <w:p w14:paraId="3454D19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1"/>
    </w:p>
    <w:p w14:paraId="65C13DE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5"/>
      <w:r>
        <w:rPr>
          <w:rFonts w:hint="eastAsia" w:ascii="Times New Roman" w:hAnsi="Times New Roman" w:eastAsia="仿宋_GB2312" w:cs="仿宋_GB2312"/>
          <w:color w:val="auto"/>
          <w:sz w:val="32"/>
          <w:szCs w:val="32"/>
          <w:highlight w:val="none"/>
        </w:rPr>
        <w:t>七、一般公共预算财政拨款支出决算明细表</w:t>
      </w:r>
      <w:bookmarkEnd w:id="62"/>
    </w:p>
    <w:p w14:paraId="64E0551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6"/>
      <w:r>
        <w:rPr>
          <w:rFonts w:hint="eastAsia" w:ascii="Times New Roman" w:hAnsi="Times New Roman" w:eastAsia="仿宋_GB2312" w:cs="仿宋_GB2312"/>
          <w:color w:val="auto"/>
          <w:sz w:val="32"/>
          <w:szCs w:val="32"/>
          <w:highlight w:val="none"/>
        </w:rPr>
        <w:t>八、一般公共预算财政拨款基本支出决算表</w:t>
      </w:r>
      <w:bookmarkEnd w:id="63"/>
    </w:p>
    <w:p w14:paraId="7F470B2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7"/>
      <w:r>
        <w:rPr>
          <w:rFonts w:hint="eastAsia" w:ascii="Times New Roman" w:hAnsi="Times New Roman" w:eastAsia="仿宋_GB2312" w:cs="仿宋_GB2312"/>
          <w:color w:val="auto"/>
          <w:sz w:val="32"/>
          <w:szCs w:val="32"/>
          <w:highlight w:val="none"/>
        </w:rPr>
        <w:t>九、一般公共预算财政拨款项目支出决算表</w:t>
      </w:r>
      <w:bookmarkEnd w:id="64"/>
    </w:p>
    <w:p w14:paraId="04EF70B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8"/>
      <w:r>
        <w:rPr>
          <w:rFonts w:hint="eastAsia" w:ascii="Times New Roman" w:hAnsi="Times New Roman" w:eastAsia="仿宋_GB2312" w:cs="仿宋_GB2312"/>
          <w:color w:val="auto"/>
          <w:sz w:val="32"/>
          <w:szCs w:val="32"/>
          <w:highlight w:val="none"/>
        </w:rPr>
        <w:t>十、</w:t>
      </w:r>
      <w:bookmarkEnd w:id="65"/>
      <w:r>
        <w:rPr>
          <w:rFonts w:hint="eastAsia" w:ascii="Times New Roman" w:hAnsi="Times New Roman" w:eastAsia="仿宋_GB2312" w:cs="仿宋_GB2312"/>
          <w:color w:val="auto"/>
          <w:sz w:val="32"/>
          <w:szCs w:val="32"/>
          <w:highlight w:val="none"/>
        </w:rPr>
        <w:t>政府性基金预算财政拨款收入支出决算表</w:t>
      </w:r>
    </w:p>
    <w:p w14:paraId="72CCAF7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9"/>
      <w:r>
        <w:rPr>
          <w:rFonts w:hint="eastAsia" w:ascii="Times New Roman" w:hAnsi="Times New Roman" w:eastAsia="仿宋_GB2312" w:cs="仿宋_GB2312"/>
          <w:color w:val="auto"/>
          <w:sz w:val="32"/>
          <w:szCs w:val="32"/>
          <w:highlight w:val="none"/>
        </w:rPr>
        <w:t>十一、</w:t>
      </w:r>
      <w:bookmarkEnd w:id="66"/>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0202685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30"/>
      <w:r>
        <w:rPr>
          <w:rFonts w:hint="eastAsia" w:ascii="Times New Roman" w:hAnsi="Times New Roman" w:eastAsia="仿宋_GB2312" w:cs="仿宋_GB2312"/>
          <w:color w:val="auto"/>
          <w:sz w:val="32"/>
          <w:szCs w:val="32"/>
          <w:highlight w:val="none"/>
        </w:rPr>
        <w:t>十二、</w:t>
      </w:r>
      <w:bookmarkEnd w:id="67"/>
      <w:r>
        <w:rPr>
          <w:rFonts w:hint="eastAsia" w:ascii="Times New Roman" w:hAnsi="Times New Roman" w:eastAsia="仿宋_GB2312" w:cs="仿宋_GB2312"/>
          <w:color w:val="auto"/>
          <w:sz w:val="32"/>
          <w:szCs w:val="32"/>
          <w:highlight w:val="none"/>
          <w:lang w:eastAsia="zh-CN"/>
        </w:rPr>
        <w:t>国有资本经营预算财政拨款支出决算表</w:t>
      </w:r>
    </w:p>
    <w:p w14:paraId="01E5ED4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8" w:name="_Toc15396631"/>
      <w:r>
        <w:rPr>
          <w:rFonts w:hint="eastAsia" w:ascii="Times New Roman" w:hAnsi="Times New Roman" w:eastAsia="仿宋_GB2312" w:cs="仿宋_GB2312"/>
          <w:color w:val="auto"/>
          <w:sz w:val="32"/>
          <w:szCs w:val="32"/>
          <w:highlight w:val="none"/>
        </w:rPr>
        <w:t>十三、</w:t>
      </w:r>
      <w:bookmarkEnd w:id="68"/>
      <w:r>
        <w:rPr>
          <w:rFonts w:hint="eastAsia" w:ascii="Times New Roman" w:hAnsi="Times New Roman" w:eastAsia="仿宋_GB2312" w:cs="仿宋_GB2312"/>
          <w:color w:val="auto"/>
          <w:sz w:val="32"/>
          <w:szCs w:val="32"/>
          <w:highlight w:val="none"/>
          <w:lang w:eastAsia="zh-CN"/>
        </w:rPr>
        <w:t>财政拨款“三公”经费支出决算表</w:t>
      </w:r>
    </w:p>
    <w:p w14:paraId="18FD3C26">
      <w:pPr>
        <w:rPr>
          <w:rFonts w:hint="eastAsia" w:ascii="Times New Roman" w:hAnsi="Times New Roman"/>
          <w:lang w:eastAsia="zh-CN"/>
        </w:rPr>
      </w:pPr>
    </w:p>
    <w:sectPr>
      <w:footerReference r:id="rId6" w:type="first"/>
      <w:headerReference r:id="rId4" w:type="defaul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0F08">
    <w:pPr>
      <w:pStyle w:val="3"/>
      <w:jc w:val="center"/>
    </w:pPr>
  </w:p>
  <w:p w14:paraId="62BCFBC6">
    <w:pPr>
      <w:pStyle w:val="3"/>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AD16">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D875B">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8D875B">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4A4182E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94D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02E4B">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302E4B">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314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368E0"/>
    <w:multiLevelType w:val="singleLevel"/>
    <w:tmpl w:val="81F368E0"/>
    <w:lvl w:ilvl="0" w:tentative="0">
      <w:start w:val="1"/>
      <w:numFmt w:val="chineseCounting"/>
      <w:suff w:val="nothing"/>
      <w:lvlText w:val="%1、"/>
      <w:lvlJc w:val="left"/>
      <w:rPr>
        <w:rFonts w:hint="eastAsia"/>
      </w:rPr>
    </w:lvl>
  </w:abstractNum>
  <w:abstractNum w:abstractNumId="1">
    <w:nsid w:val="37F503EF"/>
    <w:multiLevelType w:val="singleLevel"/>
    <w:tmpl w:val="37F503EF"/>
    <w:lvl w:ilvl="0" w:tentative="0">
      <w:start w:val="1"/>
      <w:numFmt w:val="decimal"/>
      <w:lvlText w:val="%1."/>
      <w:lvlJc w:val="left"/>
      <w:pPr>
        <w:tabs>
          <w:tab w:val="left" w:pos="312"/>
        </w:tabs>
      </w:pPr>
    </w:lvl>
  </w:abstractNum>
  <w:abstractNum w:abstractNumId="2">
    <w:nsid w:val="7889A4B7"/>
    <w:multiLevelType w:val="singleLevel"/>
    <w:tmpl w:val="7889A4B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57E3"/>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0016E9"/>
    <w:rsid w:val="02FEBE30"/>
    <w:rsid w:val="04916F1E"/>
    <w:rsid w:val="061E35DE"/>
    <w:rsid w:val="066E0107"/>
    <w:rsid w:val="06CF5A14"/>
    <w:rsid w:val="076F6668"/>
    <w:rsid w:val="07996F6E"/>
    <w:rsid w:val="07DFD8BA"/>
    <w:rsid w:val="09867E8F"/>
    <w:rsid w:val="0A2032A3"/>
    <w:rsid w:val="0CA8290A"/>
    <w:rsid w:val="0D35B1ED"/>
    <w:rsid w:val="0E254B6B"/>
    <w:rsid w:val="0F98263C"/>
    <w:rsid w:val="101860EC"/>
    <w:rsid w:val="101F47CC"/>
    <w:rsid w:val="10C055FF"/>
    <w:rsid w:val="11694EBD"/>
    <w:rsid w:val="11772AA4"/>
    <w:rsid w:val="118107EC"/>
    <w:rsid w:val="122364B4"/>
    <w:rsid w:val="12E24EE2"/>
    <w:rsid w:val="13D50BC4"/>
    <w:rsid w:val="14024ED8"/>
    <w:rsid w:val="147B2A31"/>
    <w:rsid w:val="14B17F78"/>
    <w:rsid w:val="165E0673"/>
    <w:rsid w:val="16B831D5"/>
    <w:rsid w:val="16BB723D"/>
    <w:rsid w:val="17E50567"/>
    <w:rsid w:val="186504BB"/>
    <w:rsid w:val="19A445FC"/>
    <w:rsid w:val="1BE8440E"/>
    <w:rsid w:val="1C263E6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7B6E54"/>
    <w:rsid w:val="29FD04D3"/>
    <w:rsid w:val="2BFF7BC6"/>
    <w:rsid w:val="2C8A61B5"/>
    <w:rsid w:val="2DF04E50"/>
    <w:rsid w:val="2E586DFA"/>
    <w:rsid w:val="2F040D46"/>
    <w:rsid w:val="2F6B035B"/>
    <w:rsid w:val="2FAE5751"/>
    <w:rsid w:val="2FB1A395"/>
    <w:rsid w:val="2FD9A7D8"/>
    <w:rsid w:val="2FDBF714"/>
    <w:rsid w:val="30595F39"/>
    <w:rsid w:val="30AB6865"/>
    <w:rsid w:val="319F7F4E"/>
    <w:rsid w:val="32BD1EF1"/>
    <w:rsid w:val="3304709D"/>
    <w:rsid w:val="33A773CB"/>
    <w:rsid w:val="349D6851"/>
    <w:rsid w:val="359B77E0"/>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01B0614"/>
    <w:rsid w:val="414D2975"/>
    <w:rsid w:val="44E268DA"/>
    <w:rsid w:val="450D13D7"/>
    <w:rsid w:val="45506656"/>
    <w:rsid w:val="486A6C7A"/>
    <w:rsid w:val="48DD5069"/>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9B27B15"/>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3B686F"/>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CA6DC7"/>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styleId="3">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8"/>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3"/>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5749</Words>
  <Characters>6286</Characters>
  <Lines>61</Lines>
  <Paragraphs>17</Paragraphs>
  <TotalTime>5</TotalTime>
  <ScaleCrop>false</ScaleCrop>
  <LinksUpToDate>false</LinksUpToDate>
  <CharactersWithSpaces>6354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leelyeel</cp:lastModifiedBy>
  <cp:lastPrinted>2025-08-06T17:34:00Z</cp:lastPrinted>
  <dcterms:modified xsi:type="dcterms:W3CDTF">2025-09-12T01:25:17Z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