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4A46D">
      <w:pPr>
        <w:pStyle w:val="2"/>
        <w:spacing w:before="93"/>
        <w:rPr>
          <w:rFonts w:ascii="Times New Roman" w:eastAsia="方正小标宋简体"/>
          <w:kern w:val="2"/>
          <w:sz w:val="72"/>
          <w:szCs w:val="72"/>
        </w:rPr>
      </w:pPr>
      <w:bookmarkStart w:id="0" w:name="_Toc15377425"/>
      <w:bookmarkStart w:id="1" w:name="_Toc15378441"/>
      <w:bookmarkStart w:id="2" w:name="_Toc15377193"/>
      <w:bookmarkStart w:id="3" w:name="_Toc15396597"/>
      <w:bookmarkStart w:id="4" w:name="_Toc15396475"/>
      <w:bookmarkStart w:id="5" w:name="_Toc15306267"/>
    </w:p>
    <w:p w14:paraId="37ECF89B">
      <w:pPr>
        <w:pStyle w:val="2"/>
        <w:spacing w:before="93"/>
        <w:rPr>
          <w:rFonts w:ascii="Times New Roman" w:eastAsia="方正小标宋简体"/>
          <w:kern w:val="2"/>
          <w:sz w:val="72"/>
          <w:szCs w:val="72"/>
        </w:rPr>
      </w:pPr>
    </w:p>
    <w:p w14:paraId="262A5C95">
      <w:pPr>
        <w:pStyle w:val="2"/>
        <w:spacing w:before="93"/>
        <w:rPr>
          <w:rFonts w:ascii="Times New Roman" w:eastAsia="方正小标宋简体"/>
          <w:kern w:val="2"/>
          <w:sz w:val="72"/>
          <w:szCs w:val="72"/>
        </w:rPr>
      </w:pPr>
    </w:p>
    <w:p w14:paraId="2BBAA44A">
      <w:pPr>
        <w:pStyle w:val="2"/>
        <w:spacing w:before="93"/>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2024年度</w:t>
      </w:r>
      <w:r>
        <w:rPr>
          <w:rFonts w:hint="eastAsia" w:ascii="Times New Roman" w:eastAsia="方正小标宋简体"/>
          <w:kern w:val="2"/>
          <w:sz w:val="44"/>
          <w:szCs w:val="44"/>
          <w:lang w:val="en-US" w:eastAsia="zh-CN"/>
        </w:rPr>
        <w:t>四川省</w:t>
      </w:r>
      <w:r>
        <w:rPr>
          <w:rFonts w:hint="eastAsia" w:ascii="Times New Roman" w:eastAsia="方正小标宋简体"/>
          <w:kern w:val="2"/>
          <w:sz w:val="44"/>
          <w:szCs w:val="44"/>
          <w:lang w:eastAsia="zh-CN"/>
        </w:rPr>
        <w:t>攀枝花市不动产登记中心</w:t>
      </w:r>
    </w:p>
    <w:p w14:paraId="5C2B54F1">
      <w:pPr>
        <w:pStyle w:val="2"/>
        <w:spacing w:before="93"/>
        <w:jc w:val="center"/>
        <w:rPr>
          <w:rFonts w:ascii="Times New Roman" w:eastAsia="方正小标宋简体"/>
          <w:kern w:val="2"/>
          <w:sz w:val="44"/>
          <w:szCs w:val="44"/>
        </w:rPr>
      </w:pPr>
      <w:r>
        <w:rPr>
          <w:rFonts w:hint="eastAsia" w:ascii="Times New Roman" w:eastAsia="方正小标宋简体"/>
          <w:kern w:val="2"/>
          <w:sz w:val="44"/>
          <w:szCs w:val="44"/>
        </w:rPr>
        <w:t>单位决算公开文字说明</w:t>
      </w:r>
    </w:p>
    <w:p w14:paraId="40466F18">
      <w:pPr>
        <w:spacing w:line="600" w:lineRule="exact"/>
        <w:jc w:val="center"/>
        <w:outlineLvl w:val="0"/>
        <w:rPr>
          <w:rFonts w:eastAsia="方正小标宋简体"/>
          <w:sz w:val="72"/>
          <w:szCs w:val="72"/>
        </w:rPr>
      </w:pPr>
    </w:p>
    <w:p w14:paraId="6DBB658D">
      <w:pPr>
        <w:pStyle w:val="19"/>
        <w:rPr>
          <w:rFonts w:ascii="Times New Roman" w:hAnsi="Times New Roman"/>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14:paraId="1597E005"/>
    <w:p w14:paraId="64AE5888">
      <w:pPr>
        <w:pStyle w:val="2"/>
        <w:spacing w:before="93"/>
        <w:jc w:val="both"/>
        <w:rPr>
          <w:rFonts w:ascii="Times New Roman" w:eastAsia="方正小标宋简体"/>
          <w:kern w:val="2"/>
          <w:sz w:val="44"/>
          <w:szCs w:val="44"/>
        </w:rPr>
      </w:pPr>
    </w:p>
    <w:bookmarkEnd w:id="0"/>
    <w:bookmarkEnd w:id="1"/>
    <w:bookmarkEnd w:id="2"/>
    <w:bookmarkEnd w:id="3"/>
    <w:bookmarkEnd w:id="4"/>
    <w:p w14:paraId="583EA2C1">
      <w:pPr>
        <w:pStyle w:val="2"/>
        <w:spacing w:before="93"/>
        <w:ind w:left="440" w:hanging="440" w:hangingChars="100"/>
        <w:jc w:val="center"/>
        <w:rPr>
          <w:rFonts w:hint="eastAsia" w:ascii="Times New Roman" w:eastAsia="方正小标宋简体"/>
          <w:kern w:val="2"/>
          <w:sz w:val="44"/>
          <w:szCs w:val="44"/>
        </w:rPr>
      </w:pPr>
      <w:bookmarkStart w:id="6" w:name="_Toc15378442"/>
      <w:bookmarkStart w:id="7" w:name="_Toc15396476"/>
      <w:bookmarkStart w:id="8" w:name="_Toc15377194"/>
      <w:bookmarkStart w:id="9" w:name="_Toc15396598"/>
      <w:bookmarkStart w:id="10" w:name="_Toc15377426"/>
      <w:r>
        <w:rPr>
          <w:rFonts w:hint="eastAsia" w:ascii="Times New Roman" w:eastAsia="方正小标宋简体"/>
          <w:kern w:val="2"/>
          <w:sz w:val="44"/>
          <w:szCs w:val="44"/>
        </w:rPr>
        <w:t>2024年度</w:t>
      </w:r>
    </w:p>
    <w:p w14:paraId="47D27149">
      <w:pPr>
        <w:pStyle w:val="2"/>
        <w:spacing w:before="93"/>
        <w:ind w:left="440" w:hanging="440" w:hangingChars="100"/>
        <w:jc w:val="center"/>
        <w:rPr>
          <w:rFonts w:hint="eastAsia" w:ascii="Times New Roman" w:eastAsia="方正小标宋简体"/>
          <w:kern w:val="2"/>
          <w:sz w:val="44"/>
          <w:szCs w:val="44"/>
          <w:lang w:eastAsia="zh-CN"/>
        </w:rPr>
      </w:pPr>
      <w:r>
        <w:rPr>
          <w:rFonts w:hint="eastAsia" w:ascii="Times New Roman" w:eastAsia="方正小标宋简体"/>
          <w:kern w:val="2"/>
          <w:sz w:val="44"/>
          <w:szCs w:val="44"/>
        </w:rPr>
        <w:t>四川省</w:t>
      </w:r>
      <w:bookmarkEnd w:id="5"/>
      <w:bookmarkStart w:id="11" w:name="_Toc15306268"/>
      <w:r>
        <w:rPr>
          <w:rFonts w:hint="eastAsia" w:ascii="Times New Roman" w:eastAsia="方正小标宋简体"/>
          <w:kern w:val="2"/>
          <w:sz w:val="44"/>
          <w:szCs w:val="44"/>
          <w:lang w:eastAsia="zh-CN"/>
        </w:rPr>
        <w:t>攀枝花市不动产登记中心</w:t>
      </w:r>
    </w:p>
    <w:p w14:paraId="2ECA63FB">
      <w:pPr>
        <w:pStyle w:val="2"/>
        <w:spacing w:before="93"/>
        <w:ind w:left="440" w:hanging="440" w:hangingChars="100"/>
        <w:jc w:val="center"/>
        <w:rPr>
          <w:rFonts w:ascii="Times New Roman" w:eastAsia="方正小标宋简体"/>
          <w:kern w:val="2"/>
          <w:sz w:val="44"/>
          <w:szCs w:val="44"/>
        </w:rPr>
      </w:pPr>
      <w:r>
        <w:rPr>
          <w:rFonts w:hint="eastAsia" w:ascii="Times New Roman" w:eastAsia="方正小标宋简体"/>
          <w:kern w:val="2"/>
          <w:sz w:val="44"/>
          <w:szCs w:val="44"/>
          <w:lang w:eastAsia="zh-CN"/>
        </w:rPr>
        <w:t>单位</w:t>
      </w:r>
      <w:r>
        <w:rPr>
          <w:rFonts w:hint="eastAsia" w:ascii="Times New Roman" w:eastAsia="方正小标宋简体"/>
          <w:kern w:val="2"/>
          <w:sz w:val="44"/>
          <w:szCs w:val="44"/>
        </w:rPr>
        <w:t>决算</w:t>
      </w:r>
      <w:bookmarkEnd w:id="6"/>
      <w:bookmarkEnd w:id="7"/>
      <w:bookmarkEnd w:id="8"/>
      <w:bookmarkEnd w:id="9"/>
      <w:bookmarkEnd w:id="10"/>
      <w:bookmarkEnd w:id="11"/>
    </w:p>
    <w:p w14:paraId="2A4FEED1">
      <w:pPr>
        <w:widowControl/>
        <w:jc w:val="center"/>
        <w:rPr>
          <w:rFonts w:hint="eastAsia" w:eastAsia="黑体"/>
          <w:sz w:val="48"/>
          <w:szCs w:val="48"/>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p>
    <w:p w14:paraId="2747F4B5">
      <w:pPr>
        <w:widowControl/>
        <w:jc w:val="center"/>
        <w:rPr>
          <w:rFonts w:eastAsia="黑体"/>
          <w:sz w:val="48"/>
          <w:szCs w:val="48"/>
        </w:rPr>
      </w:pPr>
      <w:r>
        <w:rPr>
          <w:rFonts w:hint="eastAsia" w:eastAsia="黑体"/>
          <w:sz w:val="48"/>
          <w:szCs w:val="48"/>
        </w:rPr>
        <w:t>目录</w:t>
      </w:r>
    </w:p>
    <w:p w14:paraId="72832D68">
      <w:pPr>
        <w:widowControl/>
        <w:jc w:val="center"/>
        <w:rPr>
          <w:rFonts w:eastAsia="黑体" w:cstheme="minorBidi"/>
          <w:sz w:val="28"/>
          <w:szCs w:val="28"/>
        </w:rPr>
      </w:pPr>
    </w:p>
    <w:p w14:paraId="0BA771FC">
      <w:pPr>
        <w:pStyle w:val="12"/>
        <w:rPr>
          <w:rFonts w:ascii="Times New Roman" w:hAnsi="Times New Roman" w:eastAsia="仿宋_GB2312" w:cs="仿宋_GB2312"/>
          <w:sz w:val="32"/>
          <w:szCs w:val="32"/>
        </w:rPr>
      </w:pPr>
      <w:r>
        <w:rPr>
          <w:rFonts w:hint="eastAsia" w:ascii="Times New Roman" w:hAnsi="Times New Roman" w:eastAsia="仿宋_GB2312" w:cs="仿宋_GB2312"/>
          <w:sz w:val="32"/>
          <w:szCs w:val="32"/>
        </w:rPr>
        <w:t>公开时间：202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日</w:t>
      </w:r>
    </w:p>
    <w:p w14:paraId="1470F2D9"/>
    <w:p w14:paraId="381D4EAB">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 xml:space="preserve">第一部分 </w:t>
      </w:r>
      <w:r>
        <w:rPr>
          <w:rFonts w:hint="eastAsia" w:ascii="Times New Roman" w:hAnsi="Times New Roman" w:eastAsia="黑体" w:cs="黑体"/>
          <w:sz w:val="32"/>
          <w:szCs w:val="32"/>
          <w:lang w:eastAsia="zh-CN"/>
        </w:rPr>
        <w:t>单位</w:t>
      </w:r>
      <w:r>
        <w:rPr>
          <w:rFonts w:hint="eastAsia" w:ascii="Times New Roman" w:hAnsi="Times New Roman" w:eastAsia="黑体" w:cs="黑体"/>
          <w:sz w:val="32"/>
          <w:szCs w:val="32"/>
        </w:rPr>
        <w:t>概况</w:t>
      </w:r>
      <w:r>
        <w:rPr>
          <w:rFonts w:ascii="Times New Roman" w:hAnsi="Times New Roman"/>
          <w:sz w:val="24"/>
          <w:szCs w:val="24"/>
        </w:rPr>
        <w:tab/>
      </w:r>
      <w:r>
        <w:rPr>
          <w:rFonts w:hint="eastAsia" w:ascii="Times New Roman" w:hAnsi="Times New Roman"/>
          <w:sz w:val="24"/>
          <w:szCs w:val="24"/>
          <w:lang w:val="en-US" w:eastAsia="zh-CN"/>
        </w:rPr>
        <w:t>3</w:t>
      </w:r>
    </w:p>
    <w:p w14:paraId="3AB730FF">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w:t>
      </w:r>
      <w:r>
        <w:rPr>
          <w:rFonts w:hint="eastAsia" w:eastAsia="仿宋_GB2312" w:cs="仿宋_GB2312"/>
          <w:sz w:val="32"/>
          <w:szCs w:val="32"/>
          <w:lang w:eastAsia="zh-CN"/>
        </w:rPr>
        <w:t>单位</w:t>
      </w:r>
      <w:r>
        <w:rPr>
          <w:rFonts w:hint="eastAsia" w:eastAsia="仿宋_GB2312" w:cs="仿宋_GB2312"/>
          <w:sz w:val="32"/>
          <w:szCs w:val="32"/>
        </w:rPr>
        <w:t>职责</w:t>
      </w:r>
      <w:r>
        <w:rPr>
          <w:rFonts w:ascii="Times New Roman" w:hAnsi="Times New Roman"/>
          <w:sz w:val="24"/>
          <w:szCs w:val="24"/>
        </w:rPr>
        <w:tab/>
      </w:r>
      <w:r>
        <w:rPr>
          <w:rFonts w:hint="eastAsia"/>
          <w:sz w:val="24"/>
          <w:szCs w:val="24"/>
          <w:lang w:val="en-US" w:eastAsia="zh-CN"/>
        </w:rPr>
        <w:t>3</w:t>
      </w:r>
    </w:p>
    <w:p w14:paraId="637C5AC4">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二、机构设置</w:t>
      </w:r>
      <w:r>
        <w:rPr>
          <w:rFonts w:ascii="Times New Roman" w:hAnsi="Times New Roman"/>
          <w:sz w:val="24"/>
          <w:szCs w:val="24"/>
        </w:rPr>
        <w:tab/>
      </w:r>
      <w:r>
        <w:rPr>
          <w:rFonts w:hint="eastAsia"/>
          <w:sz w:val="24"/>
          <w:szCs w:val="24"/>
          <w:lang w:val="en-US" w:eastAsia="zh-CN"/>
        </w:rPr>
        <w:t>3</w:t>
      </w:r>
    </w:p>
    <w:p w14:paraId="1FCE9EC8">
      <w:pPr>
        <w:pStyle w:val="12"/>
        <w:adjustRightInd w:val="0"/>
        <w:snapToGrid w:val="0"/>
        <w:spacing w:before="0" w:line="560" w:lineRule="exact"/>
        <w:jc w:val="left"/>
        <w:rPr>
          <w:rFonts w:hint="eastAsia" w:ascii="Times New Roman" w:hAnsi="Times New Roman" w:eastAsia="仿宋" w:cs="黑体"/>
          <w:sz w:val="32"/>
          <w:szCs w:val="32"/>
          <w:lang w:val="en-US" w:eastAsia="zh-CN"/>
        </w:rPr>
      </w:pPr>
      <w:r>
        <w:rPr>
          <w:rFonts w:hint="eastAsia" w:ascii="Times New Roman" w:hAnsi="Times New Roman" w:eastAsia="黑体" w:cs="黑体"/>
          <w:sz w:val="32"/>
          <w:szCs w:val="32"/>
        </w:rPr>
        <w:t>第二部分 2024年度</w:t>
      </w:r>
      <w:r>
        <w:rPr>
          <w:rFonts w:hint="eastAsia" w:ascii="Times New Roman" w:hAnsi="Times New Roman" w:eastAsia="黑体" w:cs="黑体"/>
          <w:sz w:val="32"/>
          <w:szCs w:val="32"/>
          <w:lang w:eastAsia="zh-CN"/>
        </w:rPr>
        <w:t>单位</w:t>
      </w:r>
      <w:r>
        <w:rPr>
          <w:rFonts w:hint="eastAsia" w:ascii="Times New Roman" w:hAnsi="Times New Roman" w:eastAsia="黑体" w:cs="黑体"/>
          <w:sz w:val="32"/>
          <w:szCs w:val="32"/>
        </w:rPr>
        <w:t>决算情况说明</w:t>
      </w:r>
      <w:r>
        <w:rPr>
          <w:rFonts w:ascii="Times New Roman" w:hAnsi="Times New Roman"/>
          <w:sz w:val="24"/>
          <w:szCs w:val="24"/>
        </w:rPr>
        <w:tab/>
      </w:r>
      <w:r>
        <w:rPr>
          <w:rFonts w:hint="eastAsia" w:ascii="Times New Roman" w:hAnsi="Times New Roman"/>
          <w:sz w:val="24"/>
          <w:szCs w:val="24"/>
          <w:lang w:val="en-US" w:eastAsia="zh-CN"/>
        </w:rPr>
        <w:t>4</w:t>
      </w:r>
    </w:p>
    <w:p w14:paraId="3E94B77F">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一、收入支出决算总体情况说明</w:t>
      </w:r>
      <w:r>
        <w:rPr>
          <w:rFonts w:ascii="Times New Roman" w:hAnsi="Times New Roman"/>
          <w:sz w:val="24"/>
          <w:szCs w:val="24"/>
        </w:rPr>
        <w:tab/>
      </w:r>
      <w:r>
        <w:rPr>
          <w:rFonts w:hint="eastAsia"/>
          <w:sz w:val="24"/>
          <w:szCs w:val="24"/>
          <w:lang w:val="en-US" w:eastAsia="zh-CN"/>
        </w:rPr>
        <w:t>4</w:t>
      </w:r>
    </w:p>
    <w:p w14:paraId="0FFFCE83">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二、收入决算情况说明</w:t>
      </w:r>
      <w:r>
        <w:rPr>
          <w:rFonts w:ascii="Times New Roman" w:hAnsi="Times New Roman"/>
          <w:sz w:val="24"/>
          <w:szCs w:val="24"/>
        </w:rPr>
        <w:tab/>
      </w:r>
      <w:r>
        <w:rPr>
          <w:rFonts w:hint="eastAsia"/>
          <w:sz w:val="24"/>
          <w:szCs w:val="24"/>
          <w:lang w:val="en-US" w:eastAsia="zh-CN"/>
        </w:rPr>
        <w:t>4</w:t>
      </w:r>
    </w:p>
    <w:p w14:paraId="744FF981">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三、支出决算情况说明</w:t>
      </w:r>
      <w:r>
        <w:rPr>
          <w:rFonts w:ascii="Times New Roman" w:hAnsi="Times New Roman"/>
          <w:sz w:val="24"/>
          <w:szCs w:val="24"/>
        </w:rPr>
        <w:tab/>
      </w:r>
      <w:r>
        <w:rPr>
          <w:rFonts w:hint="eastAsia"/>
          <w:sz w:val="24"/>
          <w:szCs w:val="24"/>
          <w:lang w:val="en-US" w:eastAsia="zh-CN"/>
        </w:rPr>
        <w:t>5</w:t>
      </w:r>
    </w:p>
    <w:p w14:paraId="5706B106">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四、财政拨款收入支出决算总体情况说明</w:t>
      </w:r>
      <w:r>
        <w:rPr>
          <w:rFonts w:ascii="Times New Roman" w:hAnsi="Times New Roman"/>
          <w:sz w:val="24"/>
          <w:szCs w:val="24"/>
        </w:rPr>
        <w:tab/>
      </w:r>
      <w:r>
        <w:rPr>
          <w:rFonts w:hint="eastAsia"/>
          <w:sz w:val="24"/>
          <w:szCs w:val="24"/>
          <w:lang w:val="en-US" w:eastAsia="zh-CN"/>
        </w:rPr>
        <w:t>6</w:t>
      </w:r>
    </w:p>
    <w:p w14:paraId="3C67724B">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五、一般公共预算财政拨款支出决算情况说明</w:t>
      </w:r>
      <w:r>
        <w:rPr>
          <w:rFonts w:ascii="Times New Roman" w:hAnsi="Times New Roman"/>
          <w:sz w:val="24"/>
          <w:szCs w:val="24"/>
        </w:rPr>
        <w:tab/>
      </w:r>
      <w:r>
        <w:rPr>
          <w:rFonts w:hint="eastAsia"/>
          <w:sz w:val="24"/>
          <w:szCs w:val="24"/>
          <w:lang w:val="en-US" w:eastAsia="zh-CN"/>
        </w:rPr>
        <w:t>6</w:t>
      </w:r>
    </w:p>
    <w:p w14:paraId="66843A7D">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六、一般公共预算财政拨款基本支出决算情况说明</w:t>
      </w:r>
      <w:r>
        <w:rPr>
          <w:rFonts w:ascii="Times New Roman" w:hAnsi="Times New Roman"/>
          <w:sz w:val="24"/>
          <w:szCs w:val="24"/>
        </w:rPr>
        <w:tab/>
      </w:r>
      <w:r>
        <w:rPr>
          <w:rFonts w:hint="eastAsia"/>
          <w:sz w:val="24"/>
          <w:szCs w:val="24"/>
          <w:lang w:val="en-US" w:eastAsia="zh-CN"/>
        </w:rPr>
        <w:t>9</w:t>
      </w:r>
    </w:p>
    <w:p w14:paraId="7FE825D2">
      <w:pPr>
        <w:pStyle w:val="14"/>
        <w:adjustRightInd w:val="0"/>
        <w:snapToGrid w:val="0"/>
        <w:spacing w:line="560" w:lineRule="exact"/>
        <w:ind w:left="0" w:leftChars="0" w:firstLine="640" w:firstLineChars="200"/>
        <w:jc w:val="left"/>
        <w:rPr>
          <w:rFonts w:hint="eastAsia" w:eastAsia="宋体" w:cs="仿宋_GB2312"/>
          <w:sz w:val="32"/>
          <w:szCs w:val="32"/>
          <w:lang w:val="en-US" w:eastAsia="zh-CN"/>
        </w:rPr>
      </w:pPr>
      <w:r>
        <w:rPr>
          <w:rFonts w:hint="eastAsia" w:eastAsia="仿宋_GB2312" w:cs="仿宋_GB2312"/>
          <w:sz w:val="32"/>
          <w:szCs w:val="32"/>
        </w:rPr>
        <w:t>七、财政拨款“三公”经费支出决算情况说明</w:t>
      </w:r>
      <w:r>
        <w:rPr>
          <w:rFonts w:ascii="Times New Roman" w:hAnsi="Times New Roman"/>
          <w:sz w:val="24"/>
          <w:szCs w:val="24"/>
        </w:rPr>
        <w:tab/>
      </w:r>
      <w:r>
        <w:rPr>
          <w:rFonts w:hint="eastAsia"/>
          <w:sz w:val="24"/>
          <w:szCs w:val="24"/>
          <w:lang w:val="en-US" w:eastAsia="zh-CN"/>
        </w:rPr>
        <w:t>9</w:t>
      </w:r>
    </w:p>
    <w:p w14:paraId="4AFEF7B7">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八、政府性基金预算支出决算情况说明</w:t>
      </w:r>
      <w:r>
        <w:rPr>
          <w:rFonts w:ascii="Times New Roman" w:hAnsi="Times New Roman"/>
          <w:sz w:val="24"/>
          <w:szCs w:val="24"/>
        </w:rPr>
        <w:tab/>
      </w:r>
      <w:r>
        <w:rPr>
          <w:rFonts w:hint="eastAsia"/>
          <w:sz w:val="24"/>
          <w:szCs w:val="24"/>
          <w:lang w:val="en-US" w:eastAsia="zh-CN"/>
        </w:rPr>
        <w:t>11</w:t>
      </w:r>
    </w:p>
    <w:p w14:paraId="099BB227">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九、国有资本经营预算支出决算情况说明</w:t>
      </w:r>
      <w:r>
        <w:rPr>
          <w:rFonts w:ascii="Times New Roman" w:hAnsi="Times New Roman"/>
          <w:sz w:val="24"/>
          <w:szCs w:val="24"/>
        </w:rPr>
        <w:tab/>
      </w:r>
      <w:r>
        <w:rPr>
          <w:rFonts w:hint="eastAsia"/>
          <w:sz w:val="24"/>
          <w:szCs w:val="24"/>
          <w:lang w:val="en-US" w:eastAsia="zh-CN"/>
        </w:rPr>
        <w:t>12</w:t>
      </w:r>
    </w:p>
    <w:p w14:paraId="43585F26">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十、其他重要事项的情况说明</w:t>
      </w:r>
      <w:r>
        <w:rPr>
          <w:rFonts w:ascii="Times New Roman" w:hAnsi="Times New Roman"/>
          <w:sz w:val="24"/>
          <w:szCs w:val="24"/>
        </w:rPr>
        <w:tab/>
      </w:r>
      <w:r>
        <w:rPr>
          <w:rFonts w:hint="eastAsia"/>
          <w:sz w:val="24"/>
          <w:szCs w:val="24"/>
          <w:lang w:val="en-US" w:eastAsia="zh-CN"/>
        </w:rPr>
        <w:t>12</w:t>
      </w:r>
    </w:p>
    <w:p w14:paraId="5A692667">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第三部分 名词解释</w:t>
      </w:r>
      <w:r>
        <w:rPr>
          <w:rFonts w:ascii="Times New Roman" w:hAnsi="Times New Roman"/>
          <w:sz w:val="24"/>
          <w:szCs w:val="24"/>
        </w:rPr>
        <w:tab/>
      </w:r>
      <w:r>
        <w:rPr>
          <w:rFonts w:hint="eastAsia" w:ascii="Times New Roman" w:hAnsi="Times New Roman"/>
          <w:sz w:val="24"/>
          <w:szCs w:val="24"/>
          <w:lang w:val="en-US" w:eastAsia="zh-CN"/>
        </w:rPr>
        <w:t>14</w:t>
      </w:r>
    </w:p>
    <w:p w14:paraId="1208E862">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第四部分 附件</w:t>
      </w:r>
      <w:r>
        <w:rPr>
          <w:rFonts w:ascii="Times New Roman" w:hAnsi="Times New Roman"/>
          <w:sz w:val="24"/>
          <w:szCs w:val="24"/>
        </w:rPr>
        <w:tab/>
      </w:r>
      <w:r>
        <w:rPr>
          <w:rFonts w:hint="eastAsia" w:ascii="Times New Roman" w:hAnsi="Times New Roman"/>
          <w:sz w:val="24"/>
          <w:szCs w:val="24"/>
          <w:lang w:val="en-US" w:eastAsia="zh-CN"/>
        </w:rPr>
        <w:t>17</w:t>
      </w:r>
    </w:p>
    <w:p w14:paraId="4404BA26">
      <w:pPr>
        <w:pStyle w:val="12"/>
        <w:adjustRightInd w:val="0"/>
        <w:snapToGrid w:val="0"/>
        <w:spacing w:before="0" w:line="560" w:lineRule="exact"/>
        <w:jc w:val="left"/>
        <w:rPr>
          <w:rFonts w:hint="default" w:ascii="Times New Roman" w:hAnsi="Times New Roman" w:eastAsia="仿宋" w:cs="黑体"/>
          <w:sz w:val="32"/>
          <w:szCs w:val="32"/>
          <w:lang w:val="en-US" w:eastAsia="zh-CN"/>
        </w:rPr>
      </w:pPr>
      <w:r>
        <w:rPr>
          <w:rFonts w:hint="eastAsia" w:ascii="Times New Roman" w:hAnsi="Times New Roman" w:eastAsia="黑体" w:cs="黑体"/>
          <w:sz w:val="32"/>
          <w:szCs w:val="32"/>
        </w:rPr>
        <w:t>第五部分 附表</w:t>
      </w:r>
      <w:r>
        <w:rPr>
          <w:rFonts w:ascii="Times New Roman" w:hAnsi="Times New Roman"/>
          <w:sz w:val="24"/>
          <w:szCs w:val="24"/>
        </w:rPr>
        <w:tab/>
      </w:r>
      <w:r>
        <w:rPr>
          <w:rFonts w:hint="eastAsia" w:ascii="Times New Roman" w:hAnsi="Times New Roman"/>
          <w:sz w:val="24"/>
          <w:szCs w:val="24"/>
          <w:lang w:val="en-US" w:eastAsia="zh-CN"/>
        </w:rPr>
        <w:t>18</w:t>
      </w:r>
    </w:p>
    <w:p w14:paraId="2AC3D7FB">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一、收入支出决算总表</w:t>
      </w:r>
      <w:r>
        <w:rPr>
          <w:rFonts w:ascii="Times New Roman" w:hAnsi="Times New Roman"/>
          <w:sz w:val="24"/>
          <w:szCs w:val="24"/>
        </w:rPr>
        <w:tab/>
      </w:r>
      <w:r>
        <w:rPr>
          <w:rFonts w:hint="eastAsia"/>
          <w:sz w:val="24"/>
          <w:szCs w:val="24"/>
          <w:lang w:val="en-US" w:eastAsia="zh-CN"/>
        </w:rPr>
        <w:t>18</w:t>
      </w:r>
    </w:p>
    <w:p w14:paraId="68099B45">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二、收入决算表</w:t>
      </w:r>
      <w:r>
        <w:rPr>
          <w:rFonts w:ascii="Times New Roman" w:hAnsi="Times New Roman"/>
          <w:sz w:val="24"/>
          <w:szCs w:val="24"/>
        </w:rPr>
        <w:tab/>
      </w:r>
      <w:r>
        <w:rPr>
          <w:rFonts w:hint="eastAsia"/>
          <w:sz w:val="24"/>
          <w:szCs w:val="24"/>
          <w:lang w:val="en-US" w:eastAsia="zh-CN"/>
        </w:rPr>
        <w:t>18</w:t>
      </w:r>
    </w:p>
    <w:p w14:paraId="22CC18E8">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三、支出决算表</w:t>
      </w:r>
      <w:r>
        <w:rPr>
          <w:rFonts w:ascii="Times New Roman" w:hAnsi="Times New Roman"/>
          <w:sz w:val="24"/>
          <w:szCs w:val="24"/>
        </w:rPr>
        <w:tab/>
      </w:r>
      <w:r>
        <w:rPr>
          <w:rFonts w:hint="eastAsia"/>
          <w:sz w:val="24"/>
          <w:szCs w:val="24"/>
          <w:lang w:val="en-US" w:eastAsia="zh-CN"/>
        </w:rPr>
        <w:t>18</w:t>
      </w:r>
    </w:p>
    <w:p w14:paraId="4F9F371B">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四、财政拨款收入支出决算总表</w:t>
      </w:r>
      <w:r>
        <w:rPr>
          <w:rFonts w:ascii="Times New Roman" w:hAnsi="Times New Roman"/>
          <w:sz w:val="24"/>
          <w:szCs w:val="24"/>
        </w:rPr>
        <w:tab/>
      </w:r>
      <w:r>
        <w:rPr>
          <w:rFonts w:hint="eastAsia"/>
          <w:sz w:val="24"/>
          <w:szCs w:val="24"/>
          <w:lang w:val="en-US" w:eastAsia="zh-CN"/>
        </w:rPr>
        <w:t>18</w:t>
      </w:r>
    </w:p>
    <w:p w14:paraId="572FC69F">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五、财政拨款支出决算明细表</w:t>
      </w:r>
      <w:r>
        <w:rPr>
          <w:rFonts w:ascii="Times New Roman" w:hAnsi="Times New Roman"/>
          <w:sz w:val="24"/>
          <w:szCs w:val="24"/>
        </w:rPr>
        <w:tab/>
      </w:r>
      <w:r>
        <w:rPr>
          <w:rFonts w:hint="eastAsia"/>
          <w:sz w:val="24"/>
          <w:szCs w:val="24"/>
          <w:lang w:val="en-US" w:eastAsia="zh-CN"/>
        </w:rPr>
        <w:t>18</w:t>
      </w:r>
    </w:p>
    <w:p w14:paraId="1A7D3A55">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六、一般公共预算财政拨款支出决算表</w:t>
      </w:r>
      <w:r>
        <w:rPr>
          <w:rFonts w:ascii="Times New Roman" w:hAnsi="Times New Roman"/>
          <w:sz w:val="24"/>
          <w:szCs w:val="24"/>
        </w:rPr>
        <w:tab/>
      </w:r>
      <w:r>
        <w:rPr>
          <w:rFonts w:hint="eastAsia"/>
          <w:sz w:val="24"/>
          <w:szCs w:val="24"/>
          <w:lang w:val="en-US" w:eastAsia="zh-CN"/>
        </w:rPr>
        <w:t>18</w:t>
      </w:r>
    </w:p>
    <w:p w14:paraId="506CA7B0">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七、一般公共预算财政拨款支出决算明细表</w:t>
      </w:r>
      <w:r>
        <w:rPr>
          <w:rFonts w:ascii="Times New Roman" w:hAnsi="Times New Roman"/>
          <w:sz w:val="24"/>
          <w:szCs w:val="24"/>
        </w:rPr>
        <w:tab/>
      </w:r>
      <w:r>
        <w:rPr>
          <w:rFonts w:hint="eastAsia"/>
          <w:sz w:val="24"/>
          <w:szCs w:val="24"/>
          <w:lang w:val="en-US" w:eastAsia="zh-CN"/>
        </w:rPr>
        <w:t>18</w:t>
      </w:r>
    </w:p>
    <w:p w14:paraId="6A1C46EF">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八、一般公共预算财政拨款基本支出决算明细表</w:t>
      </w:r>
      <w:r>
        <w:rPr>
          <w:rFonts w:ascii="Times New Roman" w:hAnsi="Times New Roman"/>
          <w:sz w:val="24"/>
          <w:szCs w:val="24"/>
        </w:rPr>
        <w:tab/>
      </w:r>
      <w:r>
        <w:rPr>
          <w:rFonts w:hint="eastAsia"/>
          <w:sz w:val="24"/>
          <w:szCs w:val="24"/>
          <w:lang w:val="en-US" w:eastAsia="zh-CN"/>
        </w:rPr>
        <w:t>18</w:t>
      </w:r>
    </w:p>
    <w:p w14:paraId="7E22EF37">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九、一般公共预算财政拨款项目支出决算表</w:t>
      </w:r>
      <w:r>
        <w:rPr>
          <w:rFonts w:ascii="Times New Roman" w:hAnsi="Times New Roman"/>
          <w:sz w:val="24"/>
          <w:szCs w:val="24"/>
        </w:rPr>
        <w:tab/>
      </w:r>
      <w:r>
        <w:rPr>
          <w:rFonts w:hint="eastAsia"/>
          <w:sz w:val="24"/>
          <w:szCs w:val="24"/>
          <w:lang w:val="en-US" w:eastAsia="zh-CN"/>
        </w:rPr>
        <w:t>18</w:t>
      </w:r>
    </w:p>
    <w:p w14:paraId="26A4ADBB">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十、政府性基金预算财政拨款收入支出决算表</w:t>
      </w:r>
      <w:r>
        <w:rPr>
          <w:rFonts w:ascii="Times New Roman" w:hAnsi="Times New Roman"/>
          <w:sz w:val="24"/>
          <w:szCs w:val="24"/>
        </w:rPr>
        <w:tab/>
      </w:r>
      <w:r>
        <w:rPr>
          <w:rFonts w:hint="eastAsia"/>
          <w:sz w:val="24"/>
          <w:szCs w:val="24"/>
          <w:lang w:val="en-US" w:eastAsia="zh-CN"/>
        </w:rPr>
        <w:t>18</w:t>
      </w:r>
    </w:p>
    <w:p w14:paraId="156784A8">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十一、国有资本经营预算财政拨款收入支出决算表</w:t>
      </w:r>
      <w:r>
        <w:rPr>
          <w:rFonts w:ascii="Times New Roman" w:hAnsi="Times New Roman"/>
          <w:sz w:val="24"/>
          <w:szCs w:val="24"/>
        </w:rPr>
        <w:tab/>
      </w:r>
      <w:r>
        <w:rPr>
          <w:rFonts w:hint="eastAsia"/>
          <w:sz w:val="24"/>
          <w:szCs w:val="24"/>
          <w:lang w:val="en-US" w:eastAsia="zh-CN"/>
        </w:rPr>
        <w:t>18</w:t>
      </w:r>
    </w:p>
    <w:p w14:paraId="6B6A7662">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十二、国有资本经营预算财政拨款支出决算表</w:t>
      </w:r>
      <w:r>
        <w:rPr>
          <w:rFonts w:ascii="Times New Roman" w:hAnsi="Times New Roman"/>
          <w:sz w:val="24"/>
          <w:szCs w:val="24"/>
        </w:rPr>
        <w:tab/>
      </w:r>
      <w:r>
        <w:rPr>
          <w:rFonts w:hint="eastAsia"/>
          <w:sz w:val="24"/>
          <w:szCs w:val="24"/>
          <w:lang w:val="en-US" w:eastAsia="zh-CN"/>
        </w:rPr>
        <w:t>18</w:t>
      </w:r>
    </w:p>
    <w:p w14:paraId="2FF7994A">
      <w:pPr>
        <w:pStyle w:val="14"/>
        <w:adjustRightInd w:val="0"/>
        <w:snapToGrid w:val="0"/>
        <w:spacing w:line="560" w:lineRule="exact"/>
        <w:ind w:left="0" w:leftChars="0" w:firstLine="640" w:firstLineChars="200"/>
        <w:jc w:val="left"/>
        <w:rPr>
          <w:rFonts w:hint="default" w:eastAsia="宋体" w:cs="仿宋_GB2312"/>
          <w:sz w:val="32"/>
          <w:szCs w:val="32"/>
          <w:lang w:val="en-US" w:eastAsia="zh-CN"/>
        </w:rPr>
      </w:pPr>
      <w:r>
        <w:rPr>
          <w:rFonts w:hint="eastAsia" w:eastAsia="仿宋_GB2312" w:cs="仿宋_GB2312"/>
          <w:sz w:val="32"/>
          <w:szCs w:val="32"/>
        </w:rPr>
        <w:t>十三、财政拨款“三公”经费支出决算表</w:t>
      </w:r>
      <w:r>
        <w:rPr>
          <w:rFonts w:ascii="Times New Roman" w:hAnsi="Times New Roman"/>
          <w:sz w:val="24"/>
          <w:szCs w:val="24"/>
        </w:rPr>
        <w:tab/>
      </w:r>
      <w:r>
        <w:rPr>
          <w:rFonts w:hint="eastAsia"/>
          <w:sz w:val="24"/>
          <w:szCs w:val="24"/>
          <w:lang w:val="en-US" w:eastAsia="zh-CN"/>
        </w:rPr>
        <w:t>18</w:t>
      </w:r>
    </w:p>
    <w:p w14:paraId="1D232223">
      <w:pPr>
        <w:widowControl/>
        <w:spacing w:line="560" w:lineRule="exact"/>
        <w:jc w:val="left"/>
        <w:rPr>
          <w:rFonts w:eastAsia="仿宋_GB2312" w:cs="仿宋_GB2312"/>
          <w:bCs/>
          <w:kern w:val="44"/>
          <w:sz w:val="32"/>
          <w:szCs w:val="32"/>
        </w:rPr>
      </w:pPr>
      <w:bookmarkStart w:id="12" w:name="_Toc15396599"/>
      <w:bookmarkStart w:id="13" w:name="_Toc15377196"/>
      <w:r>
        <w:rPr>
          <w:rFonts w:hint="eastAsia" w:eastAsia="仿宋_GB2312" w:cs="仿宋_GB2312"/>
          <w:b/>
          <w:bCs/>
          <w:sz w:val="32"/>
          <w:szCs w:val="32"/>
          <w:lang w:val="en-US" w:eastAsia="zh-CN"/>
        </w:rPr>
        <w:t xml:space="preserve"> </w:t>
      </w:r>
      <w:r>
        <w:rPr>
          <w:rFonts w:hint="eastAsia" w:eastAsia="仿宋_GB2312" w:cs="仿宋_GB2312"/>
          <w:b/>
          <w:sz w:val="32"/>
          <w:szCs w:val="32"/>
        </w:rPr>
        <w:br w:type="page"/>
      </w:r>
    </w:p>
    <w:p w14:paraId="15C37A5E">
      <w:pPr>
        <w:pStyle w:val="4"/>
        <w:jc w:val="center"/>
        <w:rPr>
          <w:rStyle w:val="28"/>
          <w:rFonts w:eastAsia="方正小标宋简体" w:cs="方正小标宋简体"/>
          <w:b/>
          <w:bCs w:val="0"/>
        </w:rPr>
      </w:pPr>
      <w:r>
        <w:rPr>
          <w:rFonts w:hint="eastAsia" w:eastAsia="方正小标宋简体" w:cs="方正小标宋简体"/>
          <w:b w:val="0"/>
        </w:rPr>
        <w:t>第一部分</w:t>
      </w:r>
      <w:r>
        <w:rPr>
          <w:rFonts w:hint="eastAsia" w:eastAsia="方正小标宋简体" w:cs="方正小标宋简体"/>
          <w:b w:val="0"/>
          <w:lang w:val="en-US" w:eastAsia="zh-CN"/>
        </w:rPr>
        <w:t xml:space="preserve"> </w:t>
      </w:r>
      <w:r>
        <w:rPr>
          <w:rStyle w:val="28"/>
          <w:rFonts w:hint="eastAsia" w:eastAsia="方正小标宋简体" w:cs="方正小标宋简体"/>
          <w:b w:val="0"/>
          <w:bCs w:val="0"/>
          <w:lang w:eastAsia="zh-CN"/>
        </w:rPr>
        <w:t>单位</w:t>
      </w:r>
      <w:r>
        <w:rPr>
          <w:rStyle w:val="28"/>
          <w:rFonts w:hint="eastAsia" w:eastAsia="方正小标宋简体" w:cs="方正小标宋简体"/>
          <w:b w:val="0"/>
          <w:bCs w:val="0"/>
        </w:rPr>
        <w:t>概况</w:t>
      </w:r>
      <w:bookmarkEnd w:id="12"/>
      <w:bookmarkEnd w:id="13"/>
    </w:p>
    <w:p w14:paraId="37E3390B">
      <w:pPr>
        <w:widowControl/>
        <w:jc w:val="left"/>
        <w:rPr>
          <w:rFonts w:eastAsia="黑体"/>
          <w:sz w:val="32"/>
          <w:szCs w:val="32"/>
        </w:rPr>
      </w:pPr>
    </w:p>
    <w:p w14:paraId="7BA1C468">
      <w:pPr>
        <w:pStyle w:val="5"/>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Fonts w:hint="eastAsia" w:ascii="Times New Roman" w:hAnsi="Times New Roman" w:eastAsia="黑体"/>
          <w:b w:val="0"/>
        </w:rPr>
      </w:pPr>
      <w:r>
        <w:rPr>
          <w:rFonts w:hint="eastAsia" w:ascii="Times New Roman" w:hAnsi="Times New Roman" w:eastAsia="黑体"/>
          <w:b w:val="0"/>
          <w:lang w:val="en-US" w:eastAsia="zh-CN"/>
        </w:rPr>
        <w:t>一、</w:t>
      </w:r>
      <w:r>
        <w:rPr>
          <w:rFonts w:hint="eastAsia" w:ascii="Times New Roman" w:hAnsi="Times New Roman" w:eastAsia="黑体"/>
          <w:b w:val="0"/>
          <w:lang w:eastAsia="zh-CN"/>
        </w:rPr>
        <w:t>单位</w:t>
      </w:r>
      <w:r>
        <w:rPr>
          <w:rFonts w:hint="eastAsia" w:ascii="Times New Roman" w:hAnsi="Times New Roman" w:eastAsia="黑体"/>
          <w:b w:val="0"/>
        </w:rPr>
        <w:t>职责</w:t>
      </w:r>
    </w:p>
    <w:p w14:paraId="0B5272C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不动产登记中心是由中共攀枝花市委机构编制委员会批准设立（攀编发〔2015〕48号），为攀枝花市自然资源和规划局所属公益一类事业单位。承担市自然资源和规划局职责范围内的土地、房屋、林地、草原等不动产登记具体经办工作。</w:t>
      </w:r>
    </w:p>
    <w:p w14:paraId="32BD7ADB">
      <w:pPr>
        <w:pStyle w:val="5"/>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9"/>
          <w:rFonts w:ascii="Times New Roman" w:hAnsi="Times New Roman"/>
          <w:b w:val="0"/>
          <w:bCs w:val="0"/>
        </w:rPr>
      </w:pPr>
      <w:bookmarkStart w:id="14" w:name="_Toc15377200"/>
      <w:bookmarkStart w:id="15" w:name="_Toc15396601"/>
      <w:r>
        <w:rPr>
          <w:rFonts w:hint="eastAsia" w:ascii="Times New Roman" w:hAnsi="Times New Roman" w:eastAsia="黑体"/>
          <w:b w:val="0"/>
        </w:rPr>
        <w:t>二、机</w:t>
      </w:r>
      <w:r>
        <w:rPr>
          <w:rStyle w:val="29"/>
          <w:rFonts w:hint="eastAsia" w:ascii="Times New Roman" w:hAnsi="Times New Roman" w:eastAsia="黑体"/>
          <w:b w:val="0"/>
          <w:bCs w:val="0"/>
        </w:rPr>
        <w:t>构设置</w:t>
      </w:r>
      <w:bookmarkEnd w:id="14"/>
      <w:bookmarkEnd w:id="15"/>
    </w:p>
    <w:p w14:paraId="6E6177B2">
      <w:pPr>
        <w:ind w:firstLine="800" w:firstLineChars="250"/>
        <w:rPr>
          <w:rFonts w:eastAsia="仿宋_GB2312" w:cs="仿宋_GB2312"/>
          <w:sz w:val="32"/>
          <w:szCs w:val="32"/>
        </w:rPr>
      </w:pPr>
      <w:r>
        <w:rPr>
          <w:rFonts w:hint="default" w:ascii="Times New Roman" w:hAnsi="Times New Roman" w:eastAsia="仿宋_GB2312" w:cs="Times New Roman"/>
          <w:sz w:val="32"/>
          <w:szCs w:val="32"/>
        </w:rPr>
        <w:t>攀枝花市不动产登记中心内设6个科（综合科、登记一科、登记二科、权籍科、信息科、档案科），3个分中心（东区分中心、西区分中心、仁和区分中心），事业编制54名，除3个分中心以外，已整体入驻市政务服务中心开展工作。</w:t>
      </w:r>
    </w:p>
    <w:p w14:paraId="2196F070">
      <w:pPr>
        <w:widowControl/>
        <w:jc w:val="left"/>
        <w:rPr>
          <w:rFonts w:eastAsia="仿宋"/>
          <w:kern w:val="0"/>
          <w:sz w:val="32"/>
          <w:szCs w:val="32"/>
        </w:rPr>
      </w:pPr>
      <w:r>
        <w:rPr>
          <w:rFonts w:eastAsia="仿宋"/>
          <w:sz w:val="32"/>
          <w:szCs w:val="32"/>
        </w:rPr>
        <w:br w:type="page"/>
      </w:r>
    </w:p>
    <w:p w14:paraId="34B9BFF3">
      <w:pPr>
        <w:pStyle w:val="4"/>
        <w:jc w:val="center"/>
        <w:rPr>
          <w:rFonts w:eastAsia="方正小标宋简体" w:cs="方正小标宋简体"/>
          <w:b w:val="0"/>
        </w:rPr>
      </w:pPr>
      <w:bookmarkStart w:id="16" w:name="_Toc15396602"/>
      <w:bookmarkStart w:id="17" w:name="_Toc15377204"/>
      <w:r>
        <w:rPr>
          <w:rFonts w:hint="eastAsia" w:eastAsia="方正小标宋简体" w:cs="方正小标宋简体"/>
          <w:b w:val="0"/>
        </w:rPr>
        <w:t>第二部分</w:t>
      </w:r>
      <w:r>
        <w:rPr>
          <w:rFonts w:hint="eastAsia" w:eastAsia="方正小标宋简体" w:cs="方正小标宋简体"/>
          <w:b w:val="0"/>
          <w:lang w:val="en-US" w:eastAsia="zh-CN"/>
        </w:rPr>
        <w:t xml:space="preserve"> </w:t>
      </w:r>
      <w:r>
        <w:rPr>
          <w:rFonts w:hint="eastAsia" w:eastAsia="方正小标宋简体" w:cs="方正小标宋简体"/>
          <w:b w:val="0"/>
        </w:rPr>
        <w:t>2024年度</w:t>
      </w:r>
      <w:r>
        <w:rPr>
          <w:rFonts w:hint="eastAsia" w:eastAsia="方正小标宋简体" w:cs="方正小标宋简体"/>
          <w:b w:val="0"/>
          <w:lang w:eastAsia="zh-CN"/>
        </w:rPr>
        <w:t>单位</w:t>
      </w:r>
      <w:r>
        <w:rPr>
          <w:rFonts w:hint="eastAsia" w:eastAsia="方正小标宋简体" w:cs="方正小标宋简体"/>
          <w:b w:val="0"/>
        </w:rPr>
        <w:t>决算情况说明</w:t>
      </w:r>
      <w:bookmarkEnd w:id="16"/>
      <w:bookmarkEnd w:id="17"/>
    </w:p>
    <w:p w14:paraId="6496935D"/>
    <w:p w14:paraId="3A0DE03E">
      <w:pPr>
        <w:pStyle w:val="27"/>
        <w:spacing w:line="600" w:lineRule="exact"/>
        <w:ind w:firstLine="640"/>
        <w:outlineLvl w:val="1"/>
        <w:rPr>
          <w:rStyle w:val="29"/>
          <w:rFonts w:ascii="Times New Roman" w:hAnsi="Times New Roman" w:eastAsia="黑体"/>
          <w:b w:val="0"/>
        </w:rPr>
      </w:pPr>
      <w:bookmarkStart w:id="18" w:name="_Toc15396603"/>
      <w:bookmarkStart w:id="19" w:name="_Toc15377205"/>
      <w:r>
        <w:rPr>
          <w:rFonts w:hint="eastAsia" w:eastAsia="黑体"/>
          <w:sz w:val="32"/>
          <w:szCs w:val="32"/>
        </w:rPr>
        <w:t>一、收</w:t>
      </w:r>
      <w:r>
        <w:rPr>
          <w:rStyle w:val="29"/>
          <w:rFonts w:hint="eastAsia" w:ascii="Times New Roman" w:hAnsi="Times New Roman" w:eastAsia="黑体"/>
          <w:b w:val="0"/>
        </w:rPr>
        <w:t>入支出决算总体情况说明</w:t>
      </w:r>
      <w:bookmarkEnd w:id="18"/>
      <w:bookmarkEnd w:id="19"/>
    </w:p>
    <w:p w14:paraId="05F7C70C">
      <w:pPr>
        <w:pStyle w:val="27"/>
        <w:spacing w:line="600" w:lineRule="exact"/>
        <w:ind w:firstLine="640"/>
        <w:outlineLvl w:val="1"/>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2024年度收入、支出总计均为1523.21万元。与2023年度相比，收入</w:t>
      </w:r>
      <w:r>
        <w:rPr>
          <w:rFonts w:hint="default" w:ascii="Times New Roman" w:hAnsi="Times New Roman" w:eastAsia="仿宋_GB2312" w:cs="Times New Roman"/>
          <w:sz w:val="32"/>
          <w:szCs w:val="32"/>
          <w:lang w:eastAsia="zh-CN"/>
        </w:rPr>
        <w:t>总计增加</w:t>
      </w:r>
      <w:r>
        <w:rPr>
          <w:rFonts w:hint="default" w:ascii="Times New Roman" w:hAnsi="Times New Roman" w:eastAsia="仿宋_GB2312" w:cs="Times New Roman"/>
          <w:sz w:val="32"/>
          <w:szCs w:val="32"/>
          <w:lang w:val="en-US" w:eastAsia="zh-CN"/>
        </w:rPr>
        <w:t>11.99万元，增长0.79%，</w:t>
      </w:r>
      <w:r>
        <w:rPr>
          <w:rFonts w:hint="default" w:ascii="Times New Roman" w:hAnsi="Times New Roman" w:eastAsia="仿宋_GB2312" w:cs="Times New Roman"/>
          <w:sz w:val="32"/>
          <w:szCs w:val="32"/>
        </w:rPr>
        <w:t>支出总计增加</w:t>
      </w:r>
      <w:r>
        <w:rPr>
          <w:rFonts w:hint="default" w:ascii="Times New Roman" w:hAnsi="Times New Roman" w:eastAsia="仿宋_GB2312" w:cs="Times New Roman"/>
          <w:sz w:val="32"/>
          <w:szCs w:val="32"/>
          <w:lang w:val="en-US" w:eastAsia="zh-CN"/>
        </w:rPr>
        <w:t>11.99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0.79</w:t>
      </w:r>
      <w:r>
        <w:rPr>
          <w:rFonts w:hint="default" w:ascii="Times New Roman" w:hAnsi="Times New Roman" w:eastAsia="仿宋_GB2312" w:cs="Times New Roman"/>
          <w:sz w:val="32"/>
          <w:szCs w:val="32"/>
        </w:rPr>
        <w:t>%。主要变动原因是</w:t>
      </w:r>
      <w:r>
        <w:rPr>
          <w:rFonts w:ascii="Times New Roman" w:hAnsi="Times New Roman" w:eastAsia="仿宋_GB2312"/>
          <w:sz w:val="32"/>
          <w:szCs w:val="32"/>
        </w:rPr>
        <w:t>财政安排的项目经费增加</w:t>
      </w:r>
      <w:r>
        <w:rPr>
          <w:rFonts w:hint="eastAsia" w:eastAsia="仿宋_GB2312"/>
          <w:sz w:val="32"/>
          <w:szCs w:val="32"/>
          <w:lang w:eastAsia="zh-CN"/>
        </w:rPr>
        <w:t>。</w:t>
      </w:r>
    </w:p>
    <w:p w14:paraId="105954A1">
      <w:pPr>
        <w:ind w:firstLine="420" w:firstLineChars="200"/>
      </w:pPr>
      <w:r>
        <w:drawing>
          <wp:inline distT="0" distB="0" distL="114300" distR="114300">
            <wp:extent cx="4826000" cy="2755900"/>
            <wp:effectExtent l="5080" t="4445" r="7620" b="209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260DF1">
      <w:pPr>
        <w:ind w:firstLine="640" w:firstLineChars="200"/>
        <w:jc w:val="center"/>
        <w:rPr>
          <w:rFonts w:eastAsia="仿宋_GB2312" w:cs="仿宋_GB2312"/>
          <w:sz w:val="32"/>
          <w:szCs w:val="32"/>
        </w:rPr>
      </w:pPr>
      <w:r>
        <w:rPr>
          <w:rFonts w:hint="eastAsia" w:eastAsia="仿宋_GB2312" w:cs="仿宋_GB2312"/>
          <w:sz w:val="32"/>
          <w:szCs w:val="32"/>
        </w:rPr>
        <w:t>（图1：收入、支出决算总计变动情况图）</w:t>
      </w:r>
    </w:p>
    <w:p w14:paraId="5106E190">
      <w:pPr>
        <w:pStyle w:val="27"/>
        <w:spacing w:line="600" w:lineRule="exact"/>
        <w:ind w:firstLine="640"/>
        <w:outlineLvl w:val="1"/>
        <w:rPr>
          <w:rFonts w:eastAsia="黑体"/>
          <w:sz w:val="32"/>
          <w:szCs w:val="32"/>
        </w:rPr>
      </w:pPr>
      <w:bookmarkStart w:id="20" w:name="_Toc15377206"/>
      <w:bookmarkStart w:id="21" w:name="_Toc15396604"/>
      <w:r>
        <w:rPr>
          <w:rFonts w:hint="eastAsia" w:eastAsia="黑体"/>
          <w:sz w:val="32"/>
          <w:szCs w:val="32"/>
        </w:rPr>
        <w:t>二、收入决算情况说明</w:t>
      </w:r>
      <w:bookmarkEnd w:id="20"/>
      <w:bookmarkEnd w:id="21"/>
    </w:p>
    <w:p w14:paraId="2B4059C1">
      <w:pPr>
        <w:pStyle w:val="27"/>
        <w:spacing w:line="600" w:lineRule="exact"/>
        <w:ind w:firstLine="640"/>
        <w:jc w:val="left"/>
        <w:outlineLvl w:val="1"/>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2024年度本年收入合计1523.21万元，其中：一般公共预算财政拨款收入1445.23万元，占94.88%；政府性基金预算财政拨款收入77.98万元，占5.1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%；国有资本经营预算财政拨款收入0万元，占0%；上级补助收入0万元，占0%；事业收入0万元，占0%；经营收入0万元，占0%；附属单位上缴收入0万元，占0%；其他收入0万元，占0%。</w:t>
      </w:r>
    </w:p>
    <w:p w14:paraId="2A41B14E">
      <w:pPr>
        <w:rPr>
          <w:rFonts w:hint="default" w:eastAsia="仿宋_GB2312" w:cs="仿宋_GB2312"/>
          <w:sz w:val="32"/>
          <w:szCs w:val="32"/>
          <w:lang w:val="en-US" w:eastAsia="zh-CN"/>
        </w:rPr>
      </w:pPr>
      <w:r>
        <w:rPr>
          <w:rFonts w:hint="eastAsia" w:eastAsia="仿宋_GB2312" w:cs="仿宋_GB2312"/>
          <w:sz w:val="32"/>
          <w:szCs w:val="32"/>
          <w:lang w:val="en-US" w:eastAsia="zh-CN"/>
        </w:rPr>
        <w:t xml:space="preserve">    </w:t>
      </w:r>
      <w:r>
        <w:drawing>
          <wp:inline distT="0" distB="0" distL="114300" distR="114300">
            <wp:extent cx="4543425" cy="2708275"/>
            <wp:effectExtent l="4445" t="4445" r="5080" b="1143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808D0A">
      <w:pPr>
        <w:ind w:firstLine="800" w:firstLineChars="250"/>
        <w:jc w:val="center"/>
        <w:rPr>
          <w:rFonts w:eastAsia="仿宋_GB2312" w:cs="仿宋_GB2312"/>
          <w:sz w:val="32"/>
          <w:szCs w:val="32"/>
        </w:rPr>
      </w:pPr>
      <w:r>
        <w:rPr>
          <w:rFonts w:hint="eastAsia" w:eastAsia="仿宋_GB2312" w:cs="仿宋_GB2312"/>
          <w:sz w:val="32"/>
          <w:szCs w:val="32"/>
        </w:rPr>
        <w:t>（图2：收入决算结构图）</w:t>
      </w:r>
    </w:p>
    <w:p w14:paraId="4D18DAC7">
      <w:pPr>
        <w:pStyle w:val="27"/>
        <w:spacing w:line="600" w:lineRule="exact"/>
        <w:ind w:firstLine="640"/>
        <w:outlineLvl w:val="1"/>
        <w:rPr>
          <w:rStyle w:val="29"/>
          <w:rFonts w:ascii="Times New Roman" w:hAnsi="Times New Roman" w:eastAsia="黑体"/>
          <w:b w:val="0"/>
        </w:rPr>
      </w:pPr>
      <w:bookmarkStart w:id="22" w:name="_Toc15396605"/>
      <w:bookmarkStart w:id="23" w:name="_Toc15377207"/>
      <w:r>
        <w:rPr>
          <w:rFonts w:hint="eastAsia" w:eastAsia="黑体"/>
          <w:sz w:val="32"/>
          <w:szCs w:val="32"/>
        </w:rPr>
        <w:t>三、支</w:t>
      </w:r>
      <w:r>
        <w:rPr>
          <w:rStyle w:val="29"/>
          <w:rFonts w:hint="eastAsia" w:ascii="Times New Roman" w:hAnsi="Times New Roman" w:eastAsia="黑体"/>
          <w:b w:val="0"/>
        </w:rPr>
        <w:t>出决算情况说明</w:t>
      </w:r>
      <w:bookmarkEnd w:id="22"/>
      <w:bookmarkEnd w:id="23"/>
    </w:p>
    <w:p w14:paraId="0CE967D9">
      <w:pPr>
        <w:pStyle w:val="27"/>
        <w:spacing w:line="600" w:lineRule="exact"/>
        <w:ind w:firstLine="640"/>
        <w:jc w:val="left"/>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2024年度本年支出合计1523.21万元，其中：基本支出1114.1万元，占73.14%；项目支出409.11万元，占26.8</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%；上缴上级支出0万元，占0%；经营支出0万元，占0%；对附属单位补助支出0万元，占0%。</w:t>
      </w:r>
    </w:p>
    <w:p w14:paraId="2CFAF185">
      <w:pPr>
        <w:pStyle w:val="27"/>
        <w:spacing w:line="600" w:lineRule="exact"/>
        <w:ind w:firstLine="640"/>
        <w:jc w:val="left"/>
        <w:outlineLvl w:val="1"/>
        <w:rPr>
          <w:rFonts w:hint="default" w:ascii="Times New Roman" w:hAnsi="Times New Roman" w:eastAsia="仿宋_GB2312" w:cs="Times New Roman"/>
          <w:sz w:val="32"/>
          <w:szCs w:val="32"/>
          <w:lang w:val="en-US"/>
        </w:rPr>
      </w:pPr>
      <w:r>
        <w:drawing>
          <wp:anchor distT="0" distB="0" distL="114300" distR="114300" simplePos="0" relativeHeight="251660288" behindDoc="0" locked="0" layoutInCell="1" allowOverlap="1">
            <wp:simplePos x="0" y="0"/>
            <wp:positionH relativeFrom="column">
              <wp:posOffset>356870</wp:posOffset>
            </wp:positionH>
            <wp:positionV relativeFrom="paragraph">
              <wp:posOffset>116840</wp:posOffset>
            </wp:positionV>
            <wp:extent cx="4552315" cy="2592705"/>
            <wp:effectExtent l="4445" t="5080" r="15240" b="1206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eastAsia="仿宋_GB2312" w:cs="Times New Roman"/>
          <w:sz w:val="32"/>
          <w:szCs w:val="32"/>
          <w:lang w:val="en-US" w:eastAsia="zh-CN"/>
        </w:rPr>
        <w:t xml:space="preserve">  </w:t>
      </w:r>
    </w:p>
    <w:p w14:paraId="50B92ABB">
      <w:pPr>
        <w:pStyle w:val="27"/>
        <w:spacing w:line="600" w:lineRule="exact"/>
        <w:ind w:firstLine="640"/>
        <w:jc w:val="left"/>
        <w:outlineLvl w:val="1"/>
        <w:rPr>
          <w:rFonts w:hint="default" w:ascii="Times New Roman" w:hAnsi="Times New Roman" w:eastAsia="仿宋_GB2312" w:cs="Times New Roman"/>
          <w:sz w:val="32"/>
          <w:szCs w:val="32"/>
        </w:rPr>
      </w:pPr>
    </w:p>
    <w:p w14:paraId="2F492962">
      <w:pPr>
        <w:pStyle w:val="27"/>
        <w:spacing w:line="600" w:lineRule="exact"/>
        <w:ind w:firstLine="640"/>
        <w:jc w:val="left"/>
        <w:outlineLvl w:val="1"/>
        <w:rPr>
          <w:rFonts w:hint="default" w:ascii="Times New Roman" w:hAnsi="Times New Roman" w:eastAsia="仿宋_GB2312" w:cs="Times New Roman"/>
          <w:sz w:val="32"/>
          <w:szCs w:val="32"/>
        </w:rPr>
      </w:pPr>
    </w:p>
    <w:p w14:paraId="7EC5A73E">
      <w:pPr>
        <w:pStyle w:val="27"/>
        <w:spacing w:line="600" w:lineRule="exact"/>
        <w:ind w:firstLine="640"/>
        <w:jc w:val="left"/>
        <w:outlineLvl w:val="1"/>
        <w:rPr>
          <w:rFonts w:hint="default" w:ascii="Times New Roman" w:hAnsi="Times New Roman" w:eastAsia="仿宋_GB2312" w:cs="Times New Roman"/>
          <w:sz w:val="32"/>
          <w:szCs w:val="32"/>
        </w:rPr>
      </w:pPr>
    </w:p>
    <w:p w14:paraId="6C6627E1">
      <w:pPr>
        <w:pStyle w:val="27"/>
        <w:spacing w:line="600" w:lineRule="exact"/>
        <w:ind w:firstLine="640"/>
        <w:jc w:val="left"/>
        <w:outlineLvl w:val="1"/>
        <w:rPr>
          <w:rFonts w:hint="default" w:ascii="Times New Roman" w:hAnsi="Times New Roman" w:eastAsia="仿宋_GB2312" w:cs="Times New Roman"/>
          <w:sz w:val="32"/>
          <w:szCs w:val="32"/>
        </w:rPr>
      </w:pPr>
    </w:p>
    <w:p w14:paraId="750C7240">
      <w:pPr>
        <w:pStyle w:val="27"/>
        <w:spacing w:line="600" w:lineRule="exact"/>
        <w:ind w:firstLine="640"/>
        <w:jc w:val="left"/>
        <w:outlineLvl w:val="1"/>
        <w:rPr>
          <w:rFonts w:hint="default" w:ascii="Times New Roman" w:hAnsi="Times New Roman" w:eastAsia="仿宋_GB2312" w:cs="Times New Roman"/>
          <w:sz w:val="32"/>
          <w:szCs w:val="32"/>
        </w:rPr>
      </w:pPr>
    </w:p>
    <w:p w14:paraId="5DC4403D">
      <w:pPr>
        <w:pStyle w:val="27"/>
        <w:spacing w:line="600" w:lineRule="exact"/>
        <w:ind w:firstLine="640"/>
        <w:jc w:val="left"/>
        <w:outlineLvl w:val="1"/>
        <w:rPr>
          <w:rFonts w:hint="default" w:ascii="Times New Roman" w:hAnsi="Times New Roman" w:eastAsia="仿宋_GB2312" w:cs="Times New Roman"/>
          <w:sz w:val="32"/>
          <w:szCs w:val="32"/>
        </w:rPr>
      </w:pPr>
    </w:p>
    <w:p w14:paraId="537768D1">
      <w:pPr>
        <w:pStyle w:val="27"/>
        <w:spacing w:line="600" w:lineRule="exact"/>
        <w:ind w:firstLine="640"/>
        <w:jc w:val="left"/>
        <w:outlineLvl w:val="1"/>
        <w:rPr>
          <w:rFonts w:hint="default" w:ascii="Times New Roman" w:hAnsi="Times New Roman" w:eastAsia="仿宋_GB2312" w:cs="Times New Roman"/>
          <w:sz w:val="32"/>
          <w:szCs w:val="32"/>
        </w:rPr>
      </w:pPr>
    </w:p>
    <w:p w14:paraId="1EDD2868">
      <w:pPr>
        <w:jc w:val="center"/>
        <w:rPr>
          <w:rFonts w:eastAsia="仿宋_GB2312" w:cs="仿宋_GB2312"/>
          <w:sz w:val="32"/>
          <w:szCs w:val="32"/>
        </w:rPr>
      </w:pPr>
      <w:r>
        <w:rPr>
          <w:rFonts w:hint="eastAsia" w:eastAsia="仿宋_GB2312" w:cs="仿宋_GB2312"/>
          <w:sz w:val="32"/>
          <w:szCs w:val="32"/>
        </w:rPr>
        <w:t>（图3：支出决算结构图）</w:t>
      </w:r>
    </w:p>
    <w:p w14:paraId="5C2D785D">
      <w:pPr>
        <w:spacing w:line="600" w:lineRule="exact"/>
        <w:ind w:firstLine="640" w:firstLineChars="200"/>
        <w:outlineLvl w:val="1"/>
        <w:rPr>
          <w:rStyle w:val="29"/>
          <w:rFonts w:ascii="Times New Roman" w:hAnsi="Times New Roman" w:eastAsia="黑体"/>
          <w:b w:val="0"/>
        </w:rPr>
      </w:pPr>
      <w:bookmarkStart w:id="24" w:name="_Toc15377208"/>
      <w:bookmarkStart w:id="25" w:name="_Toc15396606"/>
      <w:r>
        <w:rPr>
          <w:rFonts w:hint="eastAsia" w:eastAsia="黑体"/>
          <w:sz w:val="32"/>
          <w:szCs w:val="32"/>
        </w:rPr>
        <w:t>四、财</w:t>
      </w:r>
      <w:r>
        <w:rPr>
          <w:rStyle w:val="29"/>
          <w:rFonts w:hint="eastAsia" w:ascii="Times New Roman" w:hAnsi="Times New Roman" w:eastAsia="黑体"/>
          <w:b w:val="0"/>
        </w:rPr>
        <w:t>政拨款收入支出决算总体情况说明</w:t>
      </w:r>
      <w:bookmarkEnd w:id="24"/>
      <w:bookmarkEnd w:id="25"/>
    </w:p>
    <w:p w14:paraId="0CF9C06B">
      <w:pPr>
        <w:spacing w:line="60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2024年度财政拨款收入、支出总计均为1523.21万元。与2023年度相比，财政拨款收入总计增加</w:t>
      </w:r>
      <w:r>
        <w:rPr>
          <w:rFonts w:hint="default" w:ascii="Times New Roman" w:hAnsi="Times New Roman" w:eastAsia="仿宋_GB2312" w:cs="Times New Roman"/>
          <w:sz w:val="32"/>
          <w:szCs w:val="32"/>
          <w:lang w:val="en-US" w:eastAsia="zh-CN"/>
        </w:rPr>
        <w:t>11.99万元，增长0.79%，</w:t>
      </w:r>
      <w:r>
        <w:rPr>
          <w:rFonts w:hint="default" w:ascii="Times New Roman" w:hAnsi="Times New Roman" w:eastAsia="仿宋_GB2312" w:cs="Times New Roman"/>
          <w:sz w:val="32"/>
          <w:szCs w:val="32"/>
        </w:rPr>
        <w:t>支出总计增加</w:t>
      </w:r>
      <w:r>
        <w:rPr>
          <w:rFonts w:hint="default" w:ascii="Times New Roman" w:hAnsi="Times New Roman" w:eastAsia="仿宋_GB2312" w:cs="Times New Roman"/>
          <w:sz w:val="32"/>
          <w:szCs w:val="32"/>
          <w:lang w:val="en-US" w:eastAsia="zh-CN"/>
        </w:rPr>
        <w:t>11.99</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0.79</w:t>
      </w:r>
      <w:r>
        <w:rPr>
          <w:rFonts w:hint="default" w:ascii="Times New Roman" w:hAnsi="Times New Roman" w:eastAsia="仿宋_GB2312" w:cs="Times New Roman"/>
          <w:sz w:val="32"/>
          <w:szCs w:val="32"/>
        </w:rPr>
        <w:t>%。主要变动原因是</w:t>
      </w:r>
      <w:r>
        <w:rPr>
          <w:rFonts w:ascii="Times New Roman" w:hAnsi="Times New Roman" w:eastAsia="仿宋_GB2312"/>
          <w:sz w:val="32"/>
          <w:szCs w:val="32"/>
        </w:rPr>
        <w:t>财政安排的项目经费增加</w:t>
      </w:r>
      <w:r>
        <w:rPr>
          <w:rFonts w:hint="eastAsia" w:eastAsia="仿宋_GB2312"/>
          <w:sz w:val="32"/>
          <w:szCs w:val="32"/>
          <w:lang w:eastAsia="zh-CN"/>
        </w:rPr>
        <w:t>。</w:t>
      </w:r>
    </w:p>
    <w:p w14:paraId="7D60801B">
      <w:pPr>
        <w:pStyle w:val="2"/>
        <w:rPr>
          <w:rFonts w:hint="default" w:eastAsia="仿宋_GB2312" w:cs="仿宋_GB2312"/>
          <w:sz w:val="32"/>
          <w:szCs w:val="32"/>
          <w:lang w:val="en-US" w:eastAsia="zh-CN"/>
        </w:rPr>
      </w:pPr>
      <w:r>
        <w:rPr>
          <w:rFonts w:hint="eastAsia" w:cs="仿宋_GB2312"/>
          <w:sz w:val="32"/>
          <w:szCs w:val="32"/>
          <w:lang w:val="en-US" w:eastAsia="zh-CN"/>
        </w:rPr>
        <w:t xml:space="preserve">   </w:t>
      </w:r>
      <w:r>
        <w:drawing>
          <wp:inline distT="0" distB="0" distL="114300" distR="114300">
            <wp:extent cx="4826000" cy="2755900"/>
            <wp:effectExtent l="5080" t="4445" r="7620" b="209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CC1BB0">
      <w:pPr>
        <w:spacing w:line="600" w:lineRule="exact"/>
        <w:ind w:firstLine="640" w:firstLineChars="200"/>
        <w:jc w:val="center"/>
        <w:rPr>
          <w:rFonts w:eastAsia="仿宋_GB2312" w:cs="仿宋_GB2312"/>
          <w:sz w:val="32"/>
          <w:szCs w:val="32"/>
        </w:rPr>
      </w:pPr>
      <w:r>
        <w:rPr>
          <w:rFonts w:hint="eastAsia" w:eastAsia="仿宋_GB2312" w:cs="仿宋_GB2312"/>
          <w:sz w:val="32"/>
          <w:szCs w:val="32"/>
        </w:rPr>
        <w:t>（图4：财政拨款收、支决算总计变动情况）</w:t>
      </w:r>
    </w:p>
    <w:p w14:paraId="7EB81E99">
      <w:pPr>
        <w:spacing w:line="600" w:lineRule="exact"/>
        <w:ind w:firstLine="640" w:firstLineChars="200"/>
        <w:outlineLvl w:val="1"/>
        <w:rPr>
          <w:rStyle w:val="29"/>
          <w:rFonts w:ascii="Times New Roman" w:hAnsi="Times New Roman" w:eastAsia="黑体"/>
          <w:b w:val="0"/>
        </w:rPr>
      </w:pPr>
      <w:bookmarkStart w:id="26" w:name="_Toc15396607"/>
      <w:bookmarkStart w:id="27" w:name="_Toc15377209"/>
      <w:r>
        <w:rPr>
          <w:rFonts w:hint="eastAsia" w:eastAsia="黑体"/>
          <w:sz w:val="32"/>
          <w:szCs w:val="32"/>
        </w:rPr>
        <w:t>五、</w:t>
      </w:r>
      <w:r>
        <w:rPr>
          <w:rFonts w:hint="eastAsia"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14:paraId="4FA35BD6">
      <w:pPr>
        <w:spacing w:line="600" w:lineRule="exact"/>
        <w:ind w:firstLine="643" w:firstLineChars="200"/>
        <w:outlineLvl w:val="2"/>
        <w:rPr>
          <w:rFonts w:eastAsia="楷体_GB2312" w:cs="楷体_GB2312"/>
          <w:b/>
          <w:sz w:val="32"/>
          <w:szCs w:val="32"/>
        </w:rPr>
      </w:pPr>
      <w:bookmarkStart w:id="28" w:name="_Toc15377210"/>
      <w:r>
        <w:rPr>
          <w:rFonts w:hint="eastAsia" w:eastAsia="楷体_GB2312" w:cs="楷体_GB2312"/>
          <w:b/>
          <w:sz w:val="32"/>
          <w:szCs w:val="32"/>
        </w:rPr>
        <w:t>（一）一般公共预算财政拨款支出决算总体情况</w:t>
      </w:r>
      <w:bookmarkEnd w:id="28"/>
    </w:p>
    <w:p w14:paraId="5B8965FA">
      <w:pPr>
        <w:spacing w:line="600" w:lineRule="exact"/>
        <w:ind w:firstLine="64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2024年度一般公共预算财政拨款支出1445.23万元，占本年支出合计的94.88%。与2023年度相比，一般公共预算财政拨款支出减少</w:t>
      </w:r>
      <w:r>
        <w:rPr>
          <w:rFonts w:hint="default" w:ascii="Times New Roman" w:hAnsi="Times New Roman" w:eastAsia="仿宋_GB2312" w:cs="Times New Roman"/>
          <w:sz w:val="32"/>
          <w:szCs w:val="32"/>
          <w:lang w:val="en-US" w:eastAsia="zh-CN"/>
        </w:rPr>
        <w:t>65.99</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4.37</w:t>
      </w:r>
      <w:r>
        <w:rPr>
          <w:rFonts w:hint="default" w:ascii="Times New Roman" w:hAnsi="Times New Roman" w:eastAsia="仿宋_GB2312" w:cs="Times New Roman"/>
          <w:sz w:val="32"/>
          <w:szCs w:val="32"/>
        </w:rPr>
        <w:t>%。主要变动原因是</w:t>
      </w:r>
      <w:r>
        <w:rPr>
          <w:rFonts w:hint="eastAsia" w:eastAsia="仿宋_GB2312" w:cs="Times New Roman"/>
          <w:sz w:val="32"/>
          <w:szCs w:val="32"/>
          <w:lang w:eastAsia="zh-CN"/>
        </w:rPr>
        <w:t>增加了政府性基金预算财政拨款支出。</w:t>
      </w:r>
    </w:p>
    <w:p w14:paraId="27A94203">
      <w:pPr>
        <w:pStyle w:val="2"/>
        <w:rPr>
          <w:rFonts w:hint="eastAsia" w:ascii="仿宋_GB2312" w:hAnsi="仿宋_GB2312" w:eastAsia="仿宋_GB2312" w:cs="仿宋_GB2312"/>
          <w:sz w:val="32"/>
          <w:szCs w:val="32"/>
        </w:rPr>
      </w:pPr>
    </w:p>
    <w:p w14:paraId="2544F0D3">
      <w:pPr>
        <w:pStyle w:val="3"/>
        <w:rPr>
          <w:rFonts w:hint="eastAsia" w:ascii="仿宋_GB2312" w:hAnsi="仿宋_GB2312" w:eastAsia="仿宋_GB2312" w:cs="仿宋_GB2312"/>
          <w:sz w:val="32"/>
          <w:szCs w:val="32"/>
        </w:rPr>
      </w:pPr>
    </w:p>
    <w:p w14:paraId="74AEBFA1">
      <w:pPr>
        <w:pStyle w:val="3"/>
        <w:rPr>
          <w:rFonts w:hint="eastAsia" w:ascii="仿宋_GB2312" w:hAnsi="仿宋_GB2312" w:eastAsia="仿宋_GB2312" w:cs="仿宋_GB2312"/>
          <w:sz w:val="32"/>
          <w:szCs w:val="32"/>
        </w:rPr>
      </w:pPr>
    </w:p>
    <w:p w14:paraId="21BA1F3B">
      <w:pPr>
        <w:pStyle w:val="3"/>
        <w:rPr>
          <w:rFonts w:hint="eastAsia" w:ascii="仿宋_GB2312" w:hAnsi="仿宋_GB2312" w:eastAsia="仿宋_GB2312" w:cs="仿宋_GB2312"/>
          <w:sz w:val="32"/>
          <w:szCs w:val="32"/>
        </w:rPr>
      </w:pPr>
    </w:p>
    <w:p w14:paraId="3514E122">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drawing>
          <wp:inline distT="0" distB="0" distL="114300" distR="114300">
            <wp:extent cx="4740910" cy="2409825"/>
            <wp:effectExtent l="4445" t="4445" r="17145"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6A4BBC">
      <w:pPr>
        <w:spacing w:line="600" w:lineRule="exact"/>
        <w:ind w:firstLine="640"/>
        <w:rPr>
          <w:rFonts w:eastAsia="仿宋_GB2312" w:cs="仿宋_GB2312"/>
          <w:sz w:val="32"/>
          <w:szCs w:val="32"/>
        </w:rPr>
      </w:pPr>
      <w:r>
        <w:rPr>
          <w:rFonts w:hint="eastAsia" w:eastAsia="仿宋_GB2312" w:cs="仿宋_GB2312"/>
          <w:sz w:val="32"/>
          <w:szCs w:val="32"/>
        </w:rPr>
        <w:t>（图5：一般公共预算财政拨款支出决算变动情况）</w:t>
      </w:r>
    </w:p>
    <w:p w14:paraId="2B30237D">
      <w:pPr>
        <w:spacing w:line="600" w:lineRule="exact"/>
        <w:ind w:firstLine="643" w:firstLineChars="200"/>
        <w:outlineLvl w:val="2"/>
        <w:rPr>
          <w:rFonts w:eastAsia="楷体_GB2312" w:cs="楷体_GB2312"/>
          <w:b/>
          <w:sz w:val="32"/>
          <w:szCs w:val="32"/>
        </w:rPr>
      </w:pPr>
      <w:bookmarkStart w:id="29" w:name="_Toc15377211"/>
      <w:r>
        <w:rPr>
          <w:rFonts w:hint="eastAsia" w:eastAsia="楷体_GB2312" w:cs="楷体_GB2312"/>
          <w:b/>
          <w:sz w:val="32"/>
          <w:szCs w:val="32"/>
        </w:rPr>
        <w:t>（二）一般公共预算财政拨款支出决算结构情况</w:t>
      </w:r>
      <w:bookmarkEnd w:id="29"/>
    </w:p>
    <w:p w14:paraId="71EA9279">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2024年度一般公共预算财政拨款支出1445.23万元，主要用于以下方面：</w:t>
      </w:r>
      <w:r>
        <w:rPr>
          <w:rFonts w:hint="default" w:ascii="Times New Roman" w:hAnsi="Times New Roman" w:eastAsia="仿宋_GB2312" w:cs="Times New Roman"/>
          <w:b/>
          <w:sz w:val="32"/>
          <w:szCs w:val="32"/>
        </w:rPr>
        <w:t>一般公共服务</w:t>
      </w:r>
      <w:r>
        <w:rPr>
          <w:rFonts w:hint="default" w:ascii="Times New Roman" w:hAnsi="Times New Roman" w:eastAsia="仿宋_GB2312" w:cs="Times New Roman"/>
          <w:b/>
          <w:bCs/>
          <w:sz w:val="32"/>
          <w:szCs w:val="32"/>
        </w:rPr>
        <w:t>支出（类）</w:t>
      </w:r>
      <w:r>
        <w:rPr>
          <w:rFonts w:hint="default" w:ascii="Times New Roman" w:hAnsi="Times New Roman" w:eastAsia="仿宋_GB2312" w:cs="Times New Roman"/>
          <w:sz w:val="32"/>
          <w:szCs w:val="32"/>
          <w:lang w:val="en-US" w:eastAsia="zh-CN"/>
        </w:rPr>
        <w:t>4.19</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0.29</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支出（类）</w:t>
      </w:r>
      <w:r>
        <w:rPr>
          <w:rFonts w:hint="default" w:ascii="Times New Roman" w:hAnsi="Times New Roman" w:eastAsia="仿宋_GB2312" w:cs="Times New Roman"/>
          <w:sz w:val="32"/>
          <w:szCs w:val="32"/>
          <w:lang w:val="en-US" w:eastAsia="zh-CN"/>
        </w:rPr>
        <w:t>141.68</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9.8</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卫生健康支出（类）</w:t>
      </w:r>
      <w:r>
        <w:rPr>
          <w:rFonts w:hint="default" w:ascii="Times New Roman" w:hAnsi="Times New Roman" w:eastAsia="仿宋_GB2312" w:cs="Times New Roman"/>
          <w:sz w:val="32"/>
          <w:szCs w:val="32"/>
          <w:lang w:val="en-US" w:eastAsia="zh-CN"/>
        </w:rPr>
        <w:t>57.61</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3.99</w:t>
      </w:r>
      <w:r>
        <w:rPr>
          <w:rFonts w:hint="default" w:ascii="Times New Roman" w:hAnsi="Times New Roman" w:eastAsia="仿宋_GB2312" w:cs="Times New Roman"/>
          <w:sz w:val="32"/>
          <w:szCs w:val="32"/>
        </w:rPr>
        <w:t>%；</w:t>
      </w:r>
      <w:r>
        <w:rPr>
          <w:rStyle w:val="17"/>
          <w:rFonts w:hint="default" w:ascii="Times New Roman" w:hAnsi="Times New Roman" w:eastAsia="仿宋_GB2312" w:cs="Times New Roman"/>
          <w:bCs/>
          <w:color w:val="000000"/>
          <w:sz w:val="32"/>
          <w:szCs w:val="32"/>
        </w:rPr>
        <w:t>自然资源海洋气象等支出</w:t>
      </w:r>
      <w:r>
        <w:rPr>
          <w:rFonts w:hint="default" w:ascii="Times New Roman" w:hAnsi="Times New Roman" w:eastAsia="仿宋_GB2312" w:cs="Times New Roman"/>
          <w:b/>
          <w:bCs/>
          <w:sz w:val="32"/>
          <w:szCs w:val="32"/>
        </w:rPr>
        <w:t>（类）</w:t>
      </w:r>
      <w:r>
        <w:rPr>
          <w:rFonts w:hint="default" w:ascii="Times New Roman" w:hAnsi="Times New Roman" w:eastAsia="仿宋_GB2312" w:cs="Times New Roman"/>
          <w:sz w:val="32"/>
          <w:szCs w:val="32"/>
          <w:lang w:val="en-US" w:eastAsia="zh-CN"/>
        </w:rPr>
        <w:t>1170.34</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80.98</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住房保障支出（类）</w:t>
      </w:r>
      <w:r>
        <w:rPr>
          <w:rFonts w:hint="default" w:ascii="Times New Roman" w:hAnsi="Times New Roman" w:eastAsia="仿宋_GB2312" w:cs="Times New Roman"/>
          <w:sz w:val="32"/>
          <w:szCs w:val="32"/>
          <w:lang w:val="en-US" w:eastAsia="zh-CN"/>
        </w:rPr>
        <w:t>71.42</w:t>
      </w:r>
      <w:r>
        <w:rPr>
          <w:rFonts w:hint="default" w:ascii="Times New Roman" w:hAnsi="Times New Roman" w:eastAsia="仿宋_GB2312" w:cs="Times New Roman"/>
          <w:sz w:val="32"/>
          <w:szCs w:val="32"/>
        </w:rPr>
        <w:t>万元，占</w:t>
      </w:r>
      <w:r>
        <w:rPr>
          <w:rFonts w:hint="eastAsia" w:eastAsia="仿宋_GB2312" w:cs="Times New Roman"/>
          <w:sz w:val="32"/>
          <w:szCs w:val="32"/>
          <w:lang w:val="en-US" w:eastAsia="zh-CN"/>
        </w:rPr>
        <w:t>4.94</w:t>
      </w:r>
      <w:r>
        <w:rPr>
          <w:rFonts w:hint="default" w:ascii="Times New Roman" w:hAnsi="Times New Roman" w:eastAsia="仿宋_GB2312" w:cs="Times New Roman"/>
          <w:sz w:val="32"/>
          <w:szCs w:val="32"/>
        </w:rPr>
        <w:t>%。</w:t>
      </w:r>
    </w:p>
    <w:p w14:paraId="6A15158A">
      <w:pPr>
        <w:pStyle w:val="2"/>
        <w:rPr>
          <w:rFonts w:hint="default" w:ascii="Times New Roman" w:hAnsi="Times New Roman" w:eastAsia="仿宋"/>
          <w:sz w:val="32"/>
          <w:szCs w:val="32"/>
          <w:lang w:val="en-US" w:eastAsia="zh-CN"/>
        </w:rPr>
      </w:pPr>
      <w:r>
        <w:rPr>
          <w:rFonts w:hint="eastAsia" w:ascii="Times New Roman" w:eastAsia="仿宋"/>
          <w:sz w:val="32"/>
          <w:szCs w:val="32"/>
          <w:lang w:val="en-US" w:eastAsia="zh-CN"/>
        </w:rPr>
        <w:t xml:space="preserve">    </w:t>
      </w: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863671">
      <w:pPr>
        <w:spacing w:line="600" w:lineRule="exact"/>
        <w:ind w:firstLine="640"/>
        <w:jc w:val="center"/>
        <w:rPr>
          <w:rFonts w:eastAsia="仿宋_GB2312" w:cs="仿宋_GB2312"/>
          <w:sz w:val="32"/>
          <w:szCs w:val="32"/>
        </w:rPr>
      </w:pPr>
      <w:r>
        <w:rPr>
          <w:rFonts w:hint="eastAsia" w:eastAsia="仿宋_GB2312" w:cs="仿宋_GB2312"/>
          <w:sz w:val="32"/>
          <w:szCs w:val="32"/>
        </w:rPr>
        <w:t>（图6：一般公共预算财政拨款支出决算结构）</w:t>
      </w:r>
    </w:p>
    <w:p w14:paraId="289E083B">
      <w:pPr>
        <w:spacing w:line="600" w:lineRule="exact"/>
        <w:ind w:firstLine="643" w:firstLineChars="200"/>
        <w:outlineLvl w:val="2"/>
        <w:rPr>
          <w:rFonts w:eastAsia="楷体_GB2312" w:cs="楷体_GB2312"/>
          <w:b/>
          <w:sz w:val="32"/>
          <w:szCs w:val="32"/>
        </w:rPr>
      </w:pPr>
      <w:bookmarkStart w:id="30" w:name="_Toc15377212"/>
      <w:r>
        <w:rPr>
          <w:rFonts w:hint="eastAsia" w:eastAsia="楷体_GB2312" w:cs="楷体_GB2312"/>
          <w:b/>
          <w:sz w:val="32"/>
          <w:szCs w:val="32"/>
        </w:rPr>
        <w:t>（三）一般公共预算财政拨款支出决算具体情况</w:t>
      </w:r>
      <w:bookmarkEnd w:id="30"/>
    </w:p>
    <w:p w14:paraId="35F0C43C">
      <w:pPr>
        <w:spacing w:line="600" w:lineRule="exact"/>
        <w:ind w:firstLine="640"/>
        <w:rPr>
          <w:rFonts w:hint="eastAsia" w:eastAsia="仿宋_GB2312" w:cs="仿宋_GB2312"/>
          <w:sz w:val="32"/>
          <w:szCs w:val="32"/>
        </w:rPr>
      </w:pPr>
      <w:bookmarkStart w:id="31" w:name="_Toc15377444"/>
      <w:bookmarkStart w:id="32" w:name="_Toc15377213"/>
      <w:bookmarkStart w:id="33" w:name="_Toc15378460"/>
      <w:r>
        <w:rPr>
          <w:rFonts w:hint="default" w:ascii="Times New Roman" w:hAnsi="Times New Roman" w:eastAsia="仿宋_GB2312" w:cs="Times New Roman"/>
          <w:sz w:val="32"/>
          <w:szCs w:val="32"/>
        </w:rPr>
        <w:t>2024年度一般公共预算财政拨款支出决算数为1445.23，完成预算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%。其中：</w:t>
      </w:r>
      <w:bookmarkEnd w:id="31"/>
      <w:bookmarkEnd w:id="32"/>
      <w:bookmarkEnd w:id="33"/>
    </w:p>
    <w:p w14:paraId="5843902C">
      <w:pPr>
        <w:spacing w:line="600" w:lineRule="exact"/>
        <w:ind w:firstLine="643" w:firstLineChars="200"/>
        <w:rPr>
          <w:rFonts w:ascii="Times New Roman" w:hAnsi="Times New Roman" w:eastAsia="仿宋"/>
          <w:color w:val="000000"/>
          <w:sz w:val="32"/>
          <w:szCs w:val="32"/>
        </w:rPr>
      </w:pPr>
      <w:r>
        <w:rPr>
          <w:rStyle w:val="17"/>
          <w:rFonts w:ascii="Times New Roman" w:hAnsi="Times New Roman" w:eastAsia="仿宋"/>
          <w:color w:val="000000"/>
          <w:sz w:val="32"/>
          <w:szCs w:val="32"/>
        </w:rPr>
        <w:t>1.</w:t>
      </w:r>
      <w:r>
        <w:rPr>
          <w:rStyle w:val="17"/>
          <w:rFonts w:ascii="Times New Roman" w:hAnsi="Times New Roman" w:eastAsia="仿宋"/>
          <w:bCs/>
          <w:sz w:val="32"/>
          <w:szCs w:val="32"/>
        </w:rPr>
        <w:t>社会保障和就业支出（类）行政事业单位养老支出（款）事业单位离退休（项）</w:t>
      </w:r>
      <w:r>
        <w:rPr>
          <w:rStyle w:val="17"/>
          <w:rFonts w:ascii="Times New Roman" w:hAnsi="Times New Roman" w:eastAsia="仿宋"/>
          <w:b w:val="0"/>
          <w:bCs/>
          <w:color w:val="000000"/>
          <w:sz w:val="32"/>
          <w:szCs w:val="32"/>
        </w:rPr>
        <w:t>:支出决算为</w:t>
      </w:r>
      <w:r>
        <w:rPr>
          <w:rStyle w:val="17"/>
          <w:rFonts w:hint="eastAsia" w:eastAsia="仿宋"/>
          <w:b w:val="0"/>
          <w:bCs/>
          <w:color w:val="000000"/>
          <w:sz w:val="32"/>
          <w:szCs w:val="32"/>
          <w:lang w:val="en-US" w:eastAsia="zh-CN"/>
        </w:rPr>
        <w:t>46.27</w:t>
      </w:r>
      <w:r>
        <w:rPr>
          <w:rStyle w:val="17"/>
          <w:rFonts w:ascii="Times New Roman" w:hAnsi="Times New Roman" w:eastAsia="仿宋"/>
          <w:b w:val="0"/>
          <w:bCs/>
          <w:color w:val="000000"/>
          <w:sz w:val="32"/>
          <w:szCs w:val="32"/>
        </w:rPr>
        <w:t>万元，完成预算100%，决算数等于预算数。</w:t>
      </w:r>
    </w:p>
    <w:p w14:paraId="4B773163">
      <w:pPr>
        <w:spacing w:line="600" w:lineRule="exact"/>
        <w:ind w:firstLine="643" w:firstLineChars="200"/>
        <w:rPr>
          <w:rStyle w:val="17"/>
          <w:rFonts w:ascii="Times New Roman" w:hAnsi="Times New Roman" w:eastAsia="仿宋"/>
          <w:b w:val="0"/>
          <w:bCs/>
          <w:color w:val="000000"/>
          <w:sz w:val="32"/>
          <w:szCs w:val="32"/>
        </w:rPr>
      </w:pPr>
      <w:r>
        <w:rPr>
          <w:rStyle w:val="17"/>
          <w:rFonts w:ascii="Times New Roman" w:hAnsi="Times New Roman" w:eastAsia="仿宋"/>
          <w:color w:val="000000"/>
          <w:sz w:val="32"/>
          <w:szCs w:val="32"/>
        </w:rPr>
        <w:t>2.</w:t>
      </w:r>
      <w:r>
        <w:rPr>
          <w:rStyle w:val="17"/>
          <w:rFonts w:ascii="Times New Roman" w:hAnsi="Times New Roman" w:eastAsia="仿宋"/>
          <w:bCs/>
          <w:sz w:val="32"/>
          <w:szCs w:val="32"/>
        </w:rPr>
        <w:t>社会保障和就业支出（类）行政事业单位养老支出（款）机关事业单位基本养老保险缴费支出（项）</w:t>
      </w:r>
      <w:r>
        <w:rPr>
          <w:rStyle w:val="17"/>
          <w:rFonts w:ascii="Times New Roman" w:hAnsi="Times New Roman" w:eastAsia="仿宋"/>
          <w:b w:val="0"/>
          <w:bCs/>
          <w:color w:val="000000"/>
          <w:sz w:val="32"/>
          <w:szCs w:val="32"/>
        </w:rPr>
        <w:t>:支出决算为</w:t>
      </w:r>
      <w:r>
        <w:rPr>
          <w:rStyle w:val="17"/>
          <w:rFonts w:hint="eastAsia" w:eastAsia="仿宋"/>
          <w:b w:val="0"/>
          <w:bCs/>
          <w:color w:val="000000"/>
          <w:sz w:val="32"/>
          <w:szCs w:val="32"/>
          <w:lang w:val="en-US" w:eastAsia="zh-CN"/>
        </w:rPr>
        <w:t>94.61</w:t>
      </w:r>
      <w:r>
        <w:rPr>
          <w:rStyle w:val="17"/>
          <w:rFonts w:ascii="Times New Roman" w:hAnsi="Times New Roman" w:eastAsia="仿宋"/>
          <w:b w:val="0"/>
          <w:bCs/>
          <w:color w:val="000000"/>
          <w:sz w:val="32"/>
          <w:szCs w:val="32"/>
        </w:rPr>
        <w:t>万元，完成预算100%，决算数等于预算数。</w:t>
      </w:r>
    </w:p>
    <w:p w14:paraId="5BBBD859">
      <w:pPr>
        <w:pStyle w:val="2"/>
        <w:spacing w:after="0" w:line="600" w:lineRule="exact"/>
        <w:ind w:firstLine="643" w:firstLineChars="200"/>
        <w:rPr>
          <w:rFonts w:ascii="Times New Roman" w:hAnsi="Times New Roman"/>
        </w:rPr>
      </w:pPr>
      <w:r>
        <w:rPr>
          <w:rStyle w:val="17"/>
          <w:rFonts w:hint="eastAsia" w:ascii="Times New Roman" w:eastAsia="仿宋"/>
          <w:bCs/>
          <w:sz w:val="32"/>
          <w:szCs w:val="32"/>
          <w:lang w:val="en-US" w:eastAsia="zh-CN"/>
        </w:rPr>
        <w:t>3</w:t>
      </w:r>
      <w:r>
        <w:rPr>
          <w:rStyle w:val="17"/>
          <w:rFonts w:ascii="Times New Roman" w:hAnsi="Times New Roman" w:eastAsia="仿宋"/>
          <w:bCs/>
          <w:sz w:val="32"/>
          <w:szCs w:val="32"/>
        </w:rPr>
        <w:t>.社会保障和就业支出（类）人力资源和社会保障管理事务（款）其他人力资源和社会保障管理事务支出（项）</w:t>
      </w:r>
      <w:r>
        <w:rPr>
          <w:rStyle w:val="17"/>
          <w:rFonts w:ascii="Times New Roman" w:hAnsi="Times New Roman" w:eastAsia="仿宋"/>
          <w:b w:val="0"/>
          <w:bCs/>
          <w:color w:val="000000"/>
          <w:sz w:val="32"/>
          <w:szCs w:val="32"/>
        </w:rPr>
        <w:t>:支出决算为</w:t>
      </w:r>
      <w:r>
        <w:rPr>
          <w:rStyle w:val="17"/>
          <w:rFonts w:hint="eastAsia" w:ascii="Times New Roman" w:eastAsia="仿宋"/>
          <w:b w:val="0"/>
          <w:bCs/>
          <w:color w:val="000000"/>
          <w:sz w:val="32"/>
          <w:szCs w:val="32"/>
          <w:lang w:val="en-US" w:eastAsia="zh-CN"/>
        </w:rPr>
        <w:t>0.8</w:t>
      </w:r>
      <w:r>
        <w:rPr>
          <w:rStyle w:val="17"/>
          <w:rFonts w:ascii="Times New Roman" w:hAnsi="Times New Roman" w:eastAsia="仿宋"/>
          <w:b w:val="0"/>
          <w:bCs/>
          <w:color w:val="000000"/>
          <w:sz w:val="32"/>
          <w:szCs w:val="32"/>
        </w:rPr>
        <w:t>万元，完成预算100%，决算数等于预算数。</w:t>
      </w:r>
    </w:p>
    <w:p w14:paraId="27BBA01A">
      <w:pPr>
        <w:spacing w:line="600" w:lineRule="exact"/>
        <w:ind w:firstLine="643" w:firstLineChars="200"/>
        <w:rPr>
          <w:rStyle w:val="17"/>
          <w:rFonts w:ascii="Times New Roman" w:hAnsi="Times New Roman" w:eastAsia="仿宋"/>
          <w:b w:val="0"/>
          <w:bCs/>
          <w:color w:val="000000"/>
          <w:sz w:val="32"/>
          <w:szCs w:val="32"/>
        </w:rPr>
      </w:pPr>
      <w:r>
        <w:rPr>
          <w:rStyle w:val="17"/>
          <w:rFonts w:hint="eastAsia" w:eastAsia="仿宋"/>
          <w:color w:val="000000"/>
          <w:sz w:val="32"/>
          <w:szCs w:val="32"/>
          <w:lang w:val="en-US" w:eastAsia="zh-CN"/>
        </w:rPr>
        <w:t>4</w:t>
      </w:r>
      <w:r>
        <w:rPr>
          <w:rStyle w:val="17"/>
          <w:rFonts w:ascii="Times New Roman" w:hAnsi="Times New Roman" w:eastAsia="仿宋"/>
          <w:color w:val="000000"/>
          <w:sz w:val="32"/>
          <w:szCs w:val="32"/>
        </w:rPr>
        <w:t>.</w:t>
      </w:r>
      <w:r>
        <w:rPr>
          <w:rStyle w:val="17"/>
          <w:rFonts w:ascii="Times New Roman" w:hAnsi="Times New Roman" w:eastAsia="仿宋"/>
          <w:bCs/>
          <w:sz w:val="32"/>
          <w:szCs w:val="32"/>
        </w:rPr>
        <w:t>自然资源海洋气象等支出（类）自然资源事务（款）事业运行（项）</w:t>
      </w:r>
      <w:r>
        <w:rPr>
          <w:rStyle w:val="17"/>
          <w:rFonts w:ascii="Times New Roman" w:hAnsi="Times New Roman" w:eastAsia="仿宋"/>
          <w:b w:val="0"/>
          <w:bCs/>
          <w:color w:val="000000"/>
          <w:sz w:val="32"/>
          <w:szCs w:val="32"/>
        </w:rPr>
        <w:t>:支出决算为</w:t>
      </w:r>
      <w:r>
        <w:rPr>
          <w:rStyle w:val="17"/>
          <w:rFonts w:hint="eastAsia" w:eastAsia="仿宋"/>
          <w:b w:val="0"/>
          <w:bCs/>
          <w:color w:val="000000"/>
          <w:sz w:val="32"/>
          <w:szCs w:val="32"/>
          <w:lang w:val="en-US" w:eastAsia="zh-CN"/>
        </w:rPr>
        <w:t>839.2</w:t>
      </w:r>
      <w:r>
        <w:rPr>
          <w:rStyle w:val="17"/>
          <w:rFonts w:ascii="Times New Roman" w:hAnsi="Times New Roman" w:eastAsia="仿宋"/>
          <w:b w:val="0"/>
          <w:bCs/>
          <w:color w:val="000000"/>
          <w:sz w:val="32"/>
          <w:szCs w:val="32"/>
        </w:rPr>
        <w:t>万元，完成预算100%，决算数等于预算数。</w:t>
      </w:r>
    </w:p>
    <w:p w14:paraId="529D6D73">
      <w:pPr>
        <w:spacing w:line="600" w:lineRule="exact"/>
        <w:ind w:firstLine="643" w:firstLineChars="200"/>
        <w:rPr>
          <w:rFonts w:ascii="Times New Roman" w:hAnsi="Times New Roman" w:eastAsia="仿宋"/>
          <w:bCs/>
          <w:color w:val="000000"/>
          <w:sz w:val="32"/>
          <w:szCs w:val="32"/>
        </w:rPr>
      </w:pPr>
      <w:r>
        <w:rPr>
          <w:rStyle w:val="17"/>
          <w:rFonts w:hint="eastAsia" w:eastAsia="仿宋"/>
          <w:color w:val="000000"/>
          <w:sz w:val="32"/>
          <w:szCs w:val="32"/>
          <w:lang w:val="en-US" w:eastAsia="zh-CN"/>
        </w:rPr>
        <w:t>5</w:t>
      </w:r>
      <w:r>
        <w:rPr>
          <w:rStyle w:val="17"/>
          <w:rFonts w:ascii="Times New Roman" w:hAnsi="Times New Roman" w:eastAsia="仿宋"/>
          <w:color w:val="000000"/>
          <w:sz w:val="32"/>
          <w:szCs w:val="32"/>
        </w:rPr>
        <w:t>.</w:t>
      </w:r>
      <w:r>
        <w:rPr>
          <w:rStyle w:val="17"/>
          <w:rFonts w:ascii="Times New Roman" w:hAnsi="Times New Roman" w:eastAsia="仿宋"/>
          <w:bCs/>
          <w:sz w:val="32"/>
          <w:szCs w:val="32"/>
        </w:rPr>
        <w:t>自然资源海洋气象等支出（类）自然资源事务（款）其他自然资源事务支出（项）</w:t>
      </w:r>
      <w:r>
        <w:rPr>
          <w:rStyle w:val="17"/>
          <w:rFonts w:ascii="Times New Roman" w:hAnsi="Times New Roman" w:eastAsia="仿宋"/>
          <w:b w:val="0"/>
          <w:bCs/>
          <w:color w:val="000000"/>
          <w:sz w:val="32"/>
          <w:szCs w:val="32"/>
        </w:rPr>
        <w:t>:支出决算为</w:t>
      </w:r>
      <w:r>
        <w:rPr>
          <w:rStyle w:val="17"/>
          <w:rFonts w:hint="eastAsia" w:eastAsia="仿宋"/>
          <w:b w:val="0"/>
          <w:bCs/>
          <w:color w:val="000000"/>
          <w:sz w:val="32"/>
          <w:szCs w:val="32"/>
          <w:lang w:val="en-US" w:eastAsia="zh-CN"/>
        </w:rPr>
        <w:t>331.14</w:t>
      </w:r>
      <w:r>
        <w:rPr>
          <w:rStyle w:val="17"/>
          <w:rFonts w:ascii="Times New Roman" w:hAnsi="Times New Roman" w:eastAsia="仿宋"/>
          <w:b w:val="0"/>
          <w:bCs/>
          <w:color w:val="000000"/>
          <w:sz w:val="32"/>
          <w:szCs w:val="32"/>
        </w:rPr>
        <w:t>万元，完成预算100%，决算数等于预算数。</w:t>
      </w:r>
    </w:p>
    <w:p w14:paraId="56028B19">
      <w:pPr>
        <w:spacing w:line="600" w:lineRule="exact"/>
        <w:ind w:firstLine="643" w:firstLineChars="200"/>
        <w:rPr>
          <w:rStyle w:val="17"/>
          <w:rFonts w:ascii="Times New Roman" w:hAnsi="Times New Roman" w:eastAsia="仿宋"/>
          <w:b w:val="0"/>
          <w:bCs/>
          <w:color w:val="000000"/>
          <w:sz w:val="32"/>
          <w:szCs w:val="32"/>
        </w:rPr>
      </w:pPr>
      <w:r>
        <w:rPr>
          <w:rStyle w:val="17"/>
          <w:rFonts w:hint="eastAsia" w:eastAsia="仿宋"/>
          <w:color w:val="000000"/>
          <w:sz w:val="32"/>
          <w:szCs w:val="32"/>
          <w:lang w:val="en-US" w:eastAsia="zh-CN"/>
        </w:rPr>
        <w:t>6</w:t>
      </w:r>
      <w:r>
        <w:rPr>
          <w:rStyle w:val="17"/>
          <w:rFonts w:ascii="Times New Roman" w:hAnsi="Times New Roman" w:eastAsia="仿宋"/>
          <w:color w:val="000000"/>
          <w:sz w:val="32"/>
          <w:szCs w:val="32"/>
        </w:rPr>
        <w:t>.</w:t>
      </w:r>
      <w:r>
        <w:rPr>
          <w:rStyle w:val="17"/>
          <w:rFonts w:ascii="Times New Roman" w:hAnsi="Times New Roman" w:eastAsia="仿宋"/>
          <w:bCs/>
          <w:sz w:val="32"/>
          <w:szCs w:val="32"/>
        </w:rPr>
        <w:t>住房保障支出（类）住房改革</w:t>
      </w:r>
      <w:bookmarkStart w:id="67" w:name="_GoBack"/>
      <w:bookmarkEnd w:id="67"/>
      <w:r>
        <w:rPr>
          <w:rStyle w:val="17"/>
          <w:rFonts w:ascii="Times New Roman" w:hAnsi="Times New Roman" w:eastAsia="仿宋"/>
          <w:bCs/>
          <w:sz w:val="32"/>
          <w:szCs w:val="32"/>
        </w:rPr>
        <w:t>支出（款）住房公积金（项）:</w:t>
      </w:r>
      <w:r>
        <w:rPr>
          <w:rStyle w:val="17"/>
          <w:rFonts w:ascii="Times New Roman" w:hAnsi="Times New Roman" w:eastAsia="仿宋"/>
          <w:b w:val="0"/>
          <w:bCs/>
          <w:color w:val="000000"/>
          <w:sz w:val="32"/>
          <w:szCs w:val="32"/>
        </w:rPr>
        <w:t>支出决算为</w:t>
      </w:r>
      <w:r>
        <w:rPr>
          <w:rStyle w:val="17"/>
          <w:rFonts w:hint="eastAsia" w:eastAsia="仿宋"/>
          <w:b w:val="0"/>
          <w:bCs/>
          <w:color w:val="000000"/>
          <w:sz w:val="32"/>
          <w:szCs w:val="32"/>
          <w:lang w:val="en-US" w:eastAsia="zh-CN"/>
        </w:rPr>
        <w:t>71.42</w:t>
      </w:r>
      <w:r>
        <w:rPr>
          <w:rStyle w:val="17"/>
          <w:rFonts w:ascii="Times New Roman" w:hAnsi="Times New Roman" w:eastAsia="仿宋"/>
          <w:b w:val="0"/>
          <w:bCs/>
          <w:color w:val="000000"/>
          <w:sz w:val="32"/>
          <w:szCs w:val="32"/>
        </w:rPr>
        <w:t>万元，完成预算100%，决算数等于预算数。</w:t>
      </w:r>
    </w:p>
    <w:p w14:paraId="38EA2E9D">
      <w:pPr>
        <w:spacing w:line="600" w:lineRule="exact"/>
        <w:ind w:firstLine="643" w:firstLineChars="200"/>
        <w:rPr>
          <w:rFonts w:ascii="Times New Roman" w:hAnsi="Times New Roman" w:eastAsia="仿宋"/>
          <w:b/>
          <w:sz w:val="32"/>
          <w:szCs w:val="32"/>
        </w:rPr>
      </w:pPr>
      <w:r>
        <w:rPr>
          <w:rStyle w:val="17"/>
          <w:rFonts w:hint="eastAsia" w:eastAsia="仿宋"/>
          <w:bCs/>
          <w:sz w:val="32"/>
          <w:szCs w:val="32"/>
          <w:lang w:val="en-US" w:eastAsia="zh-CN"/>
        </w:rPr>
        <w:t>7</w:t>
      </w:r>
      <w:r>
        <w:rPr>
          <w:rStyle w:val="17"/>
          <w:rFonts w:ascii="Times New Roman" w:hAnsi="Times New Roman" w:eastAsia="仿宋"/>
          <w:bCs/>
          <w:sz w:val="32"/>
          <w:szCs w:val="32"/>
        </w:rPr>
        <w:t>.一般公共服务（类）</w:t>
      </w:r>
      <w:r>
        <w:rPr>
          <w:rStyle w:val="17"/>
          <w:rFonts w:hint="eastAsia" w:eastAsia="仿宋"/>
          <w:bCs/>
          <w:sz w:val="32"/>
          <w:szCs w:val="32"/>
          <w:lang w:eastAsia="zh-CN"/>
        </w:rPr>
        <w:t>组织事务</w:t>
      </w:r>
      <w:r>
        <w:rPr>
          <w:rStyle w:val="17"/>
          <w:rFonts w:ascii="Times New Roman" w:hAnsi="Times New Roman" w:eastAsia="仿宋"/>
          <w:bCs/>
          <w:sz w:val="32"/>
          <w:szCs w:val="32"/>
        </w:rPr>
        <w:t>（款）其他</w:t>
      </w:r>
      <w:r>
        <w:rPr>
          <w:rStyle w:val="17"/>
          <w:rFonts w:hint="eastAsia" w:eastAsia="仿宋"/>
          <w:bCs/>
          <w:sz w:val="32"/>
          <w:szCs w:val="32"/>
          <w:lang w:eastAsia="zh-CN"/>
        </w:rPr>
        <w:t>组织事务</w:t>
      </w:r>
      <w:r>
        <w:rPr>
          <w:rStyle w:val="17"/>
          <w:rFonts w:ascii="Times New Roman" w:hAnsi="Times New Roman" w:eastAsia="仿宋"/>
          <w:bCs/>
          <w:sz w:val="32"/>
          <w:szCs w:val="32"/>
        </w:rPr>
        <w:t>支出（项）:</w:t>
      </w:r>
      <w:r>
        <w:rPr>
          <w:rStyle w:val="17"/>
          <w:rFonts w:ascii="Times New Roman" w:hAnsi="Times New Roman" w:eastAsia="仿宋"/>
          <w:b w:val="0"/>
          <w:bCs/>
          <w:sz w:val="32"/>
          <w:szCs w:val="32"/>
        </w:rPr>
        <w:t>支出决算为</w:t>
      </w:r>
      <w:r>
        <w:rPr>
          <w:rStyle w:val="17"/>
          <w:rFonts w:hint="eastAsia" w:eastAsia="仿宋"/>
          <w:b w:val="0"/>
          <w:bCs/>
          <w:sz w:val="32"/>
          <w:szCs w:val="32"/>
          <w:lang w:val="en-US" w:eastAsia="zh-CN"/>
        </w:rPr>
        <w:t>4.19</w:t>
      </w:r>
      <w:r>
        <w:rPr>
          <w:rStyle w:val="17"/>
          <w:rFonts w:ascii="Times New Roman" w:hAnsi="Times New Roman" w:eastAsia="仿宋"/>
          <w:b w:val="0"/>
          <w:bCs/>
          <w:sz w:val="32"/>
          <w:szCs w:val="32"/>
        </w:rPr>
        <w:t>万元，</w:t>
      </w:r>
      <w:r>
        <w:rPr>
          <w:rStyle w:val="17"/>
          <w:rFonts w:ascii="Times New Roman" w:hAnsi="Times New Roman" w:eastAsia="仿宋"/>
          <w:b w:val="0"/>
          <w:bCs/>
          <w:color w:val="000000"/>
          <w:sz w:val="32"/>
          <w:szCs w:val="32"/>
        </w:rPr>
        <w:t>完成预算100%，</w:t>
      </w:r>
      <w:r>
        <w:rPr>
          <w:rStyle w:val="17"/>
          <w:rFonts w:ascii="Times New Roman" w:hAnsi="Times New Roman" w:eastAsia="仿宋"/>
          <w:b w:val="0"/>
          <w:bCs/>
          <w:sz w:val="32"/>
          <w:szCs w:val="32"/>
        </w:rPr>
        <w:t>决算数等于预算数。</w:t>
      </w:r>
    </w:p>
    <w:p w14:paraId="7A865385">
      <w:pPr>
        <w:spacing w:line="600" w:lineRule="exact"/>
        <w:ind w:firstLine="643" w:firstLineChars="200"/>
        <w:rPr>
          <w:rStyle w:val="17"/>
          <w:rFonts w:ascii="Times New Roman" w:hAnsi="Times New Roman" w:eastAsia="仿宋"/>
          <w:b w:val="0"/>
          <w:bCs/>
          <w:sz w:val="32"/>
          <w:szCs w:val="32"/>
        </w:rPr>
      </w:pPr>
      <w:r>
        <w:rPr>
          <w:rStyle w:val="17"/>
          <w:rFonts w:hint="eastAsia" w:eastAsia="仿宋"/>
          <w:bCs/>
          <w:sz w:val="32"/>
          <w:szCs w:val="32"/>
          <w:lang w:val="en-US" w:eastAsia="zh-CN"/>
        </w:rPr>
        <w:t>8</w:t>
      </w:r>
      <w:r>
        <w:rPr>
          <w:rStyle w:val="17"/>
          <w:rFonts w:ascii="Times New Roman" w:hAnsi="Times New Roman" w:eastAsia="仿宋"/>
          <w:bCs/>
          <w:sz w:val="32"/>
          <w:szCs w:val="32"/>
        </w:rPr>
        <w:t>.</w:t>
      </w:r>
      <w:r>
        <w:rPr>
          <w:rFonts w:ascii="Times New Roman" w:hAnsi="Times New Roman" w:eastAsia="仿宋"/>
          <w:b/>
          <w:bCs/>
          <w:sz w:val="32"/>
          <w:szCs w:val="32"/>
        </w:rPr>
        <w:t>卫生健康</w:t>
      </w:r>
      <w:r>
        <w:rPr>
          <w:rStyle w:val="17"/>
          <w:rFonts w:ascii="Times New Roman" w:hAnsi="Times New Roman" w:eastAsia="仿宋"/>
          <w:bCs/>
          <w:sz w:val="32"/>
          <w:szCs w:val="32"/>
        </w:rPr>
        <w:t>（类）行政事业单位医疗（款）事业单位医疗（项）:</w:t>
      </w:r>
      <w:r>
        <w:rPr>
          <w:rStyle w:val="17"/>
          <w:rFonts w:ascii="Times New Roman" w:hAnsi="Times New Roman" w:eastAsia="仿宋"/>
          <w:b w:val="0"/>
          <w:bCs/>
          <w:sz w:val="32"/>
          <w:szCs w:val="32"/>
        </w:rPr>
        <w:t>支出决算为</w:t>
      </w:r>
      <w:r>
        <w:rPr>
          <w:rStyle w:val="17"/>
          <w:rFonts w:hint="eastAsia" w:eastAsia="仿宋"/>
          <w:b w:val="0"/>
          <w:bCs/>
          <w:sz w:val="32"/>
          <w:szCs w:val="32"/>
          <w:lang w:val="en-US" w:eastAsia="zh-CN"/>
        </w:rPr>
        <w:t>46.12</w:t>
      </w:r>
      <w:r>
        <w:rPr>
          <w:rStyle w:val="17"/>
          <w:rFonts w:ascii="Times New Roman" w:hAnsi="Times New Roman" w:eastAsia="仿宋"/>
          <w:b w:val="0"/>
          <w:bCs/>
          <w:sz w:val="32"/>
          <w:szCs w:val="32"/>
        </w:rPr>
        <w:t>万元，完成预算100%，决算数等于预算数。</w:t>
      </w:r>
    </w:p>
    <w:p w14:paraId="75130CCA">
      <w:pPr>
        <w:pStyle w:val="2"/>
        <w:spacing w:after="0" w:line="600" w:lineRule="exact"/>
        <w:ind w:firstLine="643" w:firstLineChars="200"/>
        <w:rPr>
          <w:rStyle w:val="17"/>
          <w:rFonts w:ascii="Times New Roman" w:hAnsi="Times New Roman" w:eastAsia="仿宋"/>
          <w:b w:val="0"/>
          <w:bCs/>
          <w:sz w:val="32"/>
          <w:szCs w:val="32"/>
        </w:rPr>
      </w:pPr>
      <w:r>
        <w:rPr>
          <w:rStyle w:val="17"/>
          <w:rFonts w:hint="eastAsia" w:ascii="Times New Roman" w:eastAsia="仿宋"/>
          <w:bCs/>
          <w:sz w:val="32"/>
          <w:szCs w:val="32"/>
          <w:lang w:val="en-US" w:eastAsia="zh-CN"/>
        </w:rPr>
        <w:t>9</w:t>
      </w:r>
      <w:r>
        <w:rPr>
          <w:rStyle w:val="17"/>
          <w:rFonts w:ascii="Times New Roman" w:hAnsi="Times New Roman" w:eastAsia="仿宋"/>
          <w:bCs/>
          <w:sz w:val="32"/>
          <w:szCs w:val="32"/>
        </w:rPr>
        <w:t>.</w:t>
      </w:r>
      <w:r>
        <w:rPr>
          <w:rFonts w:ascii="Times New Roman" w:hAnsi="Times New Roman" w:eastAsia="仿宋"/>
          <w:b/>
          <w:bCs/>
          <w:sz w:val="32"/>
          <w:szCs w:val="32"/>
        </w:rPr>
        <w:t>卫生健康</w:t>
      </w:r>
      <w:r>
        <w:rPr>
          <w:rStyle w:val="17"/>
          <w:rFonts w:ascii="Times New Roman" w:hAnsi="Times New Roman" w:eastAsia="仿宋"/>
          <w:bCs/>
          <w:sz w:val="32"/>
          <w:szCs w:val="32"/>
        </w:rPr>
        <w:t>（类）行政事业单位医疗（款）公务员医疗补助（项）:</w:t>
      </w:r>
      <w:r>
        <w:rPr>
          <w:rStyle w:val="17"/>
          <w:rFonts w:ascii="Times New Roman" w:hAnsi="Times New Roman" w:eastAsia="仿宋"/>
          <w:b w:val="0"/>
          <w:bCs/>
          <w:sz w:val="32"/>
          <w:szCs w:val="32"/>
        </w:rPr>
        <w:t>支出决算为</w:t>
      </w:r>
      <w:r>
        <w:rPr>
          <w:rStyle w:val="17"/>
          <w:rFonts w:hint="eastAsia" w:ascii="Times New Roman" w:eastAsia="仿宋"/>
          <w:b w:val="0"/>
          <w:bCs/>
          <w:sz w:val="32"/>
          <w:szCs w:val="32"/>
          <w:lang w:val="en-US" w:eastAsia="zh-CN"/>
        </w:rPr>
        <w:t>5.89</w:t>
      </w:r>
      <w:r>
        <w:rPr>
          <w:rStyle w:val="17"/>
          <w:rFonts w:ascii="Times New Roman" w:hAnsi="Times New Roman" w:eastAsia="仿宋"/>
          <w:b w:val="0"/>
          <w:bCs/>
          <w:sz w:val="32"/>
          <w:szCs w:val="32"/>
        </w:rPr>
        <w:t>万元，完成预算100%，决算数等于预算数。</w:t>
      </w:r>
    </w:p>
    <w:p w14:paraId="217E6AD0">
      <w:pPr>
        <w:pStyle w:val="3"/>
        <w:spacing w:line="600" w:lineRule="exact"/>
        <w:ind w:firstLine="643" w:firstLineChars="200"/>
        <w:rPr>
          <w:rFonts w:ascii="Times New Roman" w:hAnsi="Times New Roman"/>
        </w:rPr>
      </w:pPr>
      <w:r>
        <w:rPr>
          <w:rStyle w:val="17"/>
          <w:rFonts w:hint="eastAsia" w:ascii="Times New Roman" w:hAnsi="Times New Roman" w:eastAsia="仿宋"/>
          <w:bCs/>
          <w:sz w:val="32"/>
          <w:szCs w:val="32"/>
          <w:lang w:val="en-US" w:eastAsia="zh-CN"/>
        </w:rPr>
        <w:t>10</w:t>
      </w:r>
      <w:r>
        <w:rPr>
          <w:rStyle w:val="17"/>
          <w:rFonts w:ascii="Times New Roman" w:hAnsi="Times New Roman" w:eastAsia="仿宋"/>
          <w:bCs/>
          <w:sz w:val="32"/>
          <w:szCs w:val="32"/>
        </w:rPr>
        <w:t>.</w:t>
      </w:r>
      <w:r>
        <w:rPr>
          <w:rFonts w:ascii="Times New Roman" w:hAnsi="Times New Roman" w:eastAsia="仿宋"/>
          <w:b/>
          <w:bCs/>
          <w:sz w:val="32"/>
          <w:szCs w:val="32"/>
        </w:rPr>
        <w:t>卫生健康</w:t>
      </w:r>
      <w:r>
        <w:rPr>
          <w:rStyle w:val="17"/>
          <w:rFonts w:ascii="Times New Roman" w:hAnsi="Times New Roman" w:eastAsia="仿宋"/>
          <w:bCs/>
          <w:sz w:val="32"/>
          <w:szCs w:val="32"/>
        </w:rPr>
        <w:t>（类）行政事业单位医疗（款）其他行政事业单位医疗支出（项）:</w:t>
      </w:r>
      <w:r>
        <w:rPr>
          <w:rStyle w:val="17"/>
          <w:rFonts w:ascii="Times New Roman" w:hAnsi="Times New Roman" w:eastAsia="仿宋"/>
          <w:b w:val="0"/>
          <w:bCs/>
          <w:sz w:val="32"/>
          <w:szCs w:val="32"/>
        </w:rPr>
        <w:t>支出决算为</w:t>
      </w:r>
      <w:r>
        <w:rPr>
          <w:rStyle w:val="17"/>
          <w:rFonts w:hint="eastAsia" w:ascii="Times New Roman" w:hAnsi="Times New Roman" w:eastAsia="仿宋"/>
          <w:b w:val="0"/>
          <w:bCs/>
          <w:sz w:val="32"/>
          <w:szCs w:val="32"/>
          <w:lang w:val="en-US" w:eastAsia="zh-CN"/>
        </w:rPr>
        <w:t>5.6</w:t>
      </w:r>
      <w:r>
        <w:rPr>
          <w:rStyle w:val="17"/>
          <w:rFonts w:ascii="Times New Roman" w:hAnsi="Times New Roman" w:eastAsia="仿宋"/>
          <w:b w:val="0"/>
          <w:bCs/>
          <w:sz w:val="32"/>
          <w:szCs w:val="32"/>
        </w:rPr>
        <w:t>万元，完成预算100%，决算数等于预算数。</w:t>
      </w:r>
    </w:p>
    <w:p w14:paraId="558C4DBF">
      <w:pPr>
        <w:tabs>
          <w:tab w:val="right" w:pos="8306"/>
        </w:tabs>
        <w:spacing w:line="600" w:lineRule="exact"/>
        <w:ind w:firstLine="640"/>
        <w:outlineLvl w:val="1"/>
        <w:rPr>
          <w:rStyle w:val="29"/>
          <w:rFonts w:ascii="Times New Roman" w:hAnsi="Times New Roman"/>
        </w:rPr>
      </w:pPr>
      <w:bookmarkStart w:id="34" w:name="_Toc15377214"/>
      <w:bookmarkStart w:id="35" w:name="_Toc15396608"/>
      <w:r>
        <w:rPr>
          <w:rFonts w:hint="eastAsia" w:eastAsia="黑体"/>
          <w:sz w:val="32"/>
          <w:szCs w:val="32"/>
        </w:rPr>
        <w:t>六</w:t>
      </w:r>
      <w:r>
        <w:rPr>
          <w:rFonts w:hint="eastAsia" w:eastAsia="黑体"/>
          <w:b/>
          <w:sz w:val="32"/>
          <w:szCs w:val="32"/>
        </w:rPr>
        <w:t>、一</w:t>
      </w:r>
      <w:r>
        <w:rPr>
          <w:rStyle w:val="29"/>
          <w:rFonts w:hint="eastAsia" w:ascii="Times New Roman" w:hAnsi="Times New Roman" w:eastAsia="黑体"/>
          <w:b w:val="0"/>
        </w:rPr>
        <w:t>般公共预算财政拨款基本支出决算情况说明</w:t>
      </w:r>
      <w:bookmarkEnd w:id="34"/>
      <w:bookmarkEnd w:id="35"/>
      <w:r>
        <w:rPr>
          <w:rStyle w:val="29"/>
          <w:rFonts w:ascii="Times New Roman" w:hAnsi="Times New Roman" w:eastAsia="黑体"/>
          <w:b w:val="0"/>
        </w:rPr>
        <w:tab/>
      </w:r>
    </w:p>
    <w:p w14:paraId="0E0CA067">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2024年度一般公共预算财政拨款基本支出1114.1万元，其中：</w:t>
      </w:r>
    </w:p>
    <w:p w14:paraId="69010942">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人员经费1057.06万元，主要包括：基本工资、津贴补贴、绩效工资、机关事业单位基本养老保险缴费、</w:t>
      </w:r>
      <w:r>
        <w:rPr>
          <w:rFonts w:hint="default" w:ascii="Times New Roman" w:hAnsi="Times New Roman" w:eastAsia="仿宋" w:cs="Times New Roman"/>
          <w:sz w:val="32"/>
          <w:szCs w:val="32"/>
        </w:rPr>
        <w:t>职工基本医疗保险缴费</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rPr>
        <w:t>其他社会保障缴费、</w:t>
      </w:r>
      <w:r>
        <w:rPr>
          <w:rFonts w:hint="default" w:ascii="Times New Roman" w:hAnsi="Times New Roman" w:eastAsia="仿宋" w:cs="Times New Roman"/>
          <w:sz w:val="32"/>
          <w:szCs w:val="32"/>
        </w:rPr>
        <w:t>公务员医疗补助缴费、住房公积金</w:t>
      </w:r>
      <w:r>
        <w:rPr>
          <w:rFonts w:hint="default" w:ascii="Times New Roman" w:hAnsi="Times New Roman" w:eastAsia="仿宋" w:cs="Times New Roman"/>
          <w:sz w:val="32"/>
          <w:szCs w:val="32"/>
          <w:lang w:eastAsia="zh-CN"/>
        </w:rPr>
        <w:t>、其他工资福利支出</w:t>
      </w:r>
      <w:r>
        <w:rPr>
          <w:rFonts w:hint="default" w:ascii="Times New Roman" w:hAnsi="Times New Roman" w:eastAsia="仿宋_GB2312" w:cs="Times New Roman"/>
          <w:sz w:val="32"/>
          <w:szCs w:val="32"/>
        </w:rPr>
        <w:t>、生活补助、医疗费补助、奖励金</w:t>
      </w:r>
      <w:r>
        <w:rPr>
          <w:rFonts w:hint="default" w:ascii="Times New Roman" w:hAnsi="Times New Roman" w:eastAsia="仿宋_GB2312" w:cs="Times New Roman"/>
          <w:sz w:val="32"/>
          <w:szCs w:val="32"/>
          <w:lang w:eastAsia="zh-CN"/>
        </w:rPr>
        <w:t>、其他个人和家庭的补助支出</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公用经费57.04万元，主要包括：办公费、印刷费、邮电费、差旅费、培训费、公务接待费、劳务费、工会经费、福利费、公务用车运行维护费、其他交通费、其他商品和服务支出等。</w:t>
      </w:r>
    </w:p>
    <w:p w14:paraId="55ED8001">
      <w:pPr>
        <w:spacing w:line="600" w:lineRule="exact"/>
        <w:ind w:firstLine="640"/>
        <w:outlineLvl w:val="1"/>
        <w:rPr>
          <w:rStyle w:val="29"/>
          <w:rFonts w:ascii="Times New Roman" w:hAnsi="Times New Roman" w:eastAsia="黑体"/>
          <w:b w:val="0"/>
        </w:rPr>
      </w:pPr>
      <w:bookmarkStart w:id="36" w:name="_Toc15396609"/>
      <w:bookmarkStart w:id="37" w:name="_Toc15377215"/>
      <w:r>
        <w:rPr>
          <w:rFonts w:hint="eastAsia"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6"/>
      <w:bookmarkEnd w:id="37"/>
    </w:p>
    <w:p w14:paraId="0A70511A">
      <w:pPr>
        <w:spacing w:line="600" w:lineRule="exact"/>
        <w:ind w:firstLine="643" w:firstLineChars="200"/>
        <w:outlineLvl w:val="2"/>
        <w:rPr>
          <w:rFonts w:eastAsia="楷体_GB2312" w:cs="楷体_GB2312"/>
          <w:b/>
          <w:sz w:val="32"/>
          <w:szCs w:val="32"/>
        </w:rPr>
      </w:pPr>
      <w:bookmarkStart w:id="38" w:name="_Toc15377216"/>
      <w:r>
        <w:rPr>
          <w:rFonts w:hint="eastAsia" w:eastAsia="楷体_GB2312" w:cs="楷体_GB2312"/>
          <w:b/>
          <w:sz w:val="32"/>
          <w:szCs w:val="32"/>
        </w:rPr>
        <w:t>（一）“三公”经费财政拨款支出决算总体情况说明</w:t>
      </w:r>
      <w:bookmarkEnd w:id="38"/>
    </w:p>
    <w:p w14:paraId="3D0390EC">
      <w:pPr>
        <w:spacing w:line="600" w:lineRule="exact"/>
        <w:ind w:firstLine="640"/>
        <w:rPr>
          <w:rFonts w:hint="eastAsia" w:eastAsia="仿宋" w:cs="仿宋_GB2312"/>
          <w:b/>
          <w:bCs/>
          <w:sz w:val="32"/>
          <w:szCs w:val="32"/>
          <w:lang w:eastAsia="zh-CN"/>
        </w:rPr>
      </w:pPr>
      <w:r>
        <w:rPr>
          <w:rFonts w:hint="default" w:ascii="Times New Roman" w:hAnsi="Times New Roman" w:eastAsia="仿宋_GB2312" w:cs="Times New Roman"/>
          <w:sz w:val="32"/>
          <w:szCs w:val="32"/>
        </w:rPr>
        <w:t>2024年度“三公”经费财政拨款支出决算为1.22万元，完成预算100%，较上年度增加</w:t>
      </w:r>
      <w:r>
        <w:rPr>
          <w:rFonts w:hint="eastAsia" w:eastAsia="仿宋_GB2312" w:cs="Times New Roman"/>
          <w:sz w:val="32"/>
          <w:szCs w:val="32"/>
          <w:lang w:val="en-US" w:eastAsia="zh-CN"/>
        </w:rPr>
        <w:t>0.05</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4.27</w:t>
      </w:r>
      <w:r>
        <w:rPr>
          <w:rFonts w:hint="default" w:ascii="Times New Roman" w:hAnsi="Times New Roman" w:eastAsia="仿宋_GB2312" w:cs="Times New Roman"/>
          <w:sz w:val="32"/>
          <w:szCs w:val="32"/>
        </w:rPr>
        <w:t>%。决算数</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于预算数的主要原因是</w:t>
      </w:r>
      <w:r>
        <w:rPr>
          <w:rFonts w:ascii="Times New Roman" w:hAnsi="Times New Roman" w:eastAsia="仿宋"/>
          <w:color w:val="000000"/>
          <w:sz w:val="32"/>
          <w:szCs w:val="32"/>
        </w:rPr>
        <w:t>严控三公经费支出</w:t>
      </w:r>
      <w:r>
        <w:rPr>
          <w:rFonts w:hint="eastAsia" w:eastAsia="仿宋"/>
          <w:color w:val="000000"/>
          <w:sz w:val="32"/>
          <w:szCs w:val="32"/>
          <w:lang w:eastAsia="zh-CN"/>
        </w:rPr>
        <w:t>。</w:t>
      </w:r>
    </w:p>
    <w:p w14:paraId="6A1FBEB5">
      <w:pPr>
        <w:spacing w:line="600" w:lineRule="exact"/>
        <w:ind w:firstLine="643" w:firstLineChars="200"/>
        <w:outlineLvl w:val="2"/>
        <w:rPr>
          <w:rFonts w:eastAsia="楷体_GB2312" w:cs="楷体_GB2312"/>
          <w:b/>
          <w:sz w:val="32"/>
          <w:szCs w:val="32"/>
        </w:rPr>
      </w:pPr>
      <w:bookmarkStart w:id="39" w:name="_Toc15377217"/>
      <w:r>
        <w:rPr>
          <w:rFonts w:hint="eastAsia" w:eastAsia="楷体_GB2312" w:cs="楷体_GB2312"/>
          <w:b/>
          <w:sz w:val="32"/>
          <w:szCs w:val="32"/>
        </w:rPr>
        <w:t>（二）“三公”经费财政拨款支出决算具体情况说明</w:t>
      </w:r>
      <w:bookmarkEnd w:id="39"/>
    </w:p>
    <w:p w14:paraId="2F30D996">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2024年度“三公”经费财政拨款支出决算中，因公出国（境）费支出决算0万元，占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%；公务用车购置及运行维护费支出决算1.13万元，占</w:t>
      </w:r>
      <w:r>
        <w:rPr>
          <w:rFonts w:hint="eastAsia" w:eastAsia="仿宋_GB2312" w:cs="Times New Roman"/>
          <w:sz w:val="32"/>
          <w:szCs w:val="32"/>
          <w:lang w:val="en-US" w:eastAsia="zh-CN"/>
        </w:rPr>
        <w:t>92.62</w:t>
      </w:r>
      <w:r>
        <w:rPr>
          <w:rFonts w:hint="default" w:ascii="Times New Roman" w:hAnsi="Times New Roman" w:eastAsia="仿宋_GB2312" w:cs="Times New Roman"/>
          <w:sz w:val="32"/>
          <w:szCs w:val="32"/>
        </w:rPr>
        <w:t>%；公务接待费支出决算0.09万元，占</w:t>
      </w:r>
      <w:r>
        <w:rPr>
          <w:rFonts w:hint="eastAsia" w:eastAsia="仿宋_GB2312" w:cs="Times New Roman"/>
          <w:sz w:val="32"/>
          <w:szCs w:val="32"/>
          <w:lang w:val="en-US" w:eastAsia="zh-CN"/>
        </w:rPr>
        <w:t>7.38</w:t>
      </w:r>
      <w:r>
        <w:rPr>
          <w:rFonts w:hint="default" w:ascii="Times New Roman" w:hAnsi="Times New Roman" w:eastAsia="仿宋_GB2312" w:cs="Times New Roman"/>
          <w:sz w:val="32"/>
          <w:szCs w:val="32"/>
        </w:rPr>
        <w:t>%。具体情况如下：</w:t>
      </w:r>
    </w:p>
    <w:p w14:paraId="1CD8F4EB">
      <w:pPr>
        <w:pStyle w:val="2"/>
        <w:rPr>
          <w:rFonts w:hint="default" w:eastAsia="仿宋_GB2312"/>
          <w:lang w:val="en-US" w:eastAsia="zh-CN"/>
        </w:rPr>
      </w:pPr>
      <w:r>
        <w:rPr>
          <w:rFonts w:hint="eastAsia" w:ascii="Times New Roman" w:cs="Times New Roman"/>
          <w:sz w:val="32"/>
          <w:szCs w:val="32"/>
          <w:lang w:val="en-US" w:eastAsia="zh-CN"/>
        </w:rPr>
        <w:t xml:space="preserve">    </w:t>
      </w:r>
      <w:r>
        <w:drawing>
          <wp:inline distT="0" distB="0" distL="114300" distR="114300">
            <wp:extent cx="4572000" cy="2765425"/>
            <wp:effectExtent l="4445" t="4445" r="14605" b="1143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86204A">
      <w:pPr>
        <w:spacing w:line="600" w:lineRule="exact"/>
        <w:ind w:firstLine="640"/>
        <w:jc w:val="center"/>
        <w:rPr>
          <w:rFonts w:eastAsia="仿宋_GB2312" w:cs="仿宋_GB2312"/>
          <w:sz w:val="32"/>
          <w:szCs w:val="32"/>
        </w:rPr>
      </w:pPr>
      <w:r>
        <w:rPr>
          <w:rFonts w:hint="eastAsia" w:eastAsia="仿宋_GB2312" w:cs="仿宋_GB2312"/>
          <w:sz w:val="32"/>
          <w:szCs w:val="32"/>
        </w:rPr>
        <w:t>（图7：“三公”经费财政拨款支出结构）</w:t>
      </w:r>
    </w:p>
    <w:p w14:paraId="0BBFA69E">
      <w:pPr>
        <w:spacing w:line="600" w:lineRule="exact"/>
        <w:ind w:firstLine="640"/>
        <w:rPr>
          <w:rFonts w:hint="default" w:ascii="Times New Roman" w:hAnsi="Times New Roman" w:eastAsia="仿宋_GB2312" w:cs="Times New Roman"/>
          <w:sz w:val="32"/>
          <w:szCs w:val="32"/>
        </w:rPr>
      </w:pPr>
      <w:r>
        <w:rPr>
          <w:rFonts w:hint="eastAsia" w:eastAsia="仿宋_GB2312" w:cs="仿宋_GB2312"/>
          <w:b/>
          <w:bCs/>
          <w:sz w:val="32"/>
          <w:szCs w:val="32"/>
        </w:rPr>
        <w:t>1.因公出国（境）经费支出</w:t>
      </w:r>
      <w:r>
        <w:rPr>
          <w:rFonts w:hint="eastAsia" w:eastAsia="仿宋_GB2312" w:cs="仿宋_GB2312"/>
          <w:b/>
          <w:bCs/>
          <w:sz w:val="32"/>
          <w:szCs w:val="32"/>
          <w:lang w:val="en-US" w:eastAsia="zh-CN"/>
        </w:rPr>
        <w:t>0</w:t>
      </w:r>
      <w:r>
        <w:rPr>
          <w:rFonts w:hint="eastAsia" w:eastAsia="仿宋_GB2312" w:cs="仿宋_GB2312"/>
          <w:b/>
          <w:bCs/>
          <w:sz w:val="32"/>
          <w:szCs w:val="32"/>
        </w:rPr>
        <w:t>万元，完成预算</w:t>
      </w:r>
      <w:r>
        <w:rPr>
          <w:rFonts w:hint="eastAsia" w:eastAsia="仿宋_GB2312" w:cs="仿宋_GB2312"/>
          <w:b/>
          <w:bCs/>
          <w:sz w:val="32"/>
          <w:szCs w:val="32"/>
          <w:lang w:val="en-US" w:eastAsia="zh-CN"/>
        </w:rPr>
        <w:t>0</w:t>
      </w:r>
      <w:r>
        <w:rPr>
          <w:rFonts w:hint="eastAsia" w:eastAsia="仿宋_GB2312" w:cs="仿宋_GB2312"/>
          <w:b/>
          <w:bCs/>
          <w:sz w:val="32"/>
          <w:szCs w:val="32"/>
        </w:rPr>
        <w:t>%。</w:t>
      </w:r>
      <w:r>
        <w:rPr>
          <w:rFonts w:hint="default" w:ascii="Times New Roman" w:hAnsi="Times New Roman" w:eastAsia="仿宋_GB2312" w:cs="Times New Roman"/>
          <w:sz w:val="32"/>
          <w:szCs w:val="32"/>
        </w:rPr>
        <w:t>全年安排因公出国（境）团组0次，出国（境）0人。因公出国（境）支出决算比2023年增加/减少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万元，增长/下降</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w:t>
      </w:r>
    </w:p>
    <w:p w14:paraId="36E763C7">
      <w:pPr>
        <w:spacing w:line="600" w:lineRule="exact"/>
        <w:ind w:firstLine="640"/>
        <w:rPr>
          <w:rFonts w:hint="default" w:ascii="Times New Roman" w:hAnsi="Times New Roman" w:eastAsia="仿宋" w:cs="Times New Roman"/>
          <w:sz w:val="32"/>
          <w:szCs w:val="32"/>
          <w:lang w:eastAsia="zh-CN"/>
        </w:rPr>
      </w:pPr>
      <w:r>
        <w:rPr>
          <w:rFonts w:hint="eastAsia" w:eastAsia="仿宋_GB2312" w:cs="仿宋_GB2312"/>
          <w:b/>
          <w:bCs/>
          <w:sz w:val="32"/>
          <w:szCs w:val="32"/>
        </w:rPr>
        <w:t>2.公务用车购置及运行维护费支出</w:t>
      </w:r>
      <w:r>
        <w:rPr>
          <w:rFonts w:hint="eastAsia" w:ascii="仿宋_GB2312" w:hAnsi="仿宋_GB2312" w:eastAsia="仿宋_GB2312" w:cs="仿宋_GB2312"/>
          <w:b/>
          <w:bCs/>
          <w:sz w:val="32"/>
          <w:szCs w:val="32"/>
        </w:rPr>
        <w:t>1.13万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default" w:ascii="Times New Roman" w:hAnsi="Times New Roman" w:eastAsia="仿宋_GB2312" w:cs="Times New Roman"/>
          <w:sz w:val="32"/>
          <w:szCs w:val="32"/>
        </w:rPr>
        <w:t>公务用车购置及运行维护费支出决算比2023年度减少</w:t>
      </w:r>
      <w:r>
        <w:rPr>
          <w:rFonts w:hint="default" w:ascii="Times New Roman" w:hAnsi="Times New Roman" w:eastAsia="仿宋_GB2312" w:cs="Times New Roman"/>
          <w:sz w:val="32"/>
          <w:szCs w:val="32"/>
          <w:lang w:val="en-US" w:eastAsia="zh-CN"/>
        </w:rPr>
        <w:t>0.04</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3.42</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rPr>
        <w:t>严控公务出行费用</w:t>
      </w:r>
      <w:r>
        <w:rPr>
          <w:rFonts w:hint="default" w:ascii="Times New Roman" w:hAnsi="Times New Roman" w:eastAsia="仿宋" w:cs="Times New Roman"/>
          <w:sz w:val="32"/>
          <w:szCs w:val="32"/>
          <w:lang w:eastAsia="zh-CN"/>
        </w:rPr>
        <w:t>。</w:t>
      </w:r>
    </w:p>
    <w:p w14:paraId="306285F0">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其中：公务用车购置支出0万元。全年按规定更新购置公务用车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万元。截至2024年12月31日，单位共有公务用车</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辆，其中：轿车</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辆、越野车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7EC9AB79">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公务用车运行维护费支出1.13万元。主要用于</w:t>
      </w:r>
      <w:r>
        <w:rPr>
          <w:rFonts w:ascii="Times New Roman" w:hAnsi="Times New Roman" w:eastAsia="仿宋"/>
          <w:sz w:val="32"/>
          <w:szCs w:val="32"/>
        </w:rPr>
        <w:t>不动产登记上门服务、权籍调查等</w:t>
      </w:r>
      <w:r>
        <w:rPr>
          <w:rFonts w:hint="default" w:ascii="Times New Roman" w:hAnsi="Times New Roman" w:eastAsia="仿宋_GB2312" w:cs="Times New Roman"/>
          <w:sz w:val="32"/>
          <w:szCs w:val="32"/>
        </w:rPr>
        <w:t>所需的公务用车燃料费、维修费、过路过桥费、保险费等支出。</w:t>
      </w:r>
    </w:p>
    <w:p w14:paraId="4EB528B3">
      <w:pPr>
        <w:spacing w:line="600" w:lineRule="exact"/>
        <w:ind w:firstLine="640"/>
        <w:rPr>
          <w:rFonts w:hint="default" w:ascii="Times New Roman" w:hAnsi="Times New Roman" w:eastAsia="仿宋_GB2312" w:cs="Times New Roman"/>
          <w:sz w:val="32"/>
          <w:szCs w:val="32"/>
        </w:rPr>
      </w:pPr>
      <w:r>
        <w:rPr>
          <w:rFonts w:hint="eastAsia" w:eastAsia="仿宋_GB2312" w:cs="仿宋_GB2312"/>
          <w:b/>
          <w:bCs/>
          <w:sz w:val="32"/>
          <w:szCs w:val="32"/>
        </w:rPr>
        <w:t>3.公务接待费支出</w:t>
      </w:r>
      <w:r>
        <w:rPr>
          <w:rFonts w:hint="eastAsia" w:ascii="仿宋_GB2312" w:hAnsi="仿宋_GB2312" w:eastAsia="仿宋_GB2312" w:cs="仿宋_GB2312"/>
          <w:b/>
          <w:bCs/>
          <w:sz w:val="32"/>
          <w:szCs w:val="32"/>
        </w:rPr>
        <w:t>0.09万</w:t>
      </w:r>
      <w:r>
        <w:rPr>
          <w:rFonts w:hint="eastAsia" w:eastAsia="仿宋_GB2312" w:cs="仿宋_GB2312"/>
          <w:b/>
          <w:bCs/>
          <w:sz w:val="32"/>
          <w:szCs w:val="32"/>
        </w:rPr>
        <w:t>元，完成预算</w:t>
      </w:r>
      <w:r>
        <w:rPr>
          <w:rFonts w:hint="eastAsia" w:eastAsia="仿宋_GB2312" w:cs="仿宋_GB2312"/>
          <w:b/>
          <w:bCs/>
          <w:sz w:val="32"/>
          <w:szCs w:val="32"/>
          <w:lang w:val="en-US" w:eastAsia="zh-CN"/>
        </w:rPr>
        <w:t>100</w:t>
      </w:r>
      <w:r>
        <w:rPr>
          <w:rFonts w:hint="eastAsia" w:eastAsia="仿宋_GB2312" w:cs="仿宋_GB2312"/>
          <w:b/>
          <w:bCs/>
          <w:sz w:val="32"/>
          <w:szCs w:val="32"/>
        </w:rPr>
        <w:t>%。</w:t>
      </w:r>
      <w:r>
        <w:rPr>
          <w:rFonts w:hint="default" w:ascii="Times New Roman" w:hAnsi="Times New Roman" w:eastAsia="仿宋_GB2312" w:cs="Times New Roman"/>
          <w:sz w:val="32"/>
          <w:szCs w:val="32"/>
        </w:rPr>
        <w:t>公务接待费支出决算比2023年度增加</w:t>
      </w:r>
      <w:r>
        <w:rPr>
          <w:rFonts w:hint="default" w:ascii="Times New Roman" w:hAnsi="Times New Roman" w:eastAsia="仿宋_GB2312" w:cs="Times New Roman"/>
          <w:sz w:val="32"/>
          <w:szCs w:val="32"/>
          <w:lang w:val="en-US" w:eastAsia="zh-CN"/>
        </w:rPr>
        <w:t>0.09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按四川省自然资源厅的要求各市州开展了不动产登记工作交叉检查</w:t>
      </w:r>
      <w:r>
        <w:rPr>
          <w:rFonts w:hint="default" w:ascii="Times New Roman" w:hAnsi="Times New Roman" w:eastAsia="仿宋_GB2312" w:cs="Times New Roman"/>
          <w:sz w:val="32"/>
          <w:szCs w:val="32"/>
        </w:rPr>
        <w:t>。其中：</w:t>
      </w:r>
    </w:p>
    <w:p w14:paraId="1CB9C01A">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国内公务接待支出0.09万元，主要用于</w:t>
      </w:r>
      <w:r>
        <w:rPr>
          <w:rFonts w:hint="eastAsia" w:eastAsia="仿宋_GB2312" w:cs="Times New Roman"/>
          <w:sz w:val="32"/>
          <w:szCs w:val="32"/>
          <w:lang w:eastAsia="zh-CN"/>
        </w:rPr>
        <w:t>接待甘孜州自然资源和规划局赴攀枝花市开展不动产登记交叉检查工作的</w:t>
      </w:r>
      <w:r>
        <w:rPr>
          <w:rFonts w:hint="default" w:ascii="Times New Roman" w:hAnsi="Times New Roman" w:eastAsia="仿宋_GB2312" w:cs="Times New Roman"/>
          <w:sz w:val="32"/>
          <w:szCs w:val="32"/>
        </w:rPr>
        <w:t>用餐费。国内公务接待1批次，4人次（不包括陪同人员），共计支出</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rPr>
        <w:t>万元，具体内容包括：</w:t>
      </w:r>
      <w:r>
        <w:rPr>
          <w:rFonts w:hint="eastAsia" w:eastAsia="仿宋_GB2312" w:cs="Times New Roman"/>
          <w:sz w:val="32"/>
          <w:szCs w:val="32"/>
          <w:lang w:eastAsia="zh-CN"/>
        </w:rPr>
        <w:t>接待甘孜州自然资源和规划局到攀枝花市所辖不动产登记大厅开展交叉检查工作用餐费</w:t>
      </w:r>
      <w:r>
        <w:rPr>
          <w:rFonts w:hint="eastAsia" w:eastAsia="仿宋_GB2312" w:cs="Times New Roman"/>
          <w:sz w:val="32"/>
          <w:szCs w:val="32"/>
          <w:lang w:val="en-US" w:eastAsia="zh-CN"/>
        </w:rPr>
        <w:t>0.09万元</w:t>
      </w:r>
      <w:r>
        <w:rPr>
          <w:rFonts w:hint="default" w:ascii="Times New Roman" w:hAnsi="Times New Roman" w:eastAsia="仿宋_GB2312" w:cs="Times New Roman"/>
          <w:sz w:val="32"/>
          <w:szCs w:val="32"/>
        </w:rPr>
        <w:t>。</w:t>
      </w:r>
    </w:p>
    <w:p w14:paraId="69FE3C77">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外事接待支出0万元，外事接待0批次，0人次，共计支出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7190422F">
      <w:pPr>
        <w:spacing w:line="600" w:lineRule="exact"/>
        <w:ind w:firstLine="640"/>
        <w:outlineLvl w:val="1"/>
        <w:rPr>
          <w:rStyle w:val="29"/>
          <w:rFonts w:ascii="Times New Roman" w:hAnsi="Times New Roman" w:eastAsia="黑体"/>
        </w:rPr>
      </w:pPr>
      <w:bookmarkStart w:id="40" w:name="_Toc15396610"/>
      <w:bookmarkStart w:id="41" w:name="_Toc15377218"/>
      <w:r>
        <w:rPr>
          <w:rFonts w:hint="eastAsia" w:eastAsia="黑体"/>
          <w:sz w:val="32"/>
          <w:szCs w:val="32"/>
        </w:rPr>
        <w:t>八、</w:t>
      </w:r>
      <w:r>
        <w:rPr>
          <w:rStyle w:val="29"/>
          <w:rFonts w:hint="eastAsia" w:ascii="Times New Roman" w:hAnsi="Times New Roman" w:eastAsia="黑体"/>
          <w:b w:val="0"/>
        </w:rPr>
        <w:t>政府性基金预算支出决算情况说明</w:t>
      </w:r>
      <w:bookmarkEnd w:id="40"/>
      <w:bookmarkEnd w:id="41"/>
    </w:p>
    <w:p w14:paraId="35BB63F9">
      <w:pPr>
        <w:spacing w:line="600" w:lineRule="exact"/>
        <w:ind w:firstLine="640"/>
        <w:rPr>
          <w:rFonts w:hint="eastAsia" w:eastAsia="仿宋_GB2312" w:cs="仿宋_GB2312"/>
          <w:sz w:val="32"/>
          <w:szCs w:val="32"/>
          <w:lang w:eastAsia="zh-CN"/>
        </w:rPr>
      </w:pPr>
      <w:r>
        <w:rPr>
          <w:rFonts w:hint="default" w:ascii="Times New Roman" w:hAnsi="Times New Roman" w:eastAsia="仿宋_GB2312" w:cs="Times New Roman"/>
          <w:sz w:val="32"/>
          <w:szCs w:val="32"/>
        </w:rPr>
        <w:t>2024年度政府性基金预算财政拨款支出77.98万元，占本年支出合计的5.11%。与2023年度相比，政府性基金预算财政拨款支出增加</w:t>
      </w:r>
      <w:r>
        <w:rPr>
          <w:rFonts w:hint="eastAsia" w:eastAsia="仿宋_GB2312" w:cs="Times New Roman"/>
          <w:sz w:val="32"/>
          <w:szCs w:val="32"/>
          <w:lang w:val="en-US" w:eastAsia="zh-CN"/>
        </w:rPr>
        <w:t>77.98</w:t>
      </w:r>
      <w:r>
        <w:rPr>
          <w:rFonts w:hint="default" w:ascii="Times New Roman" w:hAnsi="Times New Roman" w:eastAsia="仿宋_GB2312" w:cs="Times New Roman"/>
          <w:sz w:val="32"/>
          <w:szCs w:val="32"/>
        </w:rPr>
        <w:t>万元。主要变动原因是</w:t>
      </w:r>
      <w:r>
        <w:rPr>
          <w:rFonts w:hint="eastAsia" w:eastAsia="仿宋_GB2312" w:cs="Times New Roman"/>
          <w:sz w:val="32"/>
          <w:szCs w:val="32"/>
          <w:lang w:eastAsia="zh-CN"/>
        </w:rPr>
        <w:t>财政下达项目资金，用于支付攀枝花市本级不动产登记数据整合建库项目及市不动产登记信息平台功能完善项目款项。</w:t>
      </w:r>
    </w:p>
    <w:p w14:paraId="22F5E4AC">
      <w:pPr>
        <w:spacing w:line="600" w:lineRule="exact"/>
        <w:ind w:left="630"/>
        <w:outlineLvl w:val="1"/>
        <w:rPr>
          <w:rStyle w:val="29"/>
          <w:rFonts w:ascii="Times New Roman" w:hAnsi="Times New Roman" w:eastAsia="黑体"/>
          <w:b w:val="0"/>
        </w:rPr>
      </w:pPr>
      <w:bookmarkStart w:id="42" w:name="_Toc15396611"/>
      <w:bookmarkStart w:id="43" w:name="_Toc15377219"/>
      <w:r>
        <w:rPr>
          <w:rStyle w:val="29"/>
          <w:rFonts w:hint="eastAsia" w:ascii="Times New Roman" w:hAnsi="Times New Roman" w:eastAsia="黑体"/>
          <w:b w:val="0"/>
        </w:rPr>
        <w:t>九、国有资本经营预算支出决算情况说明</w:t>
      </w:r>
      <w:bookmarkEnd w:id="42"/>
      <w:bookmarkEnd w:id="43"/>
    </w:p>
    <w:p w14:paraId="6811DD3C">
      <w:pPr>
        <w:spacing w:line="600" w:lineRule="exact"/>
        <w:ind w:firstLine="640"/>
        <w:rPr>
          <w:rFonts w:hint="eastAsia" w:eastAsia="仿宋_GB2312" w:cs="仿宋_GB2312"/>
          <w:sz w:val="32"/>
          <w:szCs w:val="32"/>
          <w:lang w:eastAsia="zh-CN"/>
        </w:rPr>
      </w:pPr>
      <w:r>
        <w:rPr>
          <w:rFonts w:hint="eastAsia" w:eastAsia="仿宋_GB2312" w:cs="仿宋_GB2312"/>
          <w:sz w:val="32"/>
          <w:szCs w:val="32"/>
        </w:rPr>
        <w:t>2024年度国有资本经营预算财政拨款支出</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64C2B54A">
      <w:pPr>
        <w:spacing w:line="600" w:lineRule="exact"/>
        <w:ind w:left="630"/>
        <w:outlineLvl w:val="1"/>
        <w:rPr>
          <w:rStyle w:val="29"/>
          <w:rFonts w:ascii="Times New Roman" w:hAnsi="Times New Roman" w:eastAsia="黑体"/>
          <w:b w:val="0"/>
        </w:rPr>
      </w:pPr>
      <w:bookmarkStart w:id="44" w:name="_Toc15396612"/>
      <w:bookmarkStart w:id="45" w:name="_Toc15377221"/>
      <w:r>
        <w:rPr>
          <w:rStyle w:val="29"/>
          <w:rFonts w:hint="eastAsia" w:ascii="Times New Roman" w:hAnsi="Times New Roman" w:eastAsia="黑体"/>
          <w:b w:val="0"/>
        </w:rPr>
        <w:t>十、其他重要事项的情况说明</w:t>
      </w:r>
      <w:bookmarkEnd w:id="44"/>
      <w:bookmarkEnd w:id="45"/>
    </w:p>
    <w:p w14:paraId="57B380B7">
      <w:pPr>
        <w:spacing w:line="600" w:lineRule="exact"/>
        <w:ind w:firstLine="643" w:firstLineChars="200"/>
        <w:outlineLvl w:val="2"/>
        <w:rPr>
          <w:rFonts w:eastAsia="楷体_GB2312" w:cs="楷体_GB2312"/>
          <w:b/>
          <w:sz w:val="32"/>
          <w:szCs w:val="32"/>
        </w:rPr>
      </w:pPr>
      <w:bookmarkStart w:id="46" w:name="_Toc15377222"/>
      <w:r>
        <w:rPr>
          <w:rFonts w:hint="eastAsia" w:eastAsia="楷体_GB2312" w:cs="楷体_GB2312"/>
          <w:b/>
          <w:sz w:val="32"/>
          <w:szCs w:val="32"/>
        </w:rPr>
        <w:t>（一）机关运行经费支出情况</w:t>
      </w:r>
      <w:bookmarkEnd w:id="46"/>
    </w:p>
    <w:p w14:paraId="6722052E">
      <w:pPr>
        <w:spacing w:line="600" w:lineRule="exact"/>
        <w:ind w:firstLine="640"/>
        <w:rPr>
          <w:rFonts w:eastAsia="仿宋_GB2312" w:cs="仿宋_GB2312"/>
          <w:sz w:val="32"/>
          <w:szCs w:val="32"/>
        </w:rPr>
      </w:pPr>
      <w:r>
        <w:rPr>
          <w:rFonts w:hint="default" w:ascii="Times New Roman" w:hAnsi="Times New Roman" w:eastAsia="仿宋_GB2312" w:cs="Times New Roman"/>
          <w:sz w:val="32"/>
          <w:szCs w:val="32"/>
        </w:rPr>
        <w:t>2024年度，攀枝花市不动产登记中心机关运行经费支出0万元，与2023年度决算数持平。</w:t>
      </w:r>
    </w:p>
    <w:p w14:paraId="17BA1957">
      <w:pPr>
        <w:spacing w:line="600" w:lineRule="exact"/>
        <w:ind w:firstLine="643" w:firstLineChars="200"/>
        <w:outlineLvl w:val="2"/>
        <w:rPr>
          <w:rFonts w:eastAsia="楷体_GB2312" w:cs="楷体_GB2312"/>
          <w:b/>
          <w:sz w:val="32"/>
          <w:szCs w:val="32"/>
        </w:rPr>
      </w:pPr>
      <w:bookmarkStart w:id="47" w:name="_Toc15377223"/>
      <w:r>
        <w:rPr>
          <w:rFonts w:hint="eastAsia" w:eastAsia="楷体_GB2312" w:cs="楷体_GB2312"/>
          <w:b/>
          <w:sz w:val="32"/>
          <w:szCs w:val="32"/>
        </w:rPr>
        <w:t>（二）政府采购支出情况</w:t>
      </w:r>
      <w:bookmarkEnd w:id="47"/>
    </w:p>
    <w:p w14:paraId="45093E26">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2024年度，攀枝花市不动产登记中心政府采购支出总额39.64万元，其中：政府采购货物支出0.46万元、政府采购工程支出0万元、政府采购服务支出39.18万元。主要用于</w:t>
      </w:r>
      <w:r>
        <w:rPr>
          <w:rFonts w:hint="eastAsia" w:eastAsia="仿宋_GB2312" w:cs="Times New Roman"/>
          <w:sz w:val="32"/>
          <w:szCs w:val="32"/>
          <w:lang w:val="en-US" w:eastAsia="zh-CN"/>
        </w:rPr>
        <w:t>不动产登记权籍调查与测绘服务采购项目、采购不动产权证书票据打印机、公务用车加油及维修</w:t>
      </w:r>
      <w:r>
        <w:rPr>
          <w:rFonts w:hint="default" w:ascii="Times New Roman" w:hAnsi="Times New Roman" w:eastAsia="仿宋_GB2312" w:cs="Times New Roman"/>
          <w:sz w:val="32"/>
          <w:szCs w:val="32"/>
        </w:rPr>
        <w:t>。授予中小企业合同金额39.42万元，占政府采购支出总额的99.43%，其中：授予小微企业合同金额39.22万元，占政府采购支出总额的98.93%。</w:t>
      </w:r>
    </w:p>
    <w:p w14:paraId="43E01395">
      <w:pPr>
        <w:spacing w:line="600" w:lineRule="exact"/>
        <w:ind w:firstLine="643" w:firstLineChars="200"/>
        <w:outlineLvl w:val="2"/>
        <w:rPr>
          <w:rFonts w:eastAsia="楷体_GB2312" w:cs="楷体_GB2312"/>
          <w:b/>
          <w:sz w:val="32"/>
          <w:szCs w:val="32"/>
        </w:rPr>
      </w:pPr>
      <w:bookmarkStart w:id="48" w:name="_Toc15377224"/>
      <w:r>
        <w:rPr>
          <w:rFonts w:hint="eastAsia" w:eastAsia="楷体_GB2312" w:cs="楷体_GB2312"/>
          <w:b/>
          <w:sz w:val="32"/>
          <w:szCs w:val="32"/>
        </w:rPr>
        <w:t>（三）国有资产占有使用情况</w:t>
      </w:r>
      <w:bookmarkEnd w:id="48"/>
    </w:p>
    <w:p w14:paraId="688FEF31">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截至2024年12月31日，攀枝花市不动产登记中心共有车辆1辆，其中：主要负责人用车0辆、机要通信用车0辆、应急保障用车0辆、其他用车1辆，其他用车主要是用于</w:t>
      </w:r>
      <w:r>
        <w:rPr>
          <w:rFonts w:ascii="Times New Roman" w:hAnsi="Times New Roman" w:eastAsia="仿宋_GB2312"/>
          <w:sz w:val="32"/>
          <w:szCs w:val="32"/>
        </w:rPr>
        <w:t>不动产登记工作、权籍调查工作</w:t>
      </w:r>
      <w:r>
        <w:rPr>
          <w:rFonts w:hint="default" w:ascii="Times New Roman" w:hAnsi="Times New Roman" w:eastAsia="仿宋_GB2312" w:cs="Times New Roman"/>
          <w:sz w:val="32"/>
          <w:szCs w:val="32"/>
        </w:rPr>
        <w:t>。单价100万元（含）以上设备（不含车辆）0台（套）。</w:t>
      </w:r>
    </w:p>
    <w:p w14:paraId="7E7C175C">
      <w:pPr>
        <w:spacing w:line="600" w:lineRule="exact"/>
        <w:ind w:firstLine="643" w:firstLineChars="200"/>
        <w:outlineLvl w:val="2"/>
        <w:rPr>
          <w:rFonts w:eastAsia="楷体_GB2312" w:cs="楷体_GB2312"/>
          <w:b/>
          <w:sz w:val="32"/>
          <w:szCs w:val="32"/>
        </w:rPr>
      </w:pPr>
      <w:r>
        <w:rPr>
          <w:rFonts w:hint="eastAsia" w:eastAsia="楷体_GB2312" w:cs="楷体_GB2312"/>
          <w:b/>
          <w:sz w:val="32"/>
          <w:szCs w:val="32"/>
        </w:rPr>
        <w:t>（四）预算绩效管理情况</w:t>
      </w:r>
    </w:p>
    <w:p w14:paraId="21FBF312">
      <w:pPr>
        <w:spacing w:line="60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根据预算绩效管理要求，</w:t>
      </w:r>
      <w:r>
        <w:rPr>
          <w:rFonts w:hint="eastAsia" w:eastAsia="仿宋_GB2312" w:cs="Times New Roman"/>
          <w:sz w:val="32"/>
          <w:szCs w:val="32"/>
          <w:lang w:eastAsia="zh-CN"/>
        </w:rPr>
        <w:t>本单位</w:t>
      </w:r>
      <w:r>
        <w:rPr>
          <w:rFonts w:hint="default" w:ascii="Times New Roman" w:hAnsi="Times New Roman" w:eastAsia="仿宋_GB2312" w:cs="Times New Roman"/>
          <w:sz w:val="32"/>
          <w:szCs w:val="32"/>
        </w:rPr>
        <w:t>在2024年度预算编制阶段，组织对不动产权籍调查与测绘服务项目</w:t>
      </w:r>
      <w:r>
        <w:rPr>
          <w:rFonts w:hint="eastAsia" w:eastAsia="仿宋_GB2312" w:cs="Times New Roman"/>
          <w:sz w:val="32"/>
          <w:szCs w:val="32"/>
          <w:lang w:eastAsia="zh-CN"/>
        </w:rPr>
        <w:t>、入驻政务中心单位租金、物业费及水电费、不动产登记成本费用、不动产数据整合项目、市不动产登记信息平台功能完善项目</w:t>
      </w:r>
      <w:r>
        <w:rPr>
          <w:rFonts w:hint="default" w:ascii="Times New Roman" w:hAnsi="Times New Roman" w:eastAsia="仿宋_GB2312" w:cs="Times New Roman"/>
          <w:sz w:val="32"/>
          <w:szCs w:val="32"/>
        </w:rPr>
        <w:t>等</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个项目开展了预算事前绩效评估，对</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个项目编制了绩效目标，预算执行过程中，选取</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个项目开展绩效监控。</w:t>
      </w:r>
      <w:r>
        <w:rPr>
          <w:rFonts w:ascii="Times New Roman" w:hAnsi="Times New Roman" w:eastAsia="仿宋_GB2312"/>
          <w:sz w:val="32"/>
          <w:szCs w:val="32"/>
        </w:rPr>
        <w:t>绩效自评表详见第四部分附件。</w:t>
      </w:r>
    </w:p>
    <w:p w14:paraId="3A2F13F9">
      <w:pPr>
        <w:pStyle w:val="2"/>
        <w:rPr>
          <w:rFonts w:hint="eastAsia" w:eastAsia="仿宋_GB2312" w:cs="仿宋_GB2312"/>
          <w:b/>
          <w:bCs/>
          <w:sz w:val="32"/>
          <w:szCs w:val="32"/>
        </w:rPr>
      </w:pPr>
    </w:p>
    <w:p w14:paraId="0BB8EE0E">
      <w:pPr>
        <w:pStyle w:val="3"/>
        <w:rPr>
          <w:rFonts w:hint="eastAsia" w:eastAsia="仿宋_GB2312" w:cs="仿宋_GB2312"/>
          <w:b/>
          <w:bCs/>
          <w:sz w:val="32"/>
          <w:szCs w:val="32"/>
        </w:rPr>
      </w:pPr>
    </w:p>
    <w:p w14:paraId="73C2FB30">
      <w:pPr>
        <w:pStyle w:val="3"/>
        <w:rPr>
          <w:rFonts w:hint="eastAsia" w:eastAsia="仿宋_GB2312" w:cs="仿宋_GB2312"/>
          <w:b/>
          <w:bCs/>
          <w:sz w:val="32"/>
          <w:szCs w:val="32"/>
        </w:rPr>
      </w:pPr>
    </w:p>
    <w:p w14:paraId="0F637BEB">
      <w:pPr>
        <w:pStyle w:val="3"/>
        <w:rPr>
          <w:rFonts w:hint="eastAsia" w:eastAsia="仿宋_GB2312" w:cs="仿宋_GB2312"/>
          <w:b/>
          <w:bCs/>
          <w:sz w:val="32"/>
          <w:szCs w:val="32"/>
        </w:rPr>
      </w:pPr>
    </w:p>
    <w:p w14:paraId="56095C20">
      <w:pPr>
        <w:pStyle w:val="3"/>
        <w:rPr>
          <w:rFonts w:hint="eastAsia" w:eastAsia="仿宋_GB2312" w:cs="仿宋_GB2312"/>
          <w:b/>
          <w:bCs/>
          <w:sz w:val="32"/>
          <w:szCs w:val="32"/>
        </w:rPr>
      </w:pPr>
    </w:p>
    <w:p w14:paraId="2DCF8F39">
      <w:pPr>
        <w:pStyle w:val="3"/>
        <w:rPr>
          <w:rFonts w:hint="eastAsia" w:eastAsia="仿宋_GB2312" w:cs="仿宋_GB2312"/>
          <w:b/>
          <w:bCs/>
          <w:sz w:val="32"/>
          <w:szCs w:val="32"/>
        </w:rPr>
      </w:pPr>
    </w:p>
    <w:p w14:paraId="5E3DB08E">
      <w:pPr>
        <w:pStyle w:val="3"/>
        <w:rPr>
          <w:rFonts w:hint="eastAsia" w:eastAsia="仿宋_GB2312" w:cs="仿宋_GB2312"/>
          <w:b/>
          <w:bCs/>
          <w:sz w:val="32"/>
          <w:szCs w:val="32"/>
        </w:rPr>
      </w:pPr>
    </w:p>
    <w:p w14:paraId="0A8212F5">
      <w:pPr>
        <w:pStyle w:val="3"/>
        <w:rPr>
          <w:rFonts w:hint="eastAsia" w:eastAsia="仿宋_GB2312" w:cs="仿宋_GB2312"/>
          <w:b/>
          <w:bCs/>
          <w:sz w:val="32"/>
          <w:szCs w:val="32"/>
        </w:rPr>
      </w:pPr>
    </w:p>
    <w:p w14:paraId="733B7991">
      <w:pPr>
        <w:pStyle w:val="3"/>
        <w:rPr>
          <w:rFonts w:hint="eastAsia" w:eastAsia="仿宋_GB2312" w:cs="仿宋_GB2312"/>
          <w:b/>
          <w:bCs/>
          <w:sz w:val="32"/>
          <w:szCs w:val="32"/>
        </w:rPr>
      </w:pPr>
    </w:p>
    <w:p w14:paraId="30B6CEEA">
      <w:pPr>
        <w:pStyle w:val="3"/>
        <w:rPr>
          <w:rFonts w:hint="eastAsia" w:eastAsia="仿宋_GB2312" w:cs="仿宋_GB2312"/>
          <w:b/>
          <w:bCs/>
          <w:sz w:val="32"/>
          <w:szCs w:val="32"/>
        </w:rPr>
      </w:pPr>
    </w:p>
    <w:p w14:paraId="3ED8888E">
      <w:pPr>
        <w:pStyle w:val="3"/>
        <w:rPr>
          <w:rFonts w:hint="eastAsia" w:eastAsia="仿宋_GB2312" w:cs="仿宋_GB2312"/>
          <w:b/>
          <w:bCs/>
          <w:sz w:val="32"/>
          <w:szCs w:val="32"/>
        </w:rPr>
      </w:pPr>
    </w:p>
    <w:p w14:paraId="7044DB7E">
      <w:pPr>
        <w:pStyle w:val="3"/>
        <w:rPr>
          <w:rFonts w:hint="eastAsia" w:eastAsia="仿宋_GB2312" w:cs="仿宋_GB2312"/>
          <w:b/>
          <w:bCs/>
          <w:sz w:val="32"/>
          <w:szCs w:val="32"/>
        </w:rPr>
      </w:pPr>
    </w:p>
    <w:p w14:paraId="38B85319">
      <w:pPr>
        <w:pStyle w:val="3"/>
        <w:rPr>
          <w:rFonts w:hint="eastAsia" w:eastAsia="仿宋_GB2312" w:cs="仿宋_GB2312"/>
          <w:b/>
          <w:bCs/>
          <w:sz w:val="32"/>
          <w:szCs w:val="32"/>
        </w:rPr>
      </w:pPr>
    </w:p>
    <w:p w14:paraId="11DB8DF4">
      <w:pPr>
        <w:pStyle w:val="3"/>
        <w:rPr>
          <w:rFonts w:hint="eastAsia" w:eastAsia="仿宋_GB2312" w:cs="仿宋_GB2312"/>
          <w:b/>
          <w:bCs/>
          <w:sz w:val="32"/>
          <w:szCs w:val="32"/>
        </w:rPr>
      </w:pPr>
    </w:p>
    <w:p w14:paraId="7BFDF868">
      <w:pPr>
        <w:pStyle w:val="3"/>
        <w:rPr>
          <w:rFonts w:hint="eastAsia" w:eastAsia="仿宋_GB2312" w:cs="仿宋_GB2312"/>
          <w:b/>
          <w:bCs/>
          <w:sz w:val="32"/>
          <w:szCs w:val="32"/>
        </w:rPr>
      </w:pPr>
    </w:p>
    <w:p w14:paraId="668A90D4">
      <w:pPr>
        <w:pStyle w:val="3"/>
        <w:rPr>
          <w:rFonts w:hint="eastAsia" w:eastAsia="仿宋_GB2312" w:cs="仿宋_GB2312"/>
          <w:b/>
          <w:bCs/>
          <w:sz w:val="32"/>
          <w:szCs w:val="32"/>
        </w:rPr>
      </w:pPr>
    </w:p>
    <w:p w14:paraId="57CC24AB">
      <w:pPr>
        <w:pStyle w:val="3"/>
        <w:rPr>
          <w:rFonts w:hint="eastAsia" w:eastAsia="仿宋_GB2312" w:cs="仿宋_GB2312"/>
          <w:b/>
          <w:bCs/>
          <w:sz w:val="32"/>
          <w:szCs w:val="32"/>
        </w:rPr>
      </w:pPr>
    </w:p>
    <w:p w14:paraId="54BF83DA">
      <w:pPr>
        <w:pStyle w:val="3"/>
        <w:rPr>
          <w:rFonts w:hint="eastAsia" w:eastAsia="仿宋_GB2312" w:cs="仿宋_GB2312"/>
          <w:b/>
          <w:bCs/>
          <w:sz w:val="32"/>
          <w:szCs w:val="32"/>
        </w:rPr>
      </w:pPr>
    </w:p>
    <w:p w14:paraId="3DEC51A8">
      <w:pPr>
        <w:spacing w:line="600" w:lineRule="exact"/>
        <w:jc w:val="center"/>
        <w:outlineLvl w:val="0"/>
        <w:rPr>
          <w:rFonts w:eastAsia="黑体"/>
          <w:sz w:val="44"/>
          <w:szCs w:val="44"/>
        </w:rPr>
      </w:pPr>
      <w:bookmarkStart w:id="49" w:name="_Toc15396613"/>
      <w:bookmarkStart w:id="50" w:name="_Toc15377225"/>
      <w:r>
        <w:rPr>
          <w:rFonts w:hint="eastAsia" w:eastAsia="黑体"/>
          <w:sz w:val="44"/>
          <w:szCs w:val="44"/>
        </w:rPr>
        <w:t>第三部分名词解释</w:t>
      </w:r>
      <w:bookmarkEnd w:id="49"/>
      <w:bookmarkEnd w:id="50"/>
    </w:p>
    <w:p w14:paraId="3DE5FDE6">
      <w:pPr>
        <w:spacing w:line="600" w:lineRule="exact"/>
        <w:jc w:val="left"/>
        <w:rPr>
          <w:b/>
          <w:sz w:val="44"/>
          <w:szCs w:val="44"/>
        </w:rPr>
      </w:pPr>
    </w:p>
    <w:p w14:paraId="4436A176">
      <w:pPr>
        <w:pStyle w:val="26"/>
        <w:numPr>
          <w:ilvl w:val="0"/>
          <w:numId w:val="0"/>
        </w:numPr>
        <w:spacing w:line="600" w:lineRule="atLeas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rPr>
        <w:t>1.财政拨款收入：指单位从同级财政部门取得的财政预算资金。</w:t>
      </w:r>
    </w:p>
    <w:p w14:paraId="14A04A55">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2.社会保障和就业支出（类）行政事业单位养老支出（款）事业单位离退休（项）：指事业单位开支的离退休经费。</w:t>
      </w:r>
    </w:p>
    <w:p w14:paraId="00CD27EA">
      <w:pPr>
        <w:pStyle w:val="26"/>
        <w:spacing w:line="600" w:lineRule="atLeas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3.社会保障和就业支出（类）行政事业单位养老支出（款）机关事业单位基本养老保险缴费支出（项）：指机关事业单位实施养老保险制度由单位缴纳的基本养老保险费支出。</w:t>
      </w:r>
    </w:p>
    <w:p w14:paraId="7985E8E6">
      <w:pPr>
        <w:pStyle w:val="26"/>
        <w:spacing w:line="600" w:lineRule="atLeast"/>
        <w:ind w:firstLine="640" w:firstLineChars="200"/>
        <w:rPr>
          <w:rFonts w:hint="default"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.社会保障和就业支出（类）人力资源和社会保障管理事务（款）其他人力资源和社会保障管理事务支出（项）：指其他用于人力资源和社会保障管理事务方面的支出。</w:t>
      </w:r>
    </w:p>
    <w:p w14:paraId="5A5EB0BA">
      <w:pPr>
        <w:spacing w:line="600" w:lineRule="atLeas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.自然资源海洋气象等支出（类）自然资源事务（款）事业运行（项）：指事业单位</w:t>
      </w:r>
      <w:r>
        <w:rPr>
          <w:rFonts w:hint="eastAsia" w:eastAsia="仿宋_GB2312" w:cs="Times New Roman"/>
          <w:sz w:val="32"/>
          <w:szCs w:val="32"/>
          <w:lang w:eastAsia="zh-CN"/>
        </w:rPr>
        <w:t>的基本支出</w:t>
      </w:r>
      <w:r>
        <w:rPr>
          <w:rFonts w:hint="default" w:ascii="Times New Roman" w:hAnsi="Times New Roman" w:eastAsia="仿宋_GB2312" w:cs="Times New Roman"/>
          <w:sz w:val="32"/>
          <w:szCs w:val="32"/>
        </w:rPr>
        <w:t>，不包括行政单位（包括实</w:t>
      </w:r>
      <w:r>
        <w:rPr>
          <w:rFonts w:hint="eastAsia" w:eastAsia="仿宋_GB2312" w:cs="Times New Roman"/>
          <w:sz w:val="32"/>
          <w:szCs w:val="32"/>
          <w:lang w:eastAsia="zh-CN"/>
        </w:rPr>
        <w:t>行</w:t>
      </w:r>
      <w:r>
        <w:rPr>
          <w:rFonts w:hint="default" w:ascii="Times New Roman" w:hAnsi="Times New Roman" w:eastAsia="仿宋_GB2312" w:cs="Times New Roman"/>
          <w:sz w:val="32"/>
          <w:szCs w:val="32"/>
        </w:rPr>
        <w:t>公务员管理的事业单位）</w:t>
      </w:r>
      <w:r>
        <w:rPr>
          <w:rFonts w:hint="eastAsia" w:eastAsia="仿宋_GB2312" w:cs="Times New Roman"/>
          <w:sz w:val="32"/>
          <w:szCs w:val="32"/>
          <w:lang w:eastAsia="zh-CN"/>
        </w:rPr>
        <w:t>后勤服务中心、医疗室等附属事业单位</w:t>
      </w:r>
      <w:r>
        <w:rPr>
          <w:rFonts w:hint="default" w:ascii="Times New Roman" w:hAnsi="Times New Roman" w:eastAsia="仿宋_GB2312" w:cs="Times New Roman"/>
          <w:sz w:val="32"/>
          <w:szCs w:val="32"/>
        </w:rPr>
        <w:t>。</w:t>
      </w:r>
    </w:p>
    <w:p w14:paraId="4C329DCE">
      <w:pPr>
        <w:spacing w:line="600" w:lineRule="atLeas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.自然资源海洋气象等支出（类）自然资源事务（款）其他自然资源事务支出（项）：指其他用于自然资源事务方面的支出。</w:t>
      </w:r>
    </w:p>
    <w:p w14:paraId="5FB8ACE2">
      <w:pPr>
        <w:spacing w:line="600" w:lineRule="atLeas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.住房保障支出（类）住房改革支出（款）住房公积金（项）:指行政事业单位按人力资源和社会保障部、财政部规定的基本工资和津贴补贴以及规定比例为职工缴纳的住房公积金。</w:t>
      </w:r>
    </w:p>
    <w:p w14:paraId="6100AC7B">
      <w:pPr>
        <w:pStyle w:val="2"/>
        <w:spacing w:after="0" w:line="600" w:lineRule="atLeast"/>
        <w:ind w:firstLine="640" w:firstLineChars="200"/>
        <w:rPr>
          <w:rFonts w:hint="default" w:ascii="Times New Roman" w:hAnsi="Times New Roman" w:eastAsia="仿宋_GB2312" w:cs="Times New Roman"/>
          <w:sz w:val="32"/>
          <w:szCs w:val="32"/>
        </w:rPr>
      </w:pPr>
      <w:r>
        <w:rPr>
          <w:rFonts w:hint="eastAsia" w:ascii="Times New Roman" w:cs="Times New Roman"/>
          <w:sz w:val="32"/>
          <w:szCs w:val="32"/>
          <w:lang w:val="en-US" w:eastAsia="zh-CN"/>
        </w:rPr>
        <w:t>8</w:t>
      </w:r>
      <w:r>
        <w:rPr>
          <w:rFonts w:hint="default" w:ascii="Times New Roman" w:hAnsi="Times New Roman" w:eastAsia="仿宋_GB2312" w:cs="Times New Roman"/>
          <w:sz w:val="32"/>
          <w:szCs w:val="32"/>
        </w:rPr>
        <w:t>.一般公共服务（类）</w:t>
      </w:r>
      <w:r>
        <w:rPr>
          <w:rFonts w:hint="eastAsia" w:ascii="Times New Roman" w:cs="Times New Roman"/>
          <w:sz w:val="32"/>
          <w:szCs w:val="32"/>
          <w:lang w:eastAsia="zh-CN"/>
        </w:rPr>
        <w:t>组织事务</w:t>
      </w:r>
      <w:r>
        <w:rPr>
          <w:rFonts w:hint="default" w:ascii="Times New Roman" w:hAnsi="Times New Roman" w:eastAsia="仿宋_GB2312" w:cs="Times New Roman"/>
          <w:sz w:val="32"/>
          <w:szCs w:val="32"/>
        </w:rPr>
        <w:t>（款）其他组织事务支出（项）：指其他</w:t>
      </w:r>
      <w:r>
        <w:rPr>
          <w:rFonts w:hint="eastAsia" w:ascii="Times New Roman" w:cs="Times New Roman"/>
          <w:sz w:val="32"/>
          <w:szCs w:val="32"/>
          <w:lang w:eastAsia="zh-CN"/>
        </w:rPr>
        <w:t>用于中国共产党组织部门的事务支出</w:t>
      </w:r>
      <w:r>
        <w:rPr>
          <w:rFonts w:hint="default" w:ascii="Times New Roman" w:hAnsi="Times New Roman" w:eastAsia="仿宋_GB2312" w:cs="Times New Roman"/>
          <w:sz w:val="32"/>
          <w:szCs w:val="32"/>
        </w:rPr>
        <w:t>。</w:t>
      </w:r>
    </w:p>
    <w:p w14:paraId="1BF9B420">
      <w:pPr>
        <w:pStyle w:val="3"/>
        <w:spacing w:line="600" w:lineRule="atLeast"/>
        <w:ind w:firstLine="640" w:firstLineChars="200"/>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9</w:t>
      </w:r>
      <w:r>
        <w:rPr>
          <w:rFonts w:hint="default" w:ascii="Times New Roman" w:hAnsi="Times New Roman" w:eastAsia="仿宋_GB2312" w:cs="Times New Roman"/>
          <w:kern w:val="2"/>
          <w:sz w:val="32"/>
          <w:szCs w:val="32"/>
        </w:rPr>
        <w:t>.卫生健康（类）行政事业单位医疗（款）事业单位医疗（项）:指财政部门安排的事业单位基本医疗保险缴费经费，未参加医疗保险的事业单位的公费医疗经费，按国家规定享受离休人员待遇的医疗经费。</w:t>
      </w:r>
    </w:p>
    <w:p w14:paraId="0E1E40DE">
      <w:pPr>
        <w:pStyle w:val="3"/>
        <w:spacing w:line="600" w:lineRule="atLeast"/>
        <w:ind w:firstLine="640" w:firstLineChars="200"/>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10</w:t>
      </w:r>
      <w:r>
        <w:rPr>
          <w:rFonts w:hint="default" w:ascii="Times New Roman" w:hAnsi="Times New Roman" w:eastAsia="仿宋_GB2312" w:cs="Times New Roman"/>
          <w:kern w:val="2"/>
          <w:sz w:val="32"/>
          <w:szCs w:val="32"/>
        </w:rPr>
        <w:t>.卫生健康（类）行政事业单位医疗（款）公务员医疗补助（项）:指财政部门安排的公务员医疗补助经费。</w:t>
      </w:r>
    </w:p>
    <w:p w14:paraId="0D49D299">
      <w:pPr>
        <w:pStyle w:val="3"/>
        <w:spacing w:line="600" w:lineRule="atLeast"/>
        <w:ind w:firstLine="640" w:firstLineChars="200"/>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.卫生健康（类）行政事业单位医疗（款）其他行政事业单位医疗支出（项）：指其他用于行政事业单位医疗方面的支出。</w:t>
      </w:r>
    </w:p>
    <w:p w14:paraId="3710A7A8">
      <w:pPr>
        <w:spacing w:line="600" w:lineRule="atLeas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.基本支出：指为保障机构正常运转、完成日常工作任务而发生的人员支出和公用支出。</w:t>
      </w:r>
    </w:p>
    <w:p w14:paraId="31A962C1">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.项目支出：指在基本支出之外为完成特定行政任务和事业发展目标所发生的支出。</w:t>
      </w:r>
    </w:p>
    <w:p w14:paraId="1AFB5D7F">
      <w:pPr>
        <w:pStyle w:val="26"/>
        <w:spacing w:line="600" w:lineRule="atLeas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eastAsia"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.“三公”经费：指单位用财政拨款安排的因公出国（境）费</w:t>
      </w:r>
      <w:r>
        <w:rPr>
          <w:rFonts w:hint="eastAsia" w:ascii="Times New Roman" w:hAnsi="Times New Roman" w:eastAsia="仿宋_GB2312" w:cs="Times New Roman"/>
          <w:color w:val="auto"/>
          <w:kern w:val="2"/>
          <w:sz w:val="32"/>
          <w:szCs w:val="32"/>
          <w:lang w:eastAsia="zh-CN"/>
        </w:rPr>
        <w:t>用</w:t>
      </w:r>
      <w:r>
        <w:rPr>
          <w:rFonts w:hint="default" w:ascii="Times New Roman" w:hAnsi="Times New Roman" w:eastAsia="仿宋_GB2312" w:cs="Times New Roman"/>
          <w:color w:val="auto"/>
          <w:kern w:val="2"/>
          <w:sz w:val="32"/>
          <w:szCs w:val="32"/>
        </w:rPr>
        <w:t>、公务用车购置及运行维护费和公务接待费。其中，因公出国（境）费</w:t>
      </w:r>
      <w:r>
        <w:rPr>
          <w:rFonts w:hint="eastAsia" w:ascii="Times New Roman" w:hAnsi="Times New Roman" w:eastAsia="仿宋_GB2312" w:cs="Times New Roman"/>
          <w:color w:val="auto"/>
          <w:kern w:val="2"/>
          <w:sz w:val="32"/>
          <w:szCs w:val="32"/>
          <w:lang w:eastAsia="zh-CN"/>
        </w:rPr>
        <w:t>用</w:t>
      </w:r>
      <w:r>
        <w:rPr>
          <w:rFonts w:hint="default" w:ascii="Times New Roman" w:hAnsi="Times New Roman" w:eastAsia="仿宋_GB2312" w:cs="Times New Roman"/>
          <w:color w:val="auto"/>
          <w:kern w:val="2"/>
          <w:sz w:val="32"/>
          <w:szCs w:val="32"/>
        </w:rPr>
        <w:t>反映单位公务出国（境）的国际旅费、国外城市间交通费、住宿费、伙食费、培训费、公杂费等支出；公务用车购置及运行维护费反映单位公务用车购置支出（含车辆购置税、牌照费）及单位按规定保留的公务用车燃料费、维修费、过桥过路费、保险费、安全奖励费用等支出；公务接待费</w:t>
      </w:r>
      <w:r>
        <w:rPr>
          <w:rFonts w:hint="eastAsia" w:ascii="Times New Roman" w:hAnsi="Times New Roman" w:eastAsia="仿宋_GB2312" w:cs="Times New Roman"/>
          <w:color w:val="auto"/>
          <w:kern w:val="2"/>
          <w:sz w:val="32"/>
          <w:szCs w:val="32"/>
          <w:lang w:eastAsia="zh-CN"/>
        </w:rPr>
        <w:t>反映</w:t>
      </w:r>
      <w:r>
        <w:rPr>
          <w:rFonts w:hint="default" w:ascii="Times New Roman" w:hAnsi="Times New Roman" w:eastAsia="仿宋_GB2312" w:cs="Times New Roman"/>
          <w:color w:val="auto"/>
          <w:kern w:val="2"/>
          <w:sz w:val="32"/>
          <w:szCs w:val="32"/>
        </w:rPr>
        <w:t>单位按规定开支的各类公务接待（含外宾接待）费用。</w:t>
      </w:r>
    </w:p>
    <w:p w14:paraId="2AEF1296">
      <w:pPr>
        <w:pStyle w:val="26"/>
        <w:spacing w:line="600" w:lineRule="atLeas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0D159F">
      <w:pPr>
        <w:spacing w:line="600" w:lineRule="exact"/>
        <w:ind w:firstLine="640"/>
        <w:rPr>
          <w:rFonts w:hint="default" w:ascii="Times New Roman" w:hAnsi="Times New Roman" w:eastAsia="仿宋_GB2312" w:cs="Times New Roman"/>
          <w:sz w:val="32"/>
          <w:szCs w:val="32"/>
        </w:rPr>
      </w:pPr>
    </w:p>
    <w:p w14:paraId="57315927">
      <w:pPr>
        <w:spacing w:line="600" w:lineRule="exact"/>
        <w:jc w:val="center"/>
        <w:rPr>
          <w:rStyle w:val="28"/>
          <w:rFonts w:eastAsia="黑体"/>
          <w:b w:val="0"/>
        </w:rPr>
      </w:pPr>
      <w:bookmarkStart w:id="51" w:name="_Toc15377226"/>
      <w:r>
        <w:rPr>
          <w:rFonts w:hint="eastAsia" w:eastAsia="仿宋_GB2312" w:cs="仿宋_GB2312"/>
          <w:sz w:val="32"/>
          <w:szCs w:val="32"/>
        </w:rPr>
        <w:br w:type="page"/>
      </w:r>
      <w:bookmarkStart w:id="52" w:name="_Toc15396614"/>
      <w:r>
        <w:rPr>
          <w:rFonts w:hint="eastAsia" w:eastAsia="黑体"/>
          <w:sz w:val="44"/>
          <w:szCs w:val="44"/>
        </w:rPr>
        <w:t>第四部分 附件</w:t>
      </w:r>
      <w:bookmarkEnd w:id="52"/>
    </w:p>
    <w:p w14:paraId="2DE51747">
      <w:pPr>
        <w:spacing w:line="572" w:lineRule="exact"/>
        <w:jc w:val="left"/>
        <w:outlineLvl w:val="0"/>
        <w:rPr>
          <w:rFonts w:eastAsia="黑体" w:cs="黑体"/>
          <w:color w:val="FF0000"/>
          <w:sz w:val="32"/>
          <w:szCs w:val="32"/>
        </w:rPr>
      </w:pPr>
    </w:p>
    <w:p w14:paraId="6153F759">
      <w:pPr>
        <w:pStyle w:val="8"/>
        <w:spacing w:line="560" w:lineRule="exact"/>
        <w:ind w:left="0" w:leftChars="0" w:firstLine="640"/>
        <w:rPr>
          <w:rFonts w:ascii="Times New Roman" w:eastAsia="仿宋_GB2312"/>
          <w:sz w:val="32"/>
          <w:lang w:val="zh-CN"/>
        </w:rPr>
      </w:pPr>
      <w:r>
        <w:rPr>
          <w:rFonts w:hint="eastAsia" w:ascii="Times New Roman" w:eastAsia="仿宋_GB2312"/>
          <w:sz w:val="32"/>
          <w:lang w:val="zh-CN"/>
        </w:rPr>
        <w:t>附件：攀枝花市不动产登记中心</w:t>
      </w:r>
      <w:r>
        <w:rPr>
          <w:rFonts w:hint="eastAsia" w:ascii="Times New Roman" w:eastAsia="仿宋_GB2312"/>
          <w:sz w:val="32"/>
        </w:rPr>
        <w:t>部门预算项目支出绩效自评表（2024年度）</w:t>
      </w:r>
    </w:p>
    <w:p w14:paraId="3A39C82F">
      <w:pPr>
        <w:pStyle w:val="8"/>
        <w:spacing w:line="560" w:lineRule="exact"/>
        <w:ind w:left="0" w:leftChars="0" w:firstLine="0" w:firstLineChars="0"/>
        <w:rPr>
          <w:rFonts w:ascii="Times New Roman"/>
          <w:sz w:val="32"/>
          <w:highlight w:val="yellow"/>
          <w:lang w:val="zh-CN"/>
        </w:rPr>
      </w:pPr>
    </w:p>
    <w:p w14:paraId="428FFD78">
      <w:pPr>
        <w:pStyle w:val="2"/>
        <w:spacing w:before="93"/>
        <w:rPr>
          <w:rFonts w:ascii="Times New Roman" w:cs="宋体"/>
          <w:color w:val="FF0000"/>
          <w:sz w:val="32"/>
          <w:szCs w:val="32"/>
          <w:highlight w:val="yellow"/>
          <w:shd w:val="clear" w:color="auto" w:fill="FFFFFF"/>
          <w:lang w:val="zh-CN"/>
        </w:rPr>
      </w:pPr>
    </w:p>
    <w:p w14:paraId="391D3D93">
      <w:pPr>
        <w:rPr>
          <w:rFonts w:eastAsia="仿宋_GB2312" w:cs="仿宋_GB2312"/>
          <w:kern w:val="0"/>
          <w:sz w:val="32"/>
          <w:szCs w:val="32"/>
        </w:rPr>
      </w:pPr>
      <w:r>
        <w:rPr>
          <w:rFonts w:hint="eastAsia" w:eastAsia="黑体" w:cs="黑体"/>
          <w:kern w:val="0"/>
          <w:sz w:val="32"/>
          <w:szCs w:val="32"/>
          <w:shd w:val="clear" w:color="auto" w:fill="FFFFFF"/>
          <w:lang w:val="zh-CN"/>
        </w:rPr>
        <w:br w:type="page"/>
      </w:r>
      <w:bookmarkStart w:id="53" w:name="_Toc15396618"/>
    </w:p>
    <w:p w14:paraId="28BDFCE7">
      <w:pPr>
        <w:widowControl/>
        <w:jc w:val="center"/>
        <w:rPr>
          <w:rFonts w:eastAsia="仿宋"/>
        </w:rPr>
      </w:pPr>
      <w:r>
        <w:rPr>
          <w:rFonts w:hint="eastAsia" w:eastAsia="黑体"/>
          <w:sz w:val="44"/>
          <w:szCs w:val="44"/>
        </w:rPr>
        <w:t>第</w:t>
      </w:r>
      <w:r>
        <w:rPr>
          <w:rStyle w:val="28"/>
          <w:rFonts w:hint="eastAsia" w:eastAsia="黑体"/>
          <w:b w:val="0"/>
        </w:rPr>
        <w:t>五部分 附表</w:t>
      </w:r>
      <w:bookmarkEnd w:id="51"/>
      <w:bookmarkEnd w:id="53"/>
      <w:bookmarkStart w:id="54" w:name="_Toc15396619"/>
    </w:p>
    <w:p w14:paraId="456917A4">
      <w:pPr>
        <w:pStyle w:val="14"/>
        <w:adjustRightInd w:val="0"/>
        <w:snapToGrid w:val="0"/>
        <w:spacing w:line="560" w:lineRule="exact"/>
        <w:jc w:val="left"/>
        <w:rPr>
          <w:rFonts w:eastAsia="仿宋_GB2312" w:cs="仿宋_GB2312"/>
          <w:sz w:val="32"/>
          <w:szCs w:val="32"/>
        </w:rPr>
      </w:pPr>
    </w:p>
    <w:p w14:paraId="12343293">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一、收入支出决算总表</w:t>
      </w:r>
      <w:bookmarkEnd w:id="54"/>
    </w:p>
    <w:p w14:paraId="643FE1C6">
      <w:pPr>
        <w:pStyle w:val="14"/>
        <w:adjustRightInd w:val="0"/>
        <w:snapToGrid w:val="0"/>
        <w:spacing w:line="560" w:lineRule="exact"/>
        <w:jc w:val="left"/>
        <w:rPr>
          <w:rFonts w:eastAsia="仿宋_GB2312" w:cs="仿宋_GB2312"/>
          <w:sz w:val="32"/>
          <w:szCs w:val="32"/>
        </w:rPr>
      </w:pPr>
      <w:bookmarkStart w:id="55" w:name="_Toc15396620"/>
      <w:r>
        <w:rPr>
          <w:rFonts w:hint="eastAsia" w:eastAsia="仿宋_GB2312" w:cs="仿宋_GB2312"/>
          <w:sz w:val="32"/>
          <w:szCs w:val="32"/>
        </w:rPr>
        <w:t>二、收入决算表</w:t>
      </w:r>
      <w:bookmarkEnd w:id="55"/>
    </w:p>
    <w:p w14:paraId="59E735DA">
      <w:pPr>
        <w:pStyle w:val="14"/>
        <w:adjustRightInd w:val="0"/>
        <w:snapToGrid w:val="0"/>
        <w:spacing w:line="560" w:lineRule="exact"/>
        <w:jc w:val="left"/>
        <w:rPr>
          <w:rFonts w:eastAsia="仿宋_GB2312" w:cs="仿宋_GB2312"/>
          <w:sz w:val="32"/>
          <w:szCs w:val="32"/>
        </w:rPr>
      </w:pPr>
      <w:bookmarkStart w:id="56" w:name="_Toc15396621"/>
      <w:r>
        <w:rPr>
          <w:rFonts w:hint="eastAsia" w:eastAsia="仿宋_GB2312" w:cs="仿宋_GB2312"/>
          <w:sz w:val="32"/>
          <w:szCs w:val="32"/>
        </w:rPr>
        <w:t>三、支出决算表</w:t>
      </w:r>
      <w:bookmarkEnd w:id="56"/>
    </w:p>
    <w:p w14:paraId="3BB4F3D7">
      <w:pPr>
        <w:pStyle w:val="14"/>
        <w:adjustRightInd w:val="0"/>
        <w:snapToGrid w:val="0"/>
        <w:spacing w:line="560" w:lineRule="exact"/>
        <w:jc w:val="left"/>
        <w:rPr>
          <w:rFonts w:eastAsia="仿宋_GB2312" w:cs="仿宋_GB2312"/>
          <w:sz w:val="32"/>
          <w:szCs w:val="32"/>
        </w:rPr>
      </w:pPr>
      <w:bookmarkStart w:id="57" w:name="_Toc15396622"/>
      <w:r>
        <w:rPr>
          <w:rFonts w:hint="eastAsia" w:eastAsia="仿宋_GB2312" w:cs="仿宋_GB2312"/>
          <w:sz w:val="32"/>
          <w:szCs w:val="32"/>
        </w:rPr>
        <w:t>四、财政拨款收入支出决算总表</w:t>
      </w:r>
      <w:bookmarkEnd w:id="57"/>
    </w:p>
    <w:p w14:paraId="3E87BD26">
      <w:pPr>
        <w:pStyle w:val="14"/>
        <w:adjustRightInd w:val="0"/>
        <w:snapToGrid w:val="0"/>
        <w:spacing w:line="560" w:lineRule="exact"/>
        <w:jc w:val="left"/>
        <w:rPr>
          <w:rFonts w:eastAsia="仿宋_GB2312" w:cs="仿宋_GB2312"/>
          <w:sz w:val="32"/>
          <w:szCs w:val="32"/>
        </w:rPr>
      </w:pPr>
      <w:bookmarkStart w:id="58" w:name="_Toc15396623"/>
      <w:r>
        <w:rPr>
          <w:rFonts w:hint="eastAsia" w:eastAsia="仿宋_GB2312" w:cs="仿宋_GB2312"/>
          <w:sz w:val="32"/>
          <w:szCs w:val="32"/>
        </w:rPr>
        <w:t>五、财政拨款支出决算明细表</w:t>
      </w:r>
      <w:bookmarkEnd w:id="58"/>
      <w:bookmarkStart w:id="59" w:name="_Toc15396624"/>
    </w:p>
    <w:p w14:paraId="603D23B2">
      <w:pPr>
        <w:pStyle w:val="14"/>
        <w:adjustRightInd w:val="0"/>
        <w:snapToGrid w:val="0"/>
        <w:spacing w:line="560" w:lineRule="exact"/>
        <w:jc w:val="left"/>
        <w:rPr>
          <w:rFonts w:eastAsia="仿宋_GB2312" w:cs="仿宋_GB2312"/>
          <w:sz w:val="32"/>
          <w:szCs w:val="32"/>
        </w:rPr>
      </w:pPr>
      <w:r>
        <w:rPr>
          <w:rFonts w:hint="eastAsia" w:eastAsia="仿宋_GB2312" w:cs="仿宋_GB2312"/>
          <w:sz w:val="32"/>
          <w:szCs w:val="32"/>
        </w:rPr>
        <w:t>六、一般公共预算财政拨款支出决算表</w:t>
      </w:r>
      <w:bookmarkEnd w:id="59"/>
    </w:p>
    <w:p w14:paraId="4478DB73">
      <w:pPr>
        <w:pStyle w:val="14"/>
        <w:adjustRightInd w:val="0"/>
        <w:snapToGrid w:val="0"/>
        <w:spacing w:line="560" w:lineRule="exact"/>
        <w:jc w:val="left"/>
        <w:rPr>
          <w:rFonts w:eastAsia="仿宋_GB2312" w:cs="仿宋_GB2312"/>
          <w:sz w:val="32"/>
          <w:szCs w:val="32"/>
        </w:rPr>
      </w:pPr>
      <w:bookmarkStart w:id="60" w:name="_Toc15396625"/>
      <w:r>
        <w:rPr>
          <w:rFonts w:hint="eastAsia" w:eastAsia="仿宋_GB2312" w:cs="仿宋_GB2312"/>
          <w:sz w:val="32"/>
          <w:szCs w:val="32"/>
        </w:rPr>
        <w:t>七、一般公共预算财政拨款支出决算明细表</w:t>
      </w:r>
      <w:bookmarkEnd w:id="60"/>
    </w:p>
    <w:p w14:paraId="0FAE5E0C">
      <w:pPr>
        <w:pStyle w:val="14"/>
        <w:adjustRightInd w:val="0"/>
        <w:snapToGrid w:val="0"/>
        <w:spacing w:line="560" w:lineRule="exact"/>
        <w:jc w:val="left"/>
        <w:rPr>
          <w:rFonts w:eastAsia="仿宋_GB2312" w:cs="仿宋_GB2312"/>
          <w:sz w:val="32"/>
          <w:szCs w:val="32"/>
        </w:rPr>
      </w:pPr>
      <w:bookmarkStart w:id="61" w:name="_Toc15396626"/>
      <w:r>
        <w:rPr>
          <w:rFonts w:hint="eastAsia" w:eastAsia="仿宋_GB2312" w:cs="仿宋_GB2312"/>
          <w:sz w:val="32"/>
          <w:szCs w:val="32"/>
        </w:rPr>
        <w:t>八、一般公共预算财政拨款基本支出决算</w:t>
      </w:r>
      <w:r>
        <w:rPr>
          <w:rFonts w:hint="eastAsia" w:eastAsia="仿宋_GB2312" w:cs="仿宋_GB2312"/>
          <w:sz w:val="32"/>
          <w:szCs w:val="32"/>
          <w:lang w:eastAsia="zh-CN"/>
        </w:rPr>
        <w:t>明细</w:t>
      </w:r>
      <w:r>
        <w:rPr>
          <w:rFonts w:hint="eastAsia" w:eastAsia="仿宋_GB2312" w:cs="仿宋_GB2312"/>
          <w:sz w:val="32"/>
          <w:szCs w:val="32"/>
        </w:rPr>
        <w:t>表</w:t>
      </w:r>
      <w:bookmarkEnd w:id="61"/>
    </w:p>
    <w:p w14:paraId="6645EB2E">
      <w:pPr>
        <w:pStyle w:val="14"/>
        <w:adjustRightInd w:val="0"/>
        <w:snapToGrid w:val="0"/>
        <w:spacing w:line="560" w:lineRule="exact"/>
        <w:jc w:val="left"/>
        <w:rPr>
          <w:rFonts w:eastAsia="仿宋_GB2312" w:cs="仿宋_GB2312"/>
          <w:sz w:val="32"/>
          <w:szCs w:val="32"/>
        </w:rPr>
      </w:pPr>
      <w:bookmarkStart w:id="62" w:name="_Toc15396627"/>
      <w:r>
        <w:rPr>
          <w:rFonts w:hint="eastAsia" w:eastAsia="仿宋_GB2312" w:cs="仿宋_GB2312"/>
          <w:sz w:val="32"/>
          <w:szCs w:val="32"/>
        </w:rPr>
        <w:t>九、一般公共预算财政拨款项目支出决算表</w:t>
      </w:r>
      <w:bookmarkEnd w:id="62"/>
    </w:p>
    <w:p w14:paraId="1C7711E2">
      <w:pPr>
        <w:pStyle w:val="14"/>
        <w:adjustRightInd w:val="0"/>
        <w:snapToGrid w:val="0"/>
        <w:spacing w:line="560" w:lineRule="exact"/>
        <w:jc w:val="left"/>
        <w:rPr>
          <w:rFonts w:eastAsia="仿宋_GB2312" w:cs="仿宋_GB2312"/>
          <w:sz w:val="32"/>
          <w:szCs w:val="32"/>
        </w:rPr>
      </w:pPr>
      <w:bookmarkStart w:id="63" w:name="_Toc15396628"/>
      <w:r>
        <w:rPr>
          <w:rFonts w:hint="eastAsia" w:eastAsia="仿宋_GB2312" w:cs="仿宋_GB2312"/>
          <w:sz w:val="32"/>
          <w:szCs w:val="32"/>
        </w:rPr>
        <w:t>十、</w:t>
      </w:r>
      <w:bookmarkEnd w:id="63"/>
      <w:r>
        <w:rPr>
          <w:rFonts w:hint="eastAsia" w:eastAsia="仿宋_GB2312" w:cs="仿宋_GB2312"/>
          <w:sz w:val="32"/>
          <w:szCs w:val="32"/>
        </w:rPr>
        <w:t>政府性基金预算财政拨款收入支出决算表</w:t>
      </w:r>
    </w:p>
    <w:p w14:paraId="2B60F65B">
      <w:pPr>
        <w:pStyle w:val="14"/>
        <w:adjustRightInd w:val="0"/>
        <w:snapToGrid w:val="0"/>
        <w:spacing w:line="560" w:lineRule="exact"/>
        <w:jc w:val="left"/>
        <w:rPr>
          <w:rFonts w:hint="eastAsia" w:eastAsia="仿宋_GB2312" w:cs="仿宋_GB2312"/>
          <w:sz w:val="32"/>
          <w:szCs w:val="32"/>
          <w:lang w:eastAsia="zh-CN"/>
        </w:rPr>
      </w:pPr>
      <w:bookmarkStart w:id="64" w:name="_Toc15396629"/>
      <w:r>
        <w:rPr>
          <w:rFonts w:hint="eastAsia" w:eastAsia="仿宋_GB2312" w:cs="仿宋_GB2312"/>
          <w:sz w:val="32"/>
          <w:szCs w:val="32"/>
        </w:rPr>
        <w:t>十一、</w:t>
      </w:r>
      <w:bookmarkEnd w:id="64"/>
      <w:r>
        <w:rPr>
          <w:rFonts w:hint="eastAsia" w:eastAsia="仿宋_GB2312" w:cs="仿宋_GB2312"/>
          <w:sz w:val="32"/>
          <w:szCs w:val="32"/>
        </w:rPr>
        <w:t>国有资本经营预算财政拨款收入支出决算表</w:t>
      </w:r>
      <w:r>
        <w:rPr>
          <w:rFonts w:hint="eastAsia" w:eastAsia="仿宋_GB2312" w:cs="仿宋_GB2312"/>
          <w:sz w:val="32"/>
          <w:szCs w:val="32"/>
          <w:lang w:eastAsia="zh-CN"/>
        </w:rPr>
        <w:t>（此表无数据）</w:t>
      </w:r>
    </w:p>
    <w:p w14:paraId="68624480">
      <w:pPr>
        <w:pStyle w:val="14"/>
        <w:adjustRightInd w:val="0"/>
        <w:snapToGrid w:val="0"/>
        <w:spacing w:line="560" w:lineRule="exact"/>
        <w:jc w:val="left"/>
        <w:rPr>
          <w:rFonts w:eastAsia="仿宋_GB2312" w:cs="仿宋_GB2312"/>
          <w:sz w:val="32"/>
          <w:szCs w:val="32"/>
        </w:rPr>
      </w:pPr>
      <w:bookmarkStart w:id="65" w:name="_Toc15396630"/>
      <w:r>
        <w:rPr>
          <w:rFonts w:hint="eastAsia" w:eastAsia="仿宋_GB2312" w:cs="仿宋_GB2312"/>
          <w:sz w:val="32"/>
          <w:szCs w:val="32"/>
        </w:rPr>
        <w:t>十二、</w:t>
      </w:r>
      <w:bookmarkEnd w:id="65"/>
      <w:r>
        <w:rPr>
          <w:rFonts w:hint="eastAsia" w:eastAsia="仿宋_GB2312" w:cs="仿宋_GB2312"/>
          <w:sz w:val="32"/>
          <w:szCs w:val="32"/>
        </w:rPr>
        <w:t>国有资本经营预算财政拨款支出决算表</w:t>
      </w:r>
      <w:r>
        <w:rPr>
          <w:rFonts w:hint="eastAsia" w:eastAsia="仿宋_GB2312" w:cs="仿宋_GB2312"/>
          <w:sz w:val="32"/>
          <w:szCs w:val="32"/>
          <w:lang w:eastAsia="zh-CN"/>
        </w:rPr>
        <w:t>（此表无数据）</w:t>
      </w:r>
    </w:p>
    <w:p w14:paraId="2E327F1C">
      <w:pPr>
        <w:pStyle w:val="14"/>
        <w:adjustRightInd w:val="0"/>
        <w:snapToGrid w:val="0"/>
        <w:spacing w:line="560" w:lineRule="exact"/>
        <w:jc w:val="left"/>
        <w:rPr>
          <w:rFonts w:eastAsia="仿宋_GB2312" w:cs="仿宋_GB2312"/>
          <w:sz w:val="32"/>
          <w:szCs w:val="32"/>
        </w:rPr>
      </w:pPr>
      <w:bookmarkStart w:id="66" w:name="_Toc15396631"/>
      <w:r>
        <w:rPr>
          <w:rFonts w:hint="eastAsia" w:eastAsia="仿宋_GB2312" w:cs="仿宋_GB2312"/>
          <w:sz w:val="32"/>
          <w:szCs w:val="32"/>
        </w:rPr>
        <w:t>十三、</w:t>
      </w:r>
      <w:bookmarkEnd w:id="66"/>
      <w:r>
        <w:rPr>
          <w:rFonts w:hint="eastAsia" w:eastAsia="仿宋_GB2312" w:cs="仿宋_GB2312"/>
          <w:sz w:val="32"/>
          <w:szCs w:val="32"/>
        </w:rPr>
        <w:t>财政拨款“三公”经费支出决算表</w:t>
      </w:r>
    </w:p>
    <w:p w14:paraId="73FB193E"/>
    <w:sectPr>
      <w:footerReference r:id="rId10" w:type="first"/>
      <w:footerReference r:id="rId9" w:type="default"/>
      <w:pgSz w:w="11906" w:h="16838"/>
      <w:pgMar w:top="1440" w:right="1800" w:bottom="1440" w:left="1800" w:header="720" w:footer="72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4564">
    <w:pPr>
      <w:pStyle w:val="3"/>
      <w:jc w:val="center"/>
    </w:pPr>
  </w:p>
  <w:p w14:paraId="0E7C1E5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4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4A70">
    <w:pPr>
      <w:pStyle w:val="3"/>
      <w:jc w:val="center"/>
    </w:pPr>
  </w:p>
  <w:p w14:paraId="70DE9B7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BD9FC">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3AF6">
    <w:pPr>
      <w:pStyle w:val="3"/>
      <w:jc w:val="center"/>
    </w:pPr>
    <w:r>
      <w:rPr>
        <w:sz w:val="18"/>
      </w:rPr>
      <w:pict>
        <v:shape id="_x0000_s3081" o:spid="_x0000_s308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52832B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p w14:paraId="1D3EB9E8">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F45D">
    <w:pPr>
      <w:pStyle w:val="3"/>
    </w:pPr>
    <w:r>
      <w:rPr>
        <w:sz w:val="18"/>
      </w:rPr>
      <w:pict>
        <v:shape id="_x0000_s3082" o:spid="_x0000_s308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350A6EA">
                <w:pPr>
                  <w:pStyle w:val="3"/>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192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2BDA">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1FEF"/>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B7F15"/>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C0502"/>
    <w:rsid w:val="012A5EC2"/>
    <w:rsid w:val="015975B8"/>
    <w:rsid w:val="02A46BB1"/>
    <w:rsid w:val="02FEBE30"/>
    <w:rsid w:val="03092820"/>
    <w:rsid w:val="033C49A3"/>
    <w:rsid w:val="03F52AA7"/>
    <w:rsid w:val="043128C5"/>
    <w:rsid w:val="04916F1E"/>
    <w:rsid w:val="04CC1D57"/>
    <w:rsid w:val="061E35DE"/>
    <w:rsid w:val="064A73D7"/>
    <w:rsid w:val="066E0107"/>
    <w:rsid w:val="0694472D"/>
    <w:rsid w:val="07996F6E"/>
    <w:rsid w:val="07DFD8BA"/>
    <w:rsid w:val="09656CCA"/>
    <w:rsid w:val="09867E8F"/>
    <w:rsid w:val="0A2032A3"/>
    <w:rsid w:val="0C25063B"/>
    <w:rsid w:val="0CA8290A"/>
    <w:rsid w:val="0D35B1ED"/>
    <w:rsid w:val="0E254B6B"/>
    <w:rsid w:val="0F1A64E0"/>
    <w:rsid w:val="0F98263C"/>
    <w:rsid w:val="100D65FA"/>
    <w:rsid w:val="101860EC"/>
    <w:rsid w:val="101F47CC"/>
    <w:rsid w:val="104F30AB"/>
    <w:rsid w:val="10AA6ADE"/>
    <w:rsid w:val="10C055FF"/>
    <w:rsid w:val="11694EBD"/>
    <w:rsid w:val="11772AA4"/>
    <w:rsid w:val="118107EC"/>
    <w:rsid w:val="123E24E6"/>
    <w:rsid w:val="12E24EE2"/>
    <w:rsid w:val="12E301ED"/>
    <w:rsid w:val="13D50BC4"/>
    <w:rsid w:val="14B17F78"/>
    <w:rsid w:val="15B12FCF"/>
    <w:rsid w:val="15E300E0"/>
    <w:rsid w:val="161B669A"/>
    <w:rsid w:val="164D0F49"/>
    <w:rsid w:val="165E0673"/>
    <w:rsid w:val="16B831D5"/>
    <w:rsid w:val="16BB723D"/>
    <w:rsid w:val="17E50567"/>
    <w:rsid w:val="186504BB"/>
    <w:rsid w:val="1876539A"/>
    <w:rsid w:val="19A445FC"/>
    <w:rsid w:val="19BD0194"/>
    <w:rsid w:val="1A023DF9"/>
    <w:rsid w:val="1BE8440E"/>
    <w:rsid w:val="1C35495A"/>
    <w:rsid w:val="1C5A38F9"/>
    <w:rsid w:val="1C984EE8"/>
    <w:rsid w:val="1D155CEE"/>
    <w:rsid w:val="1D1638FE"/>
    <w:rsid w:val="1D5F5A06"/>
    <w:rsid w:val="1DE57CB9"/>
    <w:rsid w:val="1E312DEB"/>
    <w:rsid w:val="1E740ACF"/>
    <w:rsid w:val="1FF35744"/>
    <w:rsid w:val="1FF6BC77"/>
    <w:rsid w:val="20A57BD4"/>
    <w:rsid w:val="21472A39"/>
    <w:rsid w:val="2186353C"/>
    <w:rsid w:val="21A331FD"/>
    <w:rsid w:val="22E449E3"/>
    <w:rsid w:val="22E53212"/>
    <w:rsid w:val="231F4C56"/>
    <w:rsid w:val="23860B96"/>
    <w:rsid w:val="240371BF"/>
    <w:rsid w:val="24373239"/>
    <w:rsid w:val="244F3473"/>
    <w:rsid w:val="24B91EA0"/>
    <w:rsid w:val="24C97D99"/>
    <w:rsid w:val="251915FD"/>
    <w:rsid w:val="25A718F0"/>
    <w:rsid w:val="25BB59F6"/>
    <w:rsid w:val="25BC160E"/>
    <w:rsid w:val="25E5536B"/>
    <w:rsid w:val="260F557C"/>
    <w:rsid w:val="261E020C"/>
    <w:rsid w:val="26970054"/>
    <w:rsid w:val="281408E2"/>
    <w:rsid w:val="283A32F8"/>
    <w:rsid w:val="28BB5D28"/>
    <w:rsid w:val="29FD04D3"/>
    <w:rsid w:val="29FD282F"/>
    <w:rsid w:val="2AE35581"/>
    <w:rsid w:val="2B82123D"/>
    <w:rsid w:val="2BFF7BC6"/>
    <w:rsid w:val="2C482942"/>
    <w:rsid w:val="2C8A61B5"/>
    <w:rsid w:val="2CB0732E"/>
    <w:rsid w:val="2D3C71CA"/>
    <w:rsid w:val="2DF04E50"/>
    <w:rsid w:val="2E586DFA"/>
    <w:rsid w:val="2F040D46"/>
    <w:rsid w:val="2F6B035B"/>
    <w:rsid w:val="2FAE5751"/>
    <w:rsid w:val="2FB1A395"/>
    <w:rsid w:val="2FB60A2D"/>
    <w:rsid w:val="2FD9A7D8"/>
    <w:rsid w:val="2FDBF714"/>
    <w:rsid w:val="30093FD3"/>
    <w:rsid w:val="30AB6865"/>
    <w:rsid w:val="319F7F4E"/>
    <w:rsid w:val="31E63BA8"/>
    <w:rsid w:val="32BD1EF1"/>
    <w:rsid w:val="3304709D"/>
    <w:rsid w:val="334B63B9"/>
    <w:rsid w:val="335A484E"/>
    <w:rsid w:val="33704071"/>
    <w:rsid w:val="339A2E9C"/>
    <w:rsid w:val="33A773CB"/>
    <w:rsid w:val="33BC2E13"/>
    <w:rsid w:val="341257FF"/>
    <w:rsid w:val="348F605A"/>
    <w:rsid w:val="34951FE2"/>
    <w:rsid w:val="349D6851"/>
    <w:rsid w:val="359E19DB"/>
    <w:rsid w:val="36941E25"/>
    <w:rsid w:val="36AA5135"/>
    <w:rsid w:val="36BE0DA7"/>
    <w:rsid w:val="376B6AA6"/>
    <w:rsid w:val="376D39B2"/>
    <w:rsid w:val="37E16F03"/>
    <w:rsid w:val="37F53A3B"/>
    <w:rsid w:val="38691D8A"/>
    <w:rsid w:val="389B6C89"/>
    <w:rsid w:val="38D469F0"/>
    <w:rsid w:val="394F3F47"/>
    <w:rsid w:val="39627CCD"/>
    <w:rsid w:val="397BAF1F"/>
    <w:rsid w:val="3A856654"/>
    <w:rsid w:val="3AB79AF3"/>
    <w:rsid w:val="3AE834C0"/>
    <w:rsid w:val="3B7EF35A"/>
    <w:rsid w:val="3B903503"/>
    <w:rsid w:val="3B9FDB6C"/>
    <w:rsid w:val="3BD7566A"/>
    <w:rsid w:val="3BF5BC2F"/>
    <w:rsid w:val="3C355E58"/>
    <w:rsid w:val="3CB72C21"/>
    <w:rsid w:val="3CEBA265"/>
    <w:rsid w:val="3D98207C"/>
    <w:rsid w:val="3DB35286"/>
    <w:rsid w:val="3DB66ABB"/>
    <w:rsid w:val="3DEE7CF3"/>
    <w:rsid w:val="3E740A63"/>
    <w:rsid w:val="3E78745D"/>
    <w:rsid w:val="3EE17838"/>
    <w:rsid w:val="3F55381A"/>
    <w:rsid w:val="3F7F7599"/>
    <w:rsid w:val="3FF4CAE0"/>
    <w:rsid w:val="3FF7B227"/>
    <w:rsid w:val="41134AB9"/>
    <w:rsid w:val="41566655"/>
    <w:rsid w:val="41BB2BB0"/>
    <w:rsid w:val="426D634C"/>
    <w:rsid w:val="44BD4C3D"/>
    <w:rsid w:val="44E268DA"/>
    <w:rsid w:val="450D13D7"/>
    <w:rsid w:val="45506656"/>
    <w:rsid w:val="45CD0EAF"/>
    <w:rsid w:val="47C22C96"/>
    <w:rsid w:val="47DC187E"/>
    <w:rsid w:val="486A6C7A"/>
    <w:rsid w:val="4A351763"/>
    <w:rsid w:val="4A613C17"/>
    <w:rsid w:val="4A627F82"/>
    <w:rsid w:val="4AAA1BBC"/>
    <w:rsid w:val="4B0E749A"/>
    <w:rsid w:val="4B2477C4"/>
    <w:rsid w:val="4B4F25DA"/>
    <w:rsid w:val="4BE068DB"/>
    <w:rsid w:val="4C0A5A27"/>
    <w:rsid w:val="4CAD1EED"/>
    <w:rsid w:val="4D577224"/>
    <w:rsid w:val="4D8B55C5"/>
    <w:rsid w:val="4DBF1CEB"/>
    <w:rsid w:val="4DD3102D"/>
    <w:rsid w:val="4DF0007C"/>
    <w:rsid w:val="4EAB630A"/>
    <w:rsid w:val="4ECE2238"/>
    <w:rsid w:val="4F1E452A"/>
    <w:rsid w:val="4F833267"/>
    <w:rsid w:val="4FE9BD67"/>
    <w:rsid w:val="4FFB052F"/>
    <w:rsid w:val="51E33248"/>
    <w:rsid w:val="532D0198"/>
    <w:rsid w:val="537E6D0A"/>
    <w:rsid w:val="53960071"/>
    <w:rsid w:val="53BD07B5"/>
    <w:rsid w:val="53F74C96"/>
    <w:rsid w:val="54C65448"/>
    <w:rsid w:val="5511700B"/>
    <w:rsid w:val="55170BA8"/>
    <w:rsid w:val="553218C9"/>
    <w:rsid w:val="567E1AA5"/>
    <w:rsid w:val="56E47B74"/>
    <w:rsid w:val="57175D52"/>
    <w:rsid w:val="57770739"/>
    <w:rsid w:val="57BD3DD4"/>
    <w:rsid w:val="5AF92295"/>
    <w:rsid w:val="5B250254"/>
    <w:rsid w:val="5BDD79E6"/>
    <w:rsid w:val="5BF561CA"/>
    <w:rsid w:val="5BFF5DFC"/>
    <w:rsid w:val="5C2D0C63"/>
    <w:rsid w:val="5CD71FC4"/>
    <w:rsid w:val="5D1F11B5"/>
    <w:rsid w:val="5D695134"/>
    <w:rsid w:val="5DAE1B18"/>
    <w:rsid w:val="5DE7D9E5"/>
    <w:rsid w:val="5ECEC941"/>
    <w:rsid w:val="5FBF9FF3"/>
    <w:rsid w:val="5FCD4E2C"/>
    <w:rsid w:val="5FEF394A"/>
    <w:rsid w:val="5FF67715"/>
    <w:rsid w:val="600B4656"/>
    <w:rsid w:val="613E3956"/>
    <w:rsid w:val="619141DE"/>
    <w:rsid w:val="62132C64"/>
    <w:rsid w:val="62BF3928"/>
    <w:rsid w:val="62ED5038"/>
    <w:rsid w:val="63B3701E"/>
    <w:rsid w:val="63DC6A36"/>
    <w:rsid w:val="647F5392"/>
    <w:rsid w:val="64B472D0"/>
    <w:rsid w:val="65B55790"/>
    <w:rsid w:val="65E66580"/>
    <w:rsid w:val="664B1D71"/>
    <w:rsid w:val="664B4E8E"/>
    <w:rsid w:val="6691121F"/>
    <w:rsid w:val="67277B67"/>
    <w:rsid w:val="673C3FA4"/>
    <w:rsid w:val="6772392A"/>
    <w:rsid w:val="67957627"/>
    <w:rsid w:val="67AA3209"/>
    <w:rsid w:val="683A1273"/>
    <w:rsid w:val="689650B0"/>
    <w:rsid w:val="698D0931"/>
    <w:rsid w:val="69C66CD0"/>
    <w:rsid w:val="6A2B7DCF"/>
    <w:rsid w:val="6A7FE5F3"/>
    <w:rsid w:val="6ADF0BB9"/>
    <w:rsid w:val="6B053271"/>
    <w:rsid w:val="6BA378E4"/>
    <w:rsid w:val="6BDD78B3"/>
    <w:rsid w:val="6C4A05C8"/>
    <w:rsid w:val="6C8742B8"/>
    <w:rsid w:val="6CCB4096"/>
    <w:rsid w:val="6D49739B"/>
    <w:rsid w:val="6DBF5E93"/>
    <w:rsid w:val="6DFF077E"/>
    <w:rsid w:val="6E714EF0"/>
    <w:rsid w:val="6E7E3605"/>
    <w:rsid w:val="6E7FDCC7"/>
    <w:rsid w:val="6EC10D02"/>
    <w:rsid w:val="6ED6A62E"/>
    <w:rsid w:val="6EE00B15"/>
    <w:rsid w:val="6F6FB3EB"/>
    <w:rsid w:val="6F8731EA"/>
    <w:rsid w:val="6FCE6052"/>
    <w:rsid w:val="6FD57C00"/>
    <w:rsid w:val="6FEFFFD8"/>
    <w:rsid w:val="6FF5CC65"/>
    <w:rsid w:val="6FFB47EC"/>
    <w:rsid w:val="6FFF034A"/>
    <w:rsid w:val="700A0A64"/>
    <w:rsid w:val="70484440"/>
    <w:rsid w:val="70AF1EC8"/>
    <w:rsid w:val="712A28F1"/>
    <w:rsid w:val="71566079"/>
    <w:rsid w:val="715C0E4B"/>
    <w:rsid w:val="71992E7C"/>
    <w:rsid w:val="71DD1E72"/>
    <w:rsid w:val="72233669"/>
    <w:rsid w:val="72435ED2"/>
    <w:rsid w:val="72734D90"/>
    <w:rsid w:val="72DD3B96"/>
    <w:rsid w:val="73160E6D"/>
    <w:rsid w:val="7332FE48"/>
    <w:rsid w:val="73AB61DA"/>
    <w:rsid w:val="73AD73D5"/>
    <w:rsid w:val="73B6EB34"/>
    <w:rsid w:val="73C92407"/>
    <w:rsid w:val="73FA497D"/>
    <w:rsid w:val="744731E5"/>
    <w:rsid w:val="74BBD01D"/>
    <w:rsid w:val="74CE5F27"/>
    <w:rsid w:val="74ED5379"/>
    <w:rsid w:val="750F53B7"/>
    <w:rsid w:val="7556245D"/>
    <w:rsid w:val="75C5557C"/>
    <w:rsid w:val="75DEEEC2"/>
    <w:rsid w:val="75E32345"/>
    <w:rsid w:val="7638061E"/>
    <w:rsid w:val="76AC04E9"/>
    <w:rsid w:val="76E3355F"/>
    <w:rsid w:val="76FF5125"/>
    <w:rsid w:val="776F6FFA"/>
    <w:rsid w:val="777A2396"/>
    <w:rsid w:val="778769C8"/>
    <w:rsid w:val="77910151"/>
    <w:rsid w:val="77A75DCA"/>
    <w:rsid w:val="77DC22F5"/>
    <w:rsid w:val="77F101E9"/>
    <w:rsid w:val="783E271A"/>
    <w:rsid w:val="78616DE9"/>
    <w:rsid w:val="78E201F2"/>
    <w:rsid w:val="78E875D7"/>
    <w:rsid w:val="79086DAD"/>
    <w:rsid w:val="79D7FD79"/>
    <w:rsid w:val="79EE5BA4"/>
    <w:rsid w:val="7A3E0998"/>
    <w:rsid w:val="7A8552D9"/>
    <w:rsid w:val="7A894339"/>
    <w:rsid w:val="7A9C2623"/>
    <w:rsid w:val="7AD284E8"/>
    <w:rsid w:val="7AFF7572"/>
    <w:rsid w:val="7B220BC5"/>
    <w:rsid w:val="7B6C7DFB"/>
    <w:rsid w:val="7BBFBED0"/>
    <w:rsid w:val="7BC3E394"/>
    <w:rsid w:val="7BD007D6"/>
    <w:rsid w:val="7C1F3737"/>
    <w:rsid w:val="7CA67789"/>
    <w:rsid w:val="7CBFC87B"/>
    <w:rsid w:val="7CFE0F48"/>
    <w:rsid w:val="7D272ABC"/>
    <w:rsid w:val="7D7013D2"/>
    <w:rsid w:val="7D7EC23E"/>
    <w:rsid w:val="7E8ADEBF"/>
    <w:rsid w:val="7EC65E37"/>
    <w:rsid w:val="7EEA337E"/>
    <w:rsid w:val="7EEF11D3"/>
    <w:rsid w:val="7EFE4840"/>
    <w:rsid w:val="7F0971A6"/>
    <w:rsid w:val="7F0F607A"/>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styleId="3">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8"/>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3"/>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33931;\&#21333;&#20301;&#20915;&#31639;&#20844;&#24320;&#20570;&#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33931;\&#21333;&#20301;&#20915;&#31639;&#20844;&#24320;&#20570;&#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33931;\&#21333;&#20301;&#20915;&#31639;&#20844;&#24320;&#20570;&#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H:\&#33931;\&#21333;&#20301;&#20915;&#31639;&#20844;&#24320;&#20570;&#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33931;\&#21333;&#20301;&#20915;&#31639;&#20844;&#24320;&#20570;&#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33931;\&#21333;&#20301;&#20915;&#31639;&#20844;&#24320;&#20570;&#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33931;\&#21333;&#20301;&#20915;&#31639;&#20844;&#24320;&#2057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78421052631579"/>
          <c:y val="0.109907834101382"/>
          <c:w val="0.888210526315789"/>
          <c:h val="0.608617511520737"/>
        </c:manualLayout>
      </c:layout>
      <c:barChart>
        <c:barDir val="col"/>
        <c:grouping val="clustered"/>
        <c:varyColors val="0"/>
        <c:ser>
          <c:idx val="0"/>
          <c:order val="0"/>
          <c:tx>
            <c:strRef>
              <c:f>[单位决算公开做图.xlsx]Sheet1!$A$3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[单位决算公开做图.xlsx]Sheet1!$B$2:$C$2</c:f>
              <c:strCache>
                <c:ptCount val="2"/>
                <c:pt idx="0">
                  <c:v>2023年度</c:v>
                </c:pt>
                <c:pt idx="1">
                  <c:v>2024年度</c:v>
                </c:pt>
              </c:strCache>
            </c:strRef>
          </c:cat>
          <c:val>
            <c:numRef>
              <c:f>[单位决算公开做图.xlsx]Sheet1!$B$3:$C$3</c:f>
              <c:numCache>
                <c:formatCode>General</c:formatCode>
                <c:ptCount val="2"/>
                <c:pt idx="0">
                  <c:v>1511.22</c:v>
                </c:pt>
                <c:pt idx="1">
                  <c:v>1523.21</c:v>
                </c:pt>
              </c:numCache>
            </c:numRef>
          </c:val>
        </c:ser>
        <c:ser>
          <c:idx val="1"/>
          <c:order val="1"/>
          <c:tx>
            <c:strRef>
              <c:f>[单位决算公开做图.xlsx]Sheet1!$A$4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[单位决算公开做图.xlsx]Sheet1!$B$2:$C$2</c:f>
              <c:strCache>
                <c:ptCount val="2"/>
                <c:pt idx="0">
                  <c:v>2023年度</c:v>
                </c:pt>
                <c:pt idx="1">
                  <c:v>2024年度</c:v>
                </c:pt>
              </c:strCache>
            </c:strRef>
          </c:cat>
          <c:val>
            <c:numRef>
              <c:f>[单位决算公开做图.xlsx]Sheet1!$B$4:$C$4</c:f>
              <c:numCache>
                <c:formatCode>General</c:formatCode>
                <c:ptCount val="2"/>
                <c:pt idx="0">
                  <c:v>1511.22</c:v>
                </c:pt>
                <c:pt idx="1">
                  <c:v>1523.21</c:v>
                </c:pt>
              </c:numCache>
            </c:numRef>
          </c:val>
        </c:ser>
        <c:dLbls>
          <c:showLegendKey val="0"/>
          <c:showVal val="1"/>
          <c:showCatName val="0"/>
          <c:showSerName val="0"/>
          <c:showPercent val="0"/>
          <c:showBubbleSize val="0"/>
        </c:dLbls>
        <c:gapWidth val="246"/>
        <c:overlap val="-28"/>
        <c:axId val="782257832"/>
        <c:axId val="573907174"/>
      </c:barChart>
      <c:catAx>
        <c:axId val="782257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907174"/>
        <c:crosses val="autoZero"/>
        <c:auto val="1"/>
        <c:lblAlgn val="ctr"/>
        <c:lblOffset val="100"/>
        <c:noMultiLvlLbl val="0"/>
      </c:catAx>
      <c:valAx>
        <c:axId val="573907174"/>
        <c:scaling>
          <c:orientation val="minMax"/>
          <c:max val="1600"/>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2578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8d645d8-c355-42b4-a463-3eb4c28a3a5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[单位决算公开做图.xlsx]Sheet1!$B$13</c:f>
              <c:strCache>
                <c:ptCount val="1"/>
                <c:pt idx="0">
                  <c:v>2024年度收入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[单位决算公开做图.xlsx]Sheet1!$A$14:$A$15</c:f>
              <c:strCache>
                <c:ptCount val="2"/>
                <c:pt idx="0">
                  <c:v>一般公共预算财政拨款收入</c:v>
                </c:pt>
                <c:pt idx="1">
                  <c:v>政府性基金预算财政拨款收入</c:v>
                </c:pt>
              </c:strCache>
            </c:strRef>
          </c:cat>
          <c:val>
            <c:numRef>
              <c:f>[单位决算公开做图.xlsx]Sheet1!$B$14:$B$15</c:f>
              <c:numCache>
                <c:formatCode>General</c:formatCode>
                <c:ptCount val="2"/>
                <c:pt idx="0">
                  <c:v>1445.23</c:v>
                </c:pt>
                <c:pt idx="1">
                  <c:v>77.98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24e8a3c-2894-4aa4-a842-3394535307b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[单位决算公开做图.xlsx]Sheet1!$B$25</c:f>
              <c:strCache>
                <c:ptCount val="1"/>
                <c:pt idx="0">
                  <c:v>2024年度支出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[单位决算公开做图.xlsx]Sheet1!$A$26:$A$27</c:f>
              <c:strCache>
                <c:ptCount val="2"/>
                <c:pt idx="0">
                  <c:v>基本支出</c:v>
                </c:pt>
                <c:pt idx="1">
                  <c:v>项目支出</c:v>
                </c:pt>
              </c:strCache>
            </c:strRef>
          </c:cat>
          <c:val>
            <c:numRef>
              <c:f>[单位决算公开做图.xlsx]Sheet1!$B$26:$B$27</c:f>
              <c:numCache>
                <c:formatCode>General</c:formatCode>
                <c:ptCount val="2"/>
                <c:pt idx="0">
                  <c:v>1114.1</c:v>
                </c:pt>
                <c:pt idx="1">
                  <c:v>409.11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38661b-7240-4fe2-aa99-40c3252f2f6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[单位决算公开做图.xlsx]Sheet1!$A$38</c:f>
              <c:strCache>
                <c:ptCount val="1"/>
                <c:pt idx="0">
                  <c:v>2023</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[单位决算公开做图.xlsx]Sheet1!$B$37:$C$37</c:f>
              <c:strCache>
                <c:ptCount val="2"/>
                <c:pt idx="0">
                  <c:v>财政拨款收入</c:v>
                </c:pt>
                <c:pt idx="1">
                  <c:v>财政拨款支出</c:v>
                </c:pt>
              </c:strCache>
            </c:strRef>
          </c:cat>
          <c:val>
            <c:numRef>
              <c:f>[单位决算公开做图.xlsx]Sheet1!$B$38:$C$38</c:f>
              <c:numCache>
                <c:formatCode>General</c:formatCode>
                <c:ptCount val="2"/>
                <c:pt idx="0">
                  <c:v>1511.22</c:v>
                </c:pt>
                <c:pt idx="1">
                  <c:v>1511.22</c:v>
                </c:pt>
              </c:numCache>
            </c:numRef>
          </c:val>
        </c:ser>
        <c:ser>
          <c:idx val="1"/>
          <c:order val="1"/>
          <c:tx>
            <c:strRef>
              <c:f>[单位决算公开做图.xlsx]Sheet1!$A$39</c:f>
              <c:strCache>
                <c:ptCount val="1"/>
                <c:pt idx="0">
                  <c:v>2024</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[单位决算公开做图.xlsx]Sheet1!$B$37:$C$37</c:f>
              <c:strCache>
                <c:ptCount val="2"/>
                <c:pt idx="0">
                  <c:v>财政拨款收入</c:v>
                </c:pt>
                <c:pt idx="1">
                  <c:v>财政拨款支出</c:v>
                </c:pt>
              </c:strCache>
            </c:strRef>
          </c:cat>
          <c:val>
            <c:numRef>
              <c:f>[单位决算公开做图.xlsx]Sheet1!$B$39:$C$39</c:f>
              <c:numCache>
                <c:formatCode>General</c:formatCode>
                <c:ptCount val="2"/>
                <c:pt idx="0">
                  <c:v>1523.21</c:v>
                </c:pt>
                <c:pt idx="1">
                  <c:v>1523.21</c:v>
                </c:pt>
              </c:numCache>
            </c:numRef>
          </c:val>
        </c:ser>
        <c:dLbls>
          <c:showLegendKey val="0"/>
          <c:showVal val="1"/>
          <c:showCatName val="0"/>
          <c:showSerName val="0"/>
          <c:showPercent val="0"/>
          <c:showBubbleSize val="0"/>
        </c:dLbls>
        <c:gapWidth val="246"/>
        <c:overlap val="-28"/>
        <c:axId val="793980352"/>
        <c:axId val="287358046"/>
      </c:barChart>
      <c:catAx>
        <c:axId val="7939803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358046"/>
        <c:crosses val="autoZero"/>
        <c:auto val="1"/>
        <c:lblAlgn val="ctr"/>
        <c:lblOffset val="100"/>
        <c:noMultiLvlLbl val="0"/>
      </c:catAx>
      <c:valAx>
        <c:axId val="287358046"/>
        <c:scaling>
          <c:orientation val="minMax"/>
          <c:max val="1600"/>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98035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95665f8-975b-4bcc-aed3-285851d5d38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[单位决算公开做图.xlsx]Sheet1!$A$70</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[单位决算公开做图.xlsx]Sheet1!$B$69:$C$69</c:f>
              <c:strCache>
                <c:ptCount val="2"/>
                <c:pt idx="0">
                  <c:v>2023年度</c:v>
                </c:pt>
                <c:pt idx="1">
                  <c:v>2024年度</c:v>
                </c:pt>
              </c:strCache>
            </c:strRef>
          </c:cat>
          <c:val>
            <c:numRef>
              <c:f>[单位决算公开做图.xlsx]Sheet1!$B$70:$C$70</c:f>
              <c:numCache>
                <c:formatCode>General</c:formatCode>
                <c:ptCount val="2"/>
                <c:pt idx="0">
                  <c:v>1511.22</c:v>
                </c:pt>
                <c:pt idx="1">
                  <c:v>1445.23</c:v>
                </c:pt>
              </c:numCache>
            </c:numRef>
          </c:val>
        </c:ser>
        <c:dLbls>
          <c:showLegendKey val="0"/>
          <c:showVal val="1"/>
          <c:showCatName val="0"/>
          <c:showSerName val="0"/>
          <c:showPercent val="0"/>
          <c:showBubbleSize val="0"/>
        </c:dLbls>
        <c:gapWidth val="246"/>
        <c:overlap val="-28"/>
        <c:axId val="601265624"/>
        <c:axId val="40036183"/>
      </c:barChart>
      <c:catAx>
        <c:axId val="601265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36183"/>
        <c:crosses val="autoZero"/>
        <c:auto val="1"/>
        <c:lblAlgn val="ctr"/>
        <c:lblOffset val="100"/>
        <c:noMultiLvlLbl val="0"/>
      </c:catAx>
      <c:valAx>
        <c:axId val="40036183"/>
        <c:scaling>
          <c:orientation val="minMax"/>
          <c:max val="1600"/>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265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07e92df-2d66-4541-8603-2326139e8ee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[单位决算公开做图.xlsx]Sheet1!$B$51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10068909850952"/>
                  <c:y val="0.07580542875767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02214618516883"/>
                  <c:y val="0.02982769769924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50206298982584"/>
                  <c:y val="-0.01900104362134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1998806363628"/>
                  <c:y val="-0.007430800351163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[单位决算公开做图.xlsx]Sheet1!$A$52:$A$56</c:f>
              <c:strCache>
                <c:ptCount val="5"/>
                <c:pt idx="0">
                  <c:v>社会保障和就业支出</c:v>
                </c:pt>
                <c:pt idx="1">
                  <c:v>自然资源海洋气象等支出</c:v>
                </c:pt>
                <c:pt idx="2">
                  <c:v>住房保障支出</c:v>
                </c:pt>
                <c:pt idx="3">
                  <c:v>一般公共服务支出</c:v>
                </c:pt>
                <c:pt idx="4">
                  <c:v>卫生健康支出</c:v>
                </c:pt>
              </c:strCache>
            </c:strRef>
          </c:cat>
          <c:val>
            <c:numRef>
              <c:f>[单位决算公开做图.xlsx]Sheet1!$B$52:$B$56</c:f>
              <c:numCache>
                <c:formatCode>General</c:formatCode>
                <c:ptCount val="5"/>
                <c:pt idx="0">
                  <c:v>141.68</c:v>
                </c:pt>
                <c:pt idx="1">
                  <c:v>1170.34</c:v>
                </c:pt>
                <c:pt idx="2">
                  <c:v>71.42</c:v>
                </c:pt>
                <c:pt idx="3">
                  <c:v>4.19</c:v>
                </c:pt>
                <c:pt idx="4">
                  <c:v>57.61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fb342ea-986f-48fa-9d86-cfdb98601d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[单位决算公开做图.xlsx]Sheet1!$B$60</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291666666666667"/>
                  <c:y val="-0.01041666666666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[单位决算公开做图.xlsx]Sheet1!$A$61:$A$63</c:f>
              <c:strCache>
                <c:ptCount val="3"/>
                <c:pt idx="0">
                  <c:v>因公出国（境）费支出</c:v>
                </c:pt>
                <c:pt idx="1">
                  <c:v>公务用车购置及运行维护费支出</c:v>
                </c:pt>
                <c:pt idx="2">
                  <c:v>公务接待费支出</c:v>
                </c:pt>
              </c:strCache>
            </c:strRef>
          </c:cat>
          <c:val>
            <c:numRef>
              <c:f>[单位决算公开做图.xlsx]Sheet1!$B$61:$B$63</c:f>
              <c:numCache>
                <c:formatCode>General</c:formatCode>
                <c:ptCount val="3"/>
                <c:pt idx="0">
                  <c:v>0</c:v>
                </c:pt>
                <c:pt idx="1">
                  <c:v>1.13</c:v>
                </c:pt>
                <c:pt idx="2">
                  <c:v>0.09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bf3f0da-b00f-4f20-b1c6-9bc0295762b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1" textRotate="1"/>
    <customShpInfo spid="_x0000_s308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1725</Words>
  <Characters>1990</Characters>
  <Lines>7</Lines>
  <Paragraphs>17</Paragraphs>
  <TotalTime>1</TotalTime>
  <ScaleCrop>false</ScaleCrop>
  <LinksUpToDate>false</LinksUpToDate>
  <CharactersWithSpaces>2045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2025-09-02T05:19:00Z</dcterms:created>
  <dc:creator>曹颖</dc:creator>
  <cp:lastModifiedBy>leelyeel</cp:lastModifiedBy>
  <cp:lastPrinted>2025-09-05T06:07:00Z</cp:lastPrinted>
  <dcterms:modified xsi:type="dcterms:W3CDTF">2025-09-12T00:22:48Z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eyJoZGlkIjoiYjIzN2QyMWFmODZmNTg4YTI0NmUxYTE4YzFiMTY0NGUiLCJ1c2VySWQiOiI4NzkyNzA0NjIifQ==</vt:lpwstr>
  </property>
</Properties>
</file>