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4A46D">
      <w:pPr>
        <w:pStyle w:val="6"/>
        <w:spacing w:before="93"/>
        <w:rPr>
          <w:rFonts w:ascii="Times New Roman" w:eastAsia="方正小标宋简体"/>
          <w:kern w:val="2"/>
          <w:sz w:val="72"/>
          <w:szCs w:val="72"/>
        </w:rPr>
      </w:pPr>
      <w:bookmarkStart w:id="0" w:name="_Toc15377425"/>
      <w:bookmarkStart w:id="1" w:name="_Toc15378441"/>
      <w:bookmarkStart w:id="2" w:name="_Toc15396597"/>
      <w:bookmarkStart w:id="3" w:name="_Toc15396475"/>
      <w:bookmarkStart w:id="4" w:name="_Toc15377193"/>
      <w:bookmarkStart w:id="5" w:name="_Toc15306267"/>
    </w:p>
    <w:p w14:paraId="37ECF89B">
      <w:pPr>
        <w:pStyle w:val="6"/>
        <w:spacing w:before="93"/>
        <w:rPr>
          <w:rFonts w:ascii="Times New Roman" w:eastAsia="方正小标宋简体"/>
          <w:kern w:val="2"/>
          <w:sz w:val="72"/>
          <w:szCs w:val="72"/>
        </w:rPr>
      </w:pPr>
    </w:p>
    <w:p w14:paraId="262A5C95">
      <w:pPr>
        <w:pStyle w:val="6"/>
        <w:spacing w:before="93"/>
        <w:rPr>
          <w:rFonts w:ascii="Times New Roman" w:eastAsia="方正小标宋简体"/>
          <w:kern w:val="2"/>
          <w:sz w:val="72"/>
          <w:szCs w:val="72"/>
        </w:rPr>
      </w:pPr>
    </w:p>
    <w:p w14:paraId="0D31EFAE">
      <w:pPr>
        <w:pStyle w:val="6"/>
        <w:spacing w:before="93"/>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rPr>
        <w:t>2024年度</w:t>
      </w:r>
      <w:r>
        <w:rPr>
          <w:rFonts w:hint="eastAsia" w:ascii="Times New Roman" w:eastAsia="方正小标宋简体"/>
          <w:kern w:val="2"/>
          <w:sz w:val="44"/>
          <w:szCs w:val="44"/>
          <w:lang w:val="en-US" w:eastAsia="zh-CN"/>
        </w:rPr>
        <w:t>四川省</w:t>
      </w:r>
      <w:r>
        <w:rPr>
          <w:rFonts w:hint="eastAsia" w:ascii="Times New Roman" w:eastAsia="方正小标宋简体"/>
          <w:kern w:val="2"/>
          <w:sz w:val="44"/>
          <w:szCs w:val="44"/>
          <w:lang w:eastAsia="zh-CN"/>
        </w:rPr>
        <w:t>攀枝花市</w:t>
      </w:r>
      <w:r>
        <w:rPr>
          <w:rFonts w:hint="eastAsia" w:ascii="Times New Roman" w:eastAsia="方正小标宋简体"/>
          <w:kern w:val="2"/>
          <w:sz w:val="44"/>
          <w:szCs w:val="44"/>
          <w:lang w:val="en-US" w:eastAsia="zh-CN"/>
        </w:rPr>
        <w:t>国土整治</w:t>
      </w:r>
      <w:r>
        <w:rPr>
          <w:rFonts w:hint="eastAsia" w:ascii="Times New Roman" w:eastAsia="方正小标宋简体"/>
          <w:kern w:val="2"/>
          <w:sz w:val="44"/>
          <w:szCs w:val="44"/>
          <w:lang w:eastAsia="zh-CN"/>
        </w:rPr>
        <w:t>中心</w:t>
      </w:r>
    </w:p>
    <w:p w14:paraId="5C2B54F1">
      <w:pPr>
        <w:pStyle w:val="6"/>
        <w:spacing w:before="93"/>
        <w:jc w:val="center"/>
        <w:rPr>
          <w:rFonts w:ascii="Times New Roman" w:eastAsia="方正小标宋简体"/>
          <w:kern w:val="2"/>
          <w:sz w:val="44"/>
          <w:szCs w:val="44"/>
        </w:rPr>
      </w:pPr>
      <w:r>
        <w:rPr>
          <w:rFonts w:hint="eastAsia" w:ascii="Times New Roman" w:eastAsia="方正小标宋简体"/>
          <w:kern w:val="2"/>
          <w:sz w:val="44"/>
          <w:szCs w:val="44"/>
        </w:rPr>
        <w:t>单位决算公开文字说明</w:t>
      </w:r>
    </w:p>
    <w:p w14:paraId="40466F18">
      <w:pPr>
        <w:spacing w:line="600" w:lineRule="exact"/>
        <w:jc w:val="center"/>
        <w:outlineLvl w:val="0"/>
        <w:rPr>
          <w:rFonts w:eastAsia="方正小标宋简体"/>
          <w:sz w:val="72"/>
          <w:szCs w:val="72"/>
        </w:rPr>
      </w:pPr>
    </w:p>
    <w:p w14:paraId="6DBB658D">
      <w:pPr>
        <w:pStyle w:val="2"/>
        <w:rPr>
          <w:rFonts w:ascii="Times New Roman" w:hAnsi="Times New Roman"/>
        </w:rPr>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start="1"/>
          <w:cols w:space="425" w:num="1"/>
          <w:titlePg/>
          <w:docGrid w:type="lines" w:linePitch="312" w:charSpace="0"/>
        </w:sectPr>
      </w:pPr>
    </w:p>
    <w:p w14:paraId="42D72FD0">
      <w:pPr>
        <w:pStyle w:val="2"/>
      </w:pPr>
    </w:p>
    <w:bookmarkEnd w:id="0"/>
    <w:bookmarkEnd w:id="1"/>
    <w:bookmarkEnd w:id="2"/>
    <w:bookmarkEnd w:id="3"/>
    <w:bookmarkEnd w:id="4"/>
    <w:p w14:paraId="1B760A0C">
      <w:pPr>
        <w:pStyle w:val="6"/>
        <w:spacing w:before="93"/>
        <w:jc w:val="center"/>
        <w:rPr>
          <w:rFonts w:hint="eastAsia" w:ascii="Times New Roman" w:eastAsia="方正小标宋简体"/>
          <w:kern w:val="2"/>
          <w:sz w:val="44"/>
          <w:szCs w:val="44"/>
        </w:rPr>
      </w:pPr>
      <w:bookmarkStart w:id="6" w:name="_Toc15396476"/>
      <w:bookmarkStart w:id="7" w:name="_Toc15377194"/>
      <w:bookmarkStart w:id="8" w:name="_Toc15396598"/>
      <w:bookmarkStart w:id="9" w:name="_Toc15378442"/>
      <w:bookmarkStart w:id="10" w:name="_Toc15377426"/>
    </w:p>
    <w:p w14:paraId="1345E099">
      <w:pPr>
        <w:pStyle w:val="6"/>
        <w:spacing w:before="93"/>
        <w:jc w:val="center"/>
        <w:rPr>
          <w:rFonts w:hint="eastAsia" w:ascii="Times New Roman" w:eastAsia="方正小标宋简体"/>
          <w:kern w:val="2"/>
          <w:sz w:val="44"/>
          <w:szCs w:val="44"/>
        </w:rPr>
      </w:pPr>
    </w:p>
    <w:p w14:paraId="03AB4F11">
      <w:pPr>
        <w:pStyle w:val="6"/>
        <w:spacing w:before="93"/>
        <w:jc w:val="center"/>
        <w:rPr>
          <w:rFonts w:ascii="Times New Roman" w:eastAsia="方正小标宋简体"/>
          <w:kern w:val="2"/>
          <w:sz w:val="44"/>
          <w:szCs w:val="44"/>
        </w:rPr>
      </w:pPr>
      <w:r>
        <w:rPr>
          <w:rFonts w:hint="eastAsia" w:ascii="Times New Roman" w:eastAsia="方正小标宋简体"/>
          <w:kern w:val="2"/>
          <w:sz w:val="44"/>
          <w:szCs w:val="44"/>
        </w:rPr>
        <w:t>2024年度</w:t>
      </w:r>
      <w:bookmarkEnd w:id="5"/>
      <w:bookmarkStart w:id="11" w:name="_Toc15306268"/>
      <w:r>
        <w:rPr>
          <w:rFonts w:ascii="Times New Roman" w:eastAsia="方正小标宋简体"/>
          <w:kern w:val="2"/>
          <w:sz w:val="44"/>
          <w:szCs w:val="44"/>
        </w:rPr>
        <w:t xml:space="preserve"> </w:t>
      </w:r>
    </w:p>
    <w:p w14:paraId="4344F590">
      <w:pPr>
        <w:pStyle w:val="6"/>
        <w:spacing w:before="93"/>
        <w:jc w:val="center"/>
        <w:rPr>
          <w:rFonts w:hint="eastAsia" w:ascii="Times New Roman" w:eastAsia="方正小标宋简体"/>
          <w:kern w:val="2"/>
          <w:sz w:val="44"/>
          <w:szCs w:val="44"/>
        </w:rPr>
      </w:pPr>
      <w:r>
        <w:rPr>
          <w:rFonts w:hint="eastAsia" w:ascii="Times New Roman" w:eastAsia="方正小标宋简体"/>
          <w:kern w:val="2"/>
          <w:sz w:val="44"/>
          <w:szCs w:val="44"/>
          <w:lang w:val="en-US" w:eastAsia="zh-CN"/>
        </w:rPr>
        <w:t>四川省</w:t>
      </w:r>
      <w:r>
        <w:rPr>
          <w:rFonts w:hint="eastAsia" w:ascii="Times New Roman" w:eastAsia="方正小标宋简体"/>
          <w:kern w:val="2"/>
          <w:sz w:val="44"/>
          <w:szCs w:val="44"/>
        </w:rPr>
        <w:t>攀枝花市国土整治中心</w:t>
      </w:r>
    </w:p>
    <w:p w14:paraId="2325473B">
      <w:pPr>
        <w:pStyle w:val="6"/>
        <w:spacing w:before="93"/>
        <w:jc w:val="center"/>
        <w:rPr>
          <w:rFonts w:hint="eastAsia" w:ascii="Times New Roman" w:eastAsia="方正小标宋简体"/>
          <w:kern w:val="2"/>
          <w:sz w:val="44"/>
          <w:szCs w:val="44"/>
        </w:rPr>
      </w:pPr>
      <w:r>
        <w:rPr>
          <w:rFonts w:hint="eastAsia" w:ascii="Times New Roman" w:eastAsia="方正小标宋简体"/>
          <w:kern w:val="2"/>
          <w:sz w:val="44"/>
          <w:szCs w:val="44"/>
        </w:rPr>
        <w:t>单位决算</w:t>
      </w:r>
      <w:bookmarkEnd w:id="6"/>
      <w:bookmarkEnd w:id="7"/>
      <w:bookmarkEnd w:id="8"/>
      <w:bookmarkEnd w:id="9"/>
      <w:bookmarkEnd w:id="10"/>
      <w:bookmarkEnd w:id="11"/>
    </w:p>
    <w:p w14:paraId="454A4BEE">
      <w:pPr>
        <w:widowControl/>
        <w:jc w:val="center"/>
        <w:rPr>
          <w:rFonts w:eastAsia="黑体"/>
          <w:sz w:val="48"/>
          <w:szCs w:val="48"/>
        </w:rPr>
      </w:pPr>
      <w:r>
        <w:rPr>
          <w:rFonts w:eastAsia="方正小标宋简体"/>
          <w:sz w:val="36"/>
          <w:szCs w:val="36"/>
        </w:rPr>
        <w:br w:type="page"/>
      </w:r>
      <w:r>
        <w:rPr>
          <w:rFonts w:hint="eastAsia" w:eastAsia="黑体"/>
          <w:sz w:val="48"/>
          <w:szCs w:val="48"/>
        </w:rPr>
        <w:t>目录</w:t>
      </w:r>
    </w:p>
    <w:p w14:paraId="3F84F13B">
      <w:pPr>
        <w:widowControl/>
        <w:jc w:val="center"/>
        <w:rPr>
          <w:rFonts w:eastAsia="黑体" w:cstheme="minorBidi"/>
          <w:sz w:val="28"/>
          <w:szCs w:val="28"/>
        </w:rPr>
      </w:pPr>
    </w:p>
    <w:p w14:paraId="53C1BC3B">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 xml:space="preserve">年 </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 xml:space="preserve"> 月</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日</w:t>
      </w:r>
    </w:p>
    <w:p w14:paraId="0D47D58E"/>
    <w:p w14:paraId="703C88F3">
      <w:pPr>
        <w:pStyle w:val="13"/>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第一部分 部门概况</w:t>
      </w:r>
      <w:r>
        <w:rPr>
          <w:rFonts w:ascii="Times New Roman" w:hAnsi="Times New Roman"/>
          <w:sz w:val="24"/>
          <w:szCs w:val="24"/>
        </w:rPr>
        <w:tab/>
      </w:r>
      <w:r>
        <w:rPr>
          <w:rFonts w:hint="eastAsia" w:ascii="Times New Roman" w:hAnsi="Times New Roman"/>
          <w:sz w:val="24"/>
          <w:szCs w:val="24"/>
        </w:rPr>
        <w:t>1</w:t>
      </w:r>
    </w:p>
    <w:p w14:paraId="65D221DE">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一、部门职责</w:t>
      </w:r>
      <w:r>
        <w:rPr>
          <w:sz w:val="24"/>
        </w:rPr>
        <w:tab/>
      </w:r>
      <w:r>
        <w:rPr>
          <w:rFonts w:hint="eastAsia"/>
          <w:sz w:val="24"/>
        </w:rPr>
        <w:t>1</w:t>
      </w:r>
    </w:p>
    <w:p w14:paraId="39FF915D">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二、机构设置</w:t>
      </w:r>
      <w:r>
        <w:rPr>
          <w:sz w:val="24"/>
        </w:rPr>
        <w:tab/>
      </w:r>
      <w:r>
        <w:rPr>
          <w:rFonts w:hint="eastAsia"/>
          <w:sz w:val="24"/>
        </w:rPr>
        <w:t>1</w:t>
      </w:r>
    </w:p>
    <w:p w14:paraId="21D8C152">
      <w:pPr>
        <w:pStyle w:val="13"/>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第二部分 2024年度部门决算情况说明</w:t>
      </w:r>
      <w:r>
        <w:rPr>
          <w:rFonts w:ascii="Times New Roman" w:hAnsi="Times New Roman"/>
          <w:sz w:val="24"/>
          <w:szCs w:val="24"/>
        </w:rPr>
        <w:tab/>
      </w:r>
      <w:r>
        <w:rPr>
          <w:rFonts w:hint="eastAsia" w:ascii="Times New Roman" w:hAnsi="Times New Roman"/>
          <w:sz w:val="24"/>
          <w:szCs w:val="24"/>
        </w:rPr>
        <w:t>2</w:t>
      </w:r>
    </w:p>
    <w:p w14:paraId="4BB8AD31">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一、收入支出决算总体情况说明</w:t>
      </w:r>
      <w:r>
        <w:rPr>
          <w:sz w:val="24"/>
        </w:rPr>
        <w:tab/>
      </w:r>
      <w:r>
        <w:rPr>
          <w:rFonts w:hint="eastAsia"/>
          <w:sz w:val="24"/>
        </w:rPr>
        <w:t>2</w:t>
      </w:r>
    </w:p>
    <w:p w14:paraId="6917AD20">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二、收入决算情况说明</w:t>
      </w:r>
      <w:r>
        <w:rPr>
          <w:sz w:val="24"/>
        </w:rPr>
        <w:tab/>
      </w:r>
      <w:r>
        <w:rPr>
          <w:rFonts w:hint="eastAsia"/>
          <w:sz w:val="24"/>
        </w:rPr>
        <w:t>2</w:t>
      </w:r>
    </w:p>
    <w:p w14:paraId="436D44FA">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三、支出决算情况说明</w:t>
      </w:r>
      <w:r>
        <w:rPr>
          <w:sz w:val="24"/>
        </w:rPr>
        <w:tab/>
      </w:r>
      <w:r>
        <w:rPr>
          <w:sz w:val="24"/>
        </w:rPr>
        <w:t>3</w:t>
      </w:r>
    </w:p>
    <w:p w14:paraId="243787E1">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四、财政拨款收入支出决算总体情况说明</w:t>
      </w:r>
      <w:r>
        <w:rPr>
          <w:sz w:val="24"/>
        </w:rPr>
        <w:tab/>
      </w:r>
      <w:r>
        <w:rPr>
          <w:rFonts w:hint="eastAsia"/>
          <w:sz w:val="24"/>
        </w:rPr>
        <w:t>4</w:t>
      </w:r>
    </w:p>
    <w:p w14:paraId="0F8623D3">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五、一般公共预算财政拨款支出决算情况说明</w:t>
      </w:r>
      <w:r>
        <w:rPr>
          <w:sz w:val="24"/>
        </w:rPr>
        <w:tab/>
      </w:r>
      <w:r>
        <w:rPr>
          <w:rFonts w:hint="eastAsia"/>
          <w:sz w:val="24"/>
        </w:rPr>
        <w:t>4</w:t>
      </w:r>
    </w:p>
    <w:p w14:paraId="11EC52DC">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六、一般公共预算财政拨款基本支出决算情况说明</w:t>
      </w:r>
      <w:r>
        <w:rPr>
          <w:sz w:val="24"/>
        </w:rPr>
        <w:tab/>
      </w:r>
      <w:r>
        <w:rPr>
          <w:rFonts w:hint="eastAsia"/>
          <w:sz w:val="24"/>
        </w:rPr>
        <w:t>7</w:t>
      </w:r>
    </w:p>
    <w:p w14:paraId="424CEFCE">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七、财政拨款“三公”经费支出决算情况说明</w:t>
      </w:r>
      <w:r>
        <w:rPr>
          <w:sz w:val="24"/>
        </w:rPr>
        <w:tab/>
      </w:r>
      <w:r>
        <w:rPr>
          <w:rFonts w:hint="eastAsia"/>
          <w:sz w:val="24"/>
        </w:rPr>
        <w:t>7</w:t>
      </w:r>
    </w:p>
    <w:p w14:paraId="620ED5F4">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八、政府性基金预算支出决算情况说明</w:t>
      </w:r>
      <w:r>
        <w:rPr>
          <w:sz w:val="24"/>
        </w:rPr>
        <w:tab/>
      </w:r>
      <w:r>
        <w:rPr>
          <w:rFonts w:hint="eastAsia"/>
          <w:sz w:val="24"/>
        </w:rPr>
        <w:t>9</w:t>
      </w:r>
    </w:p>
    <w:p w14:paraId="54761419">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九、国有资本经营预算支出决算情况说明</w:t>
      </w:r>
      <w:r>
        <w:rPr>
          <w:sz w:val="24"/>
        </w:rPr>
        <w:tab/>
      </w:r>
      <w:r>
        <w:rPr>
          <w:rFonts w:hint="eastAsia"/>
          <w:sz w:val="24"/>
        </w:rPr>
        <w:t>9</w:t>
      </w:r>
    </w:p>
    <w:p w14:paraId="3BE664F2">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十、其他重要事项的情况说明</w:t>
      </w:r>
      <w:r>
        <w:rPr>
          <w:sz w:val="24"/>
        </w:rPr>
        <w:tab/>
      </w:r>
      <w:r>
        <w:rPr>
          <w:rFonts w:hint="eastAsia"/>
          <w:sz w:val="24"/>
        </w:rPr>
        <w:t>10</w:t>
      </w:r>
    </w:p>
    <w:p w14:paraId="2F4A9C36">
      <w:pPr>
        <w:pStyle w:val="13"/>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第三部分 名词解释</w:t>
      </w:r>
      <w:r>
        <w:rPr>
          <w:rFonts w:ascii="Times New Roman" w:hAnsi="Times New Roman"/>
          <w:sz w:val="24"/>
          <w:szCs w:val="24"/>
        </w:rPr>
        <w:tab/>
      </w:r>
      <w:r>
        <w:rPr>
          <w:rFonts w:hint="eastAsia" w:ascii="Times New Roman" w:hAnsi="Times New Roman"/>
          <w:sz w:val="24"/>
          <w:szCs w:val="24"/>
        </w:rPr>
        <w:t>11</w:t>
      </w:r>
    </w:p>
    <w:p w14:paraId="68A60867">
      <w:pPr>
        <w:pStyle w:val="13"/>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第四部分 附件</w:t>
      </w:r>
      <w:r>
        <w:rPr>
          <w:rFonts w:ascii="Times New Roman" w:hAnsi="Times New Roman"/>
          <w:sz w:val="24"/>
          <w:szCs w:val="24"/>
        </w:rPr>
        <w:tab/>
      </w:r>
      <w:r>
        <w:rPr>
          <w:rFonts w:hint="eastAsia" w:ascii="Times New Roman" w:hAnsi="Times New Roman"/>
          <w:sz w:val="24"/>
          <w:szCs w:val="24"/>
        </w:rPr>
        <w:t>14</w:t>
      </w:r>
    </w:p>
    <w:p w14:paraId="728F8DDD">
      <w:pPr>
        <w:pStyle w:val="13"/>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第五部分 附表</w:t>
      </w:r>
      <w:r>
        <w:rPr>
          <w:rFonts w:ascii="Times New Roman" w:hAnsi="Times New Roman"/>
          <w:sz w:val="24"/>
          <w:szCs w:val="24"/>
        </w:rPr>
        <w:tab/>
      </w:r>
      <w:r>
        <w:rPr>
          <w:rFonts w:hint="eastAsia" w:ascii="Times New Roman" w:hAnsi="Times New Roman"/>
          <w:sz w:val="24"/>
          <w:szCs w:val="24"/>
        </w:rPr>
        <w:t>15</w:t>
      </w:r>
    </w:p>
    <w:p w14:paraId="23824808">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一、收入支出决算总表</w:t>
      </w:r>
      <w:r>
        <w:rPr>
          <w:sz w:val="24"/>
        </w:rPr>
        <w:tab/>
      </w:r>
      <w:r>
        <w:rPr>
          <w:rFonts w:hint="eastAsia"/>
          <w:sz w:val="24"/>
        </w:rPr>
        <w:t>15</w:t>
      </w:r>
    </w:p>
    <w:p w14:paraId="7BCA754E">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r>
        <w:rPr>
          <w:sz w:val="24"/>
        </w:rPr>
        <w:tab/>
      </w:r>
      <w:r>
        <w:rPr>
          <w:rFonts w:hint="eastAsia"/>
          <w:sz w:val="24"/>
        </w:rPr>
        <w:t>15</w:t>
      </w:r>
    </w:p>
    <w:p w14:paraId="7317522D">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r>
        <w:rPr>
          <w:sz w:val="24"/>
        </w:rPr>
        <w:tab/>
      </w:r>
      <w:r>
        <w:rPr>
          <w:rFonts w:hint="eastAsia"/>
          <w:sz w:val="24"/>
        </w:rPr>
        <w:t>15</w:t>
      </w:r>
    </w:p>
    <w:p w14:paraId="1D502C97">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r>
        <w:rPr>
          <w:sz w:val="24"/>
        </w:rPr>
        <w:tab/>
      </w:r>
      <w:r>
        <w:rPr>
          <w:rFonts w:hint="eastAsia"/>
          <w:sz w:val="24"/>
        </w:rPr>
        <w:t>15</w:t>
      </w:r>
    </w:p>
    <w:p w14:paraId="212331EB">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r>
        <w:rPr>
          <w:sz w:val="24"/>
        </w:rPr>
        <w:tab/>
      </w:r>
      <w:r>
        <w:rPr>
          <w:rFonts w:hint="eastAsia"/>
          <w:sz w:val="24"/>
        </w:rPr>
        <w:t>15</w:t>
      </w:r>
    </w:p>
    <w:p w14:paraId="768BB819">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r>
        <w:rPr>
          <w:sz w:val="24"/>
        </w:rPr>
        <w:tab/>
      </w:r>
      <w:r>
        <w:rPr>
          <w:rFonts w:hint="eastAsia"/>
          <w:sz w:val="24"/>
        </w:rPr>
        <w:t>15</w:t>
      </w:r>
    </w:p>
    <w:p w14:paraId="1A09CA7F">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r>
        <w:rPr>
          <w:sz w:val="24"/>
        </w:rPr>
        <w:tab/>
      </w:r>
      <w:r>
        <w:rPr>
          <w:rFonts w:hint="eastAsia"/>
          <w:sz w:val="24"/>
        </w:rPr>
        <w:t>15</w:t>
      </w:r>
    </w:p>
    <w:p w14:paraId="0238903C">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r>
        <w:rPr>
          <w:sz w:val="24"/>
        </w:rPr>
        <w:tab/>
      </w:r>
      <w:r>
        <w:rPr>
          <w:rFonts w:hint="eastAsia"/>
          <w:sz w:val="24"/>
        </w:rPr>
        <w:t>15</w:t>
      </w:r>
    </w:p>
    <w:p w14:paraId="2657B72A">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r>
        <w:rPr>
          <w:sz w:val="24"/>
        </w:rPr>
        <w:tab/>
      </w:r>
      <w:r>
        <w:rPr>
          <w:rFonts w:hint="eastAsia"/>
          <w:sz w:val="24"/>
        </w:rPr>
        <w:t>15</w:t>
      </w:r>
    </w:p>
    <w:p w14:paraId="6300A599">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r>
        <w:rPr>
          <w:sz w:val="24"/>
        </w:rPr>
        <w:tab/>
      </w:r>
      <w:r>
        <w:rPr>
          <w:rFonts w:hint="eastAsia"/>
          <w:sz w:val="24"/>
        </w:rPr>
        <w:t>15</w:t>
      </w:r>
    </w:p>
    <w:p w14:paraId="7D48574D">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r>
        <w:rPr>
          <w:sz w:val="24"/>
        </w:rPr>
        <w:tab/>
      </w:r>
      <w:r>
        <w:rPr>
          <w:rFonts w:hint="eastAsia"/>
          <w:sz w:val="24"/>
        </w:rPr>
        <w:t>15</w:t>
      </w:r>
    </w:p>
    <w:p w14:paraId="72F5083D">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r>
        <w:rPr>
          <w:sz w:val="24"/>
        </w:rPr>
        <w:tab/>
      </w:r>
      <w:r>
        <w:rPr>
          <w:rFonts w:hint="eastAsia"/>
          <w:sz w:val="24"/>
        </w:rPr>
        <w:t>15</w:t>
      </w:r>
    </w:p>
    <w:p w14:paraId="22102D07">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r>
        <w:rPr>
          <w:sz w:val="24"/>
        </w:rPr>
        <w:tab/>
      </w:r>
      <w:r>
        <w:rPr>
          <w:rFonts w:hint="eastAsia"/>
          <w:sz w:val="24"/>
        </w:rPr>
        <w:t>15</w:t>
      </w:r>
    </w:p>
    <w:p w14:paraId="1F26CCE8">
      <w:pPr>
        <w:pStyle w:val="3"/>
        <w:jc w:val="center"/>
        <w:rPr>
          <w:rFonts w:eastAsia="方正小标宋简体" w:cs="方正小标宋简体"/>
          <w:b w:val="0"/>
        </w:rPr>
        <w:sectPr>
          <w:footerReference r:id="rId9" w:type="first"/>
          <w:headerReference r:id="rId7" w:type="default"/>
          <w:footerReference r:id="rId8" w:type="default"/>
          <w:pgSz w:w="11906" w:h="16838"/>
          <w:pgMar w:top="1440" w:right="1800" w:bottom="1440" w:left="1800" w:header="851" w:footer="992" w:gutter="0"/>
          <w:pgNumType w:fmt="numberInDash" w:start="1"/>
          <w:cols w:space="425" w:num="1"/>
          <w:titlePg/>
          <w:docGrid w:type="lines" w:linePitch="312" w:charSpace="0"/>
        </w:sectPr>
      </w:pPr>
      <w:bookmarkStart w:id="12" w:name="_Toc15377196"/>
      <w:bookmarkStart w:id="13" w:name="_Toc15396599"/>
    </w:p>
    <w:p w14:paraId="72E0F483">
      <w:pPr>
        <w:pStyle w:val="3"/>
        <w:jc w:val="center"/>
        <w:rPr>
          <w:rStyle w:val="28"/>
          <w:rFonts w:eastAsia="方正小标宋简体" w:cs="方正小标宋简体"/>
          <w:b/>
          <w:bCs w:val="0"/>
        </w:rPr>
      </w:pPr>
      <w:r>
        <w:rPr>
          <w:rFonts w:hint="eastAsia" w:eastAsia="方正小标宋简体" w:cs="方正小标宋简体"/>
          <w:b w:val="0"/>
        </w:rPr>
        <w:t xml:space="preserve">第一部分  </w:t>
      </w:r>
      <w:r>
        <w:rPr>
          <w:rStyle w:val="28"/>
          <w:rFonts w:hint="eastAsia" w:eastAsia="方正小标宋简体" w:cs="方正小标宋简体"/>
          <w:b w:val="0"/>
          <w:bCs w:val="0"/>
        </w:rPr>
        <w:t>部门概况</w:t>
      </w:r>
      <w:bookmarkEnd w:id="12"/>
      <w:bookmarkEnd w:id="13"/>
    </w:p>
    <w:p w14:paraId="6F13E44E">
      <w:pPr>
        <w:widowControl/>
        <w:jc w:val="left"/>
        <w:rPr>
          <w:rFonts w:eastAsia="黑体"/>
          <w:sz w:val="32"/>
          <w:szCs w:val="32"/>
        </w:rPr>
      </w:pPr>
    </w:p>
    <w:p w14:paraId="48021BAE">
      <w:pPr>
        <w:pStyle w:val="4"/>
        <w:rPr>
          <w:rFonts w:ascii="Times New Roman" w:hAnsi="Times New Roman" w:eastAsia="黑体"/>
          <w:b w:val="0"/>
        </w:rPr>
      </w:pPr>
      <w:bookmarkStart w:id="14" w:name="_Toc15396600"/>
      <w:bookmarkStart w:id="15" w:name="_Toc15377197"/>
      <w:r>
        <w:rPr>
          <w:rFonts w:hint="eastAsia" w:ascii="Times New Roman" w:hAnsi="Times New Roman" w:eastAsia="黑体"/>
          <w:b w:val="0"/>
        </w:rPr>
        <w:t>一、</w:t>
      </w:r>
      <w:bookmarkEnd w:id="14"/>
      <w:bookmarkEnd w:id="15"/>
      <w:r>
        <w:rPr>
          <w:rFonts w:hint="eastAsia" w:ascii="Times New Roman" w:hAnsi="Times New Roman" w:eastAsia="黑体"/>
          <w:b w:val="0"/>
        </w:rPr>
        <w:t>部门职责</w:t>
      </w:r>
    </w:p>
    <w:p w14:paraId="4CAD783D">
      <w:pPr>
        <w:ind w:firstLine="640" w:firstLineChars="200"/>
      </w:pPr>
      <w:r>
        <w:rPr>
          <w:rFonts w:eastAsia="仿宋_GB2312"/>
          <w:sz w:val="32"/>
          <w:szCs w:val="32"/>
        </w:rPr>
        <w:t>承担国土空间综合整治、土地整理复垦的事务性管理和技术支撑服务工作；承担职责范围内的山水林田湖草生态治理，永久基本农田划定、占用及补划，耕地占补平衡等相关技术支撑工作。</w:t>
      </w:r>
    </w:p>
    <w:p w14:paraId="6980B698">
      <w:pPr>
        <w:pStyle w:val="4"/>
        <w:rPr>
          <w:rStyle w:val="29"/>
          <w:rFonts w:ascii="Times New Roman" w:hAnsi="Times New Roman"/>
          <w:b w:val="0"/>
          <w:bCs w:val="0"/>
        </w:rPr>
      </w:pPr>
      <w:bookmarkStart w:id="16" w:name="_Toc15377200"/>
      <w:bookmarkStart w:id="17" w:name="_Toc15396601"/>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16"/>
      <w:bookmarkEnd w:id="17"/>
    </w:p>
    <w:p w14:paraId="4B98C418">
      <w:pPr>
        <w:ind w:firstLine="800" w:firstLineChars="250"/>
        <w:rPr>
          <w:rFonts w:eastAsia="仿宋_GB2312" w:cs="仿宋_GB2312"/>
          <w:sz w:val="32"/>
          <w:szCs w:val="32"/>
        </w:rPr>
      </w:pPr>
      <w:r>
        <w:rPr>
          <w:rFonts w:hint="eastAsia" w:ascii="仿宋_GB2312" w:hAnsi="仿宋_GB2312" w:eastAsia="仿宋_GB2312" w:cs="仿宋_GB2312"/>
          <w:sz w:val="32"/>
          <w:szCs w:val="32"/>
        </w:rPr>
        <w:t>攀枝花市国土整治中心</w:t>
      </w:r>
      <w:r>
        <w:rPr>
          <w:rFonts w:eastAsia="仿宋_GB2312"/>
          <w:sz w:val="32"/>
          <w:szCs w:val="32"/>
        </w:rPr>
        <w:t>是攀枝花市自然资源和规划局下属</w:t>
      </w:r>
      <w:r>
        <w:rPr>
          <w:rFonts w:hint="eastAsia" w:eastAsia="仿宋_GB2312"/>
          <w:sz w:val="32"/>
          <w:szCs w:val="32"/>
        </w:rPr>
        <w:t>直属事业</w:t>
      </w:r>
      <w:r>
        <w:rPr>
          <w:rFonts w:eastAsia="仿宋_GB2312"/>
          <w:sz w:val="32"/>
          <w:szCs w:val="32"/>
        </w:rPr>
        <w:t>单位</w:t>
      </w:r>
      <w:r>
        <w:rPr>
          <w:rFonts w:hint="eastAsia" w:eastAsia="仿宋_GB2312" w:cs="仿宋_GB2312"/>
          <w:sz w:val="32"/>
          <w:szCs w:val="32"/>
        </w:rPr>
        <w:t>，下属二级预算单位0个，其中行政单位0个，参照公务员法管理的事业单位</w:t>
      </w:r>
      <w:r>
        <w:rPr>
          <w:rFonts w:hint="eastAsia" w:eastAsia="仿宋_GB2312" w:cs="仿宋_GB2312"/>
          <w:bCs/>
          <w:sz w:val="32"/>
          <w:szCs w:val="32"/>
        </w:rPr>
        <w:t>0</w:t>
      </w:r>
      <w:r>
        <w:rPr>
          <w:rFonts w:hint="eastAsia" w:eastAsia="仿宋_GB2312" w:cs="仿宋_GB2312"/>
          <w:sz w:val="32"/>
          <w:szCs w:val="32"/>
        </w:rPr>
        <w:t>个，其他事业单位0个。</w:t>
      </w:r>
    </w:p>
    <w:p w14:paraId="3CFA53F0">
      <w:pPr>
        <w:widowControl/>
        <w:jc w:val="left"/>
        <w:rPr>
          <w:rFonts w:eastAsia="仿宋"/>
          <w:kern w:val="0"/>
          <w:sz w:val="32"/>
          <w:szCs w:val="32"/>
        </w:rPr>
      </w:pPr>
      <w:r>
        <w:rPr>
          <w:rFonts w:eastAsia="仿宋"/>
          <w:sz w:val="32"/>
          <w:szCs w:val="32"/>
        </w:rPr>
        <w:br w:type="page"/>
      </w:r>
    </w:p>
    <w:p w14:paraId="3C677CFC">
      <w:pPr>
        <w:pStyle w:val="3"/>
        <w:jc w:val="center"/>
        <w:rPr>
          <w:rFonts w:eastAsia="方正小标宋简体" w:cs="方正小标宋简体"/>
          <w:b w:val="0"/>
        </w:rPr>
      </w:pPr>
      <w:bookmarkStart w:id="18" w:name="_Toc15396602"/>
      <w:bookmarkStart w:id="19" w:name="_Toc15377204"/>
      <w:r>
        <w:rPr>
          <w:rFonts w:hint="eastAsia" w:eastAsia="方正小标宋简体" w:cs="方正小标宋简体"/>
          <w:b w:val="0"/>
        </w:rPr>
        <w:t>第二部分  2024年度部门决算情况说明</w:t>
      </w:r>
      <w:bookmarkEnd w:id="18"/>
      <w:bookmarkEnd w:id="19"/>
    </w:p>
    <w:p w14:paraId="4471954D"/>
    <w:p w14:paraId="27AD3D6F">
      <w:pPr>
        <w:pStyle w:val="27"/>
        <w:spacing w:line="600" w:lineRule="exact"/>
        <w:ind w:firstLine="640"/>
        <w:outlineLvl w:val="1"/>
        <w:rPr>
          <w:rStyle w:val="29"/>
          <w:rFonts w:ascii="Times New Roman" w:hAnsi="Times New Roman" w:eastAsia="黑体"/>
          <w:b w:val="0"/>
        </w:rPr>
      </w:pPr>
      <w:bookmarkStart w:id="20" w:name="_Toc15377205"/>
      <w:bookmarkStart w:id="21" w:name="_Toc15396603"/>
      <w:r>
        <w:rPr>
          <w:rFonts w:hint="eastAsia" w:eastAsia="黑体"/>
          <w:sz w:val="32"/>
          <w:szCs w:val="32"/>
        </w:rPr>
        <w:t>一、收</w:t>
      </w:r>
      <w:r>
        <w:rPr>
          <w:rStyle w:val="29"/>
          <w:rFonts w:hint="eastAsia" w:ascii="Times New Roman" w:hAnsi="Times New Roman" w:eastAsia="黑体"/>
          <w:b w:val="0"/>
        </w:rPr>
        <w:t>入支出决算总体情况说明</w:t>
      </w:r>
      <w:bookmarkEnd w:id="20"/>
      <w:bookmarkEnd w:id="21"/>
    </w:p>
    <w:p w14:paraId="4A8678E0">
      <w:pPr>
        <w:pStyle w:val="27"/>
        <w:spacing w:line="600" w:lineRule="exact"/>
        <w:ind w:firstLine="640"/>
        <w:outlineLvl w:val="1"/>
      </w:pPr>
      <w:r>
        <w:rPr>
          <w:rFonts w:hint="eastAsia" w:eastAsia="仿宋_GB2312" w:cs="仿宋_GB2312"/>
          <w:sz w:val="32"/>
          <w:szCs w:val="32"/>
        </w:rPr>
        <w:t>2024年度收入、支出总计均为</w:t>
      </w:r>
      <w:r>
        <w:rPr>
          <w:rFonts w:hint="eastAsia" w:ascii="仿宋_GB2312" w:hAnsi="仿宋_GB2312" w:eastAsia="仿宋_GB2312" w:cs="仿宋_GB2312"/>
          <w:sz w:val="32"/>
          <w:szCs w:val="32"/>
        </w:rPr>
        <w:t>216.54</w:t>
      </w:r>
      <w:r>
        <w:rPr>
          <w:rFonts w:hint="eastAsia" w:eastAsia="仿宋_GB2312" w:cs="仿宋_GB2312"/>
          <w:sz w:val="32"/>
          <w:szCs w:val="32"/>
        </w:rPr>
        <w:t>万元。与2023年度相比，收入、支出总计各减少</w:t>
      </w:r>
      <w:r>
        <w:rPr>
          <w:rFonts w:eastAsia="仿宋_GB2312" w:cs="仿宋_GB2312"/>
          <w:sz w:val="32"/>
          <w:szCs w:val="32"/>
        </w:rPr>
        <w:t>20.28</w:t>
      </w:r>
      <w:r>
        <w:rPr>
          <w:rFonts w:hint="eastAsia" w:eastAsia="仿宋_GB2312" w:cs="仿宋_GB2312"/>
          <w:sz w:val="32"/>
          <w:szCs w:val="32"/>
        </w:rPr>
        <w:t>万元，下降</w:t>
      </w:r>
      <w:r>
        <w:rPr>
          <w:rFonts w:eastAsia="仿宋_GB2312" w:cs="仿宋_GB2312"/>
          <w:sz w:val="32"/>
          <w:szCs w:val="32"/>
        </w:rPr>
        <w:t>8.56</w:t>
      </w:r>
      <w:r>
        <w:rPr>
          <w:rFonts w:hint="eastAsia" w:eastAsia="仿宋_GB2312" w:cs="仿宋_GB2312"/>
          <w:sz w:val="32"/>
          <w:szCs w:val="32"/>
        </w:rPr>
        <w:t>%。主要变动原因是项目减少。</w:t>
      </w:r>
      <w:r>
        <w:rPr>
          <w:rFonts w:hint="eastAsia"/>
        </w:rPr>
        <w:t xml:space="preserve">  </w:t>
      </w:r>
    </w:p>
    <w:p w14:paraId="163081B2">
      <w:pPr>
        <w:pStyle w:val="27"/>
        <w:ind w:firstLine="0" w:firstLineChars="0"/>
        <w:outlineLvl w:val="1"/>
      </w:pPr>
    </w:p>
    <w:p w14:paraId="2EB4B4E7">
      <w:pPr>
        <w:pStyle w:val="27"/>
        <w:ind w:firstLine="0" w:firstLineChars="0"/>
        <w:outlineLvl w:val="1"/>
      </w:pPr>
      <w:r>
        <w:rPr>
          <w:rFonts w:hint="eastAsia"/>
        </w:rPr>
        <w:t xml:space="preserve">     </w:t>
      </w: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7952EA">
      <w:pPr>
        <w:pStyle w:val="27"/>
        <w:ind w:firstLine="0" w:firstLineChars="0"/>
        <w:outlineLvl w:val="1"/>
      </w:pPr>
    </w:p>
    <w:p w14:paraId="356304B7">
      <w:pPr>
        <w:ind w:firstLine="640" w:firstLineChars="200"/>
        <w:rPr>
          <w:rFonts w:eastAsia="仿宋_GB2312" w:cs="仿宋_GB2312"/>
          <w:sz w:val="32"/>
          <w:szCs w:val="32"/>
        </w:rPr>
      </w:pPr>
      <w:r>
        <w:rPr>
          <w:rFonts w:hint="eastAsia" w:eastAsia="仿宋_GB2312" w:cs="仿宋_GB2312"/>
          <w:sz w:val="32"/>
          <w:szCs w:val="32"/>
        </w:rPr>
        <w:t>（图1：收入、支出决算总计变动情况图）</w:t>
      </w:r>
    </w:p>
    <w:p w14:paraId="4B42D0D8">
      <w:pPr>
        <w:pStyle w:val="27"/>
        <w:spacing w:line="600" w:lineRule="exact"/>
        <w:ind w:firstLine="640"/>
        <w:outlineLvl w:val="1"/>
        <w:rPr>
          <w:rFonts w:eastAsia="黑体"/>
          <w:sz w:val="32"/>
          <w:szCs w:val="32"/>
        </w:rPr>
      </w:pPr>
      <w:bookmarkStart w:id="22" w:name="_Toc15377206"/>
      <w:bookmarkStart w:id="23" w:name="_Toc15396604"/>
      <w:r>
        <w:rPr>
          <w:rFonts w:hint="eastAsia" w:eastAsia="黑体"/>
          <w:sz w:val="32"/>
          <w:szCs w:val="32"/>
        </w:rPr>
        <w:t>二、收入决算情况说明</w:t>
      </w:r>
      <w:bookmarkEnd w:id="22"/>
      <w:bookmarkEnd w:id="23"/>
    </w:p>
    <w:p w14:paraId="75E0D5E6">
      <w:pPr>
        <w:pStyle w:val="27"/>
        <w:spacing w:line="600" w:lineRule="exact"/>
        <w:ind w:firstLine="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本年收入合计216.54万元，其中：一般公共预算财政拨款收入216.54万元，占100%；政府性基金预算财政拨款收入0万元，占0%%；国有资本经营预算财政拨款收入0万元，占0%；上级补助收入0万元，占0%；事业收入0万元，占0%；经营收入0万元，占0%；附属单位上缴收入0万元，占0%；其他收入0万元，占0%。</w:t>
      </w:r>
    </w:p>
    <w:p w14:paraId="33BA3F6D">
      <w:pPr>
        <w:ind w:firstLine="800" w:firstLineChars="250"/>
        <w:rPr>
          <w:rFonts w:eastAsia="仿宋_GB2312" w:cs="仿宋_GB2312"/>
          <w:sz w:val="32"/>
          <w:szCs w:val="32"/>
        </w:rPr>
      </w:pPr>
      <w:r>
        <w:rPr>
          <w:rFonts w:hint="eastAsia" w:eastAsia="仿宋_GB2312" w:cs="仿宋_GB2312"/>
          <w:sz w:val="32"/>
          <w:szCs w:val="32"/>
        </w:rPr>
        <w:t>（图2：收入决算结构图）</w:t>
      </w:r>
    </w:p>
    <w:p w14:paraId="3D0B0305">
      <w:pPr>
        <w:pStyle w:val="14"/>
        <w:rPr>
          <w:rFonts w:eastAsia="仿宋_GB2312" w:cs="仿宋_GB2312"/>
          <w:sz w:val="32"/>
          <w:szCs w:val="32"/>
        </w:rPr>
      </w:pPr>
    </w:p>
    <w:p w14:paraId="42C35C1D">
      <w:pPr>
        <w:pStyle w:val="8"/>
        <w:ind w:left="420"/>
        <w:rPr>
          <w:rFonts w:ascii="Times New Roman" w:eastAsia="仿宋_GB2312" w:cs="仿宋_GB2312"/>
          <w:sz w:val="32"/>
        </w:rPr>
      </w:pPr>
      <w:r>
        <w:drawing>
          <wp:inline distT="0" distB="0" distL="114300" distR="114300">
            <wp:extent cx="39624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DD87C1">
      <w:pPr>
        <w:pStyle w:val="27"/>
        <w:spacing w:line="600" w:lineRule="exact"/>
        <w:ind w:firstLine="640"/>
        <w:outlineLvl w:val="1"/>
        <w:rPr>
          <w:rStyle w:val="29"/>
          <w:rFonts w:ascii="Times New Roman" w:hAnsi="Times New Roman" w:eastAsia="黑体"/>
          <w:b w:val="0"/>
        </w:rPr>
      </w:pPr>
      <w:bookmarkStart w:id="24" w:name="_Toc15377207"/>
      <w:bookmarkStart w:id="25" w:name="_Toc15396605"/>
      <w:r>
        <w:rPr>
          <w:rFonts w:hint="eastAsia" w:eastAsia="黑体"/>
          <w:sz w:val="32"/>
          <w:szCs w:val="32"/>
        </w:rPr>
        <w:t>三、支</w:t>
      </w:r>
      <w:r>
        <w:rPr>
          <w:rStyle w:val="29"/>
          <w:rFonts w:hint="eastAsia" w:ascii="Times New Roman" w:hAnsi="Times New Roman" w:eastAsia="黑体"/>
          <w:b w:val="0"/>
        </w:rPr>
        <w:t>出决算情况说明</w:t>
      </w:r>
      <w:bookmarkEnd w:id="24"/>
      <w:bookmarkEnd w:id="25"/>
    </w:p>
    <w:p w14:paraId="4457F814">
      <w:pPr>
        <w:pStyle w:val="27"/>
        <w:spacing w:line="600" w:lineRule="exact"/>
        <w:ind w:firstLine="640"/>
        <w:jc w:val="left"/>
        <w:outlineLvl w:val="1"/>
        <w:rPr>
          <w:rFonts w:eastAsia="仿宋_GB2312" w:cs="仿宋_GB2312"/>
          <w:sz w:val="32"/>
          <w:szCs w:val="32"/>
        </w:rPr>
      </w:pPr>
      <w:r>
        <w:rPr>
          <w:rFonts w:hint="eastAsia" w:ascii="仿宋_GB2312" w:hAnsi="仿宋_GB2312" w:eastAsia="仿宋_GB2312" w:cs="仿宋_GB2312"/>
          <w:sz w:val="32"/>
          <w:szCs w:val="32"/>
        </w:rPr>
        <w:t>2024年度本年支出合计216.54万元，其中：基本支出168.4万元，占77.76%；项目支出48.15万元，占22.23%；上缴上级支出0万元，占0%；经营支出0万元，占0%；对附属单位补助支出0万元，占0%。</w:t>
      </w:r>
    </w:p>
    <w:p w14:paraId="586CEC9A">
      <w:pPr>
        <w:ind w:firstLine="800" w:firstLineChars="250"/>
        <w:rPr>
          <w:rFonts w:eastAsia="仿宋_GB2312" w:cs="仿宋_GB2312"/>
          <w:sz w:val="32"/>
          <w:szCs w:val="32"/>
        </w:rPr>
      </w:pPr>
      <w:r>
        <w:rPr>
          <w:rFonts w:hint="eastAsia" w:eastAsia="仿宋_GB2312" w:cs="仿宋_GB2312"/>
          <w:sz w:val="32"/>
          <w:szCs w:val="32"/>
        </w:rPr>
        <w:t>（图3：支出决算结构图）（饼状图）</w:t>
      </w:r>
    </w:p>
    <w:p w14:paraId="3DC44D62">
      <w:pPr>
        <w:pStyle w:val="8"/>
        <w:ind w:left="420"/>
        <w:rPr>
          <w:rFonts w:ascii="Times New Roman" w:eastAsia="仿宋_GB2312" w:cs="仿宋_GB2312"/>
          <w:b/>
          <w:bCs/>
          <w:sz w:val="32"/>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A234E1">
      <w:pPr>
        <w:spacing w:line="600" w:lineRule="exact"/>
        <w:ind w:firstLine="640" w:firstLineChars="200"/>
        <w:outlineLvl w:val="1"/>
        <w:rPr>
          <w:rStyle w:val="29"/>
          <w:rFonts w:ascii="Times New Roman" w:hAnsi="Times New Roman" w:eastAsia="黑体"/>
          <w:b w:val="0"/>
        </w:rPr>
      </w:pPr>
      <w:bookmarkStart w:id="26" w:name="_Toc15377208"/>
      <w:bookmarkStart w:id="27" w:name="_Toc15396606"/>
      <w:r>
        <w:rPr>
          <w:rFonts w:hint="eastAsia" w:eastAsia="黑体"/>
          <w:sz w:val="32"/>
          <w:szCs w:val="32"/>
        </w:rPr>
        <w:t>四、财</w:t>
      </w:r>
      <w:r>
        <w:rPr>
          <w:rStyle w:val="29"/>
          <w:rFonts w:hint="eastAsia" w:ascii="Times New Roman" w:hAnsi="Times New Roman" w:eastAsia="黑体"/>
          <w:b w:val="0"/>
        </w:rPr>
        <w:t>政拨款收入支出决算总体情况说明</w:t>
      </w:r>
      <w:bookmarkEnd w:id="26"/>
      <w:bookmarkEnd w:id="27"/>
    </w:p>
    <w:p w14:paraId="5E24B451">
      <w:pPr>
        <w:spacing w:line="600" w:lineRule="exact"/>
        <w:ind w:firstLine="640"/>
        <w:rPr>
          <w:rFonts w:eastAsia="仿宋_GB2312" w:cs="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216.54</w:t>
      </w:r>
      <w:r>
        <w:rPr>
          <w:rFonts w:hint="eastAsia" w:eastAsia="仿宋_GB2312" w:cs="仿宋_GB2312"/>
          <w:sz w:val="32"/>
          <w:szCs w:val="32"/>
        </w:rPr>
        <w:t>万元。与2023年度相比，财政拨款收入总计、支出总计各减少20.28万元，下降8.56%。主要变动原因是项目减少。</w:t>
      </w:r>
    </w:p>
    <w:p w14:paraId="420EF04F">
      <w:pPr>
        <w:spacing w:line="600" w:lineRule="exact"/>
        <w:ind w:firstLine="640" w:firstLineChars="200"/>
        <w:rPr>
          <w:rFonts w:eastAsia="仿宋_GB2312" w:cs="仿宋_GB2312"/>
          <w:sz w:val="32"/>
          <w:szCs w:val="32"/>
        </w:rPr>
      </w:pPr>
      <w:r>
        <w:rPr>
          <w:rFonts w:hint="eastAsia" w:eastAsia="仿宋_GB2312" w:cs="仿宋_GB2312"/>
          <w:sz w:val="32"/>
          <w:szCs w:val="32"/>
        </w:rPr>
        <w:t>（图4：财政拨款收、支决算总计变动情况）</w:t>
      </w:r>
    </w:p>
    <w:p w14:paraId="013B9D1E">
      <w:pPr>
        <w:pStyle w:val="8"/>
        <w:ind w:left="420"/>
        <w:rPr>
          <w:rFonts w:ascii="Times New Roman" w:eastAsia="仿宋_GB2312" w:cs="仿宋_GB2312"/>
          <w:sz w:val="32"/>
        </w:rPr>
      </w:pPr>
      <w:r>
        <w:drawing>
          <wp:inline distT="0" distB="0" distL="114300" distR="114300">
            <wp:extent cx="4572000" cy="2743200"/>
            <wp:effectExtent l="4445" t="4445" r="14605" b="14605"/>
            <wp:docPr id="1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EBEF27">
      <w:pPr>
        <w:spacing w:line="600" w:lineRule="exact"/>
        <w:ind w:firstLine="640" w:firstLineChars="200"/>
        <w:outlineLvl w:val="1"/>
        <w:rPr>
          <w:rStyle w:val="29"/>
          <w:rFonts w:ascii="Times New Roman" w:hAnsi="Times New Roman" w:eastAsia="黑体"/>
          <w:b w:val="0"/>
        </w:rPr>
      </w:pPr>
      <w:bookmarkStart w:id="28" w:name="_Toc15377209"/>
      <w:bookmarkStart w:id="29" w:name="_Toc15396607"/>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28"/>
      <w:bookmarkEnd w:id="29"/>
    </w:p>
    <w:p w14:paraId="0D537922">
      <w:pPr>
        <w:spacing w:line="600" w:lineRule="exact"/>
        <w:ind w:firstLine="643" w:firstLineChars="200"/>
        <w:outlineLvl w:val="2"/>
        <w:rPr>
          <w:rFonts w:eastAsia="楷体_GB2312" w:cs="楷体_GB2312"/>
          <w:b/>
          <w:sz w:val="32"/>
          <w:szCs w:val="32"/>
        </w:rPr>
      </w:pPr>
      <w:bookmarkStart w:id="30" w:name="_Toc15377210"/>
      <w:r>
        <w:rPr>
          <w:rFonts w:hint="eastAsia" w:eastAsia="楷体_GB2312" w:cs="楷体_GB2312"/>
          <w:b/>
          <w:sz w:val="32"/>
          <w:szCs w:val="32"/>
        </w:rPr>
        <w:t>（一）一般公共预算财政拨款支出决算总体情况</w:t>
      </w:r>
      <w:bookmarkEnd w:id="30"/>
    </w:p>
    <w:p w14:paraId="673E20AA">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2024年度一般公共预算财政拨款支出216.54万元，占本年支出合计的100%。与2023年度相比，一般公共预算财政拨款支出减少20.28万元，下降8.56%。主要变动原因是项目减少。</w:t>
      </w:r>
    </w:p>
    <w:p w14:paraId="3DE8FA9E">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w:t>
      </w:r>
    </w:p>
    <w:p w14:paraId="21635763">
      <w:pPr>
        <w:pStyle w:val="14"/>
      </w:pPr>
    </w:p>
    <w:p w14:paraId="50B18698">
      <w:pPr>
        <w:spacing w:line="600" w:lineRule="exact"/>
        <w:ind w:firstLine="640"/>
        <w:rPr>
          <w:rFonts w:eastAsia="仿宋_GB2312" w:cs="仿宋_GB2312"/>
          <w:sz w:val="32"/>
          <w:szCs w:val="32"/>
        </w:rPr>
      </w:pPr>
    </w:p>
    <w:p w14:paraId="69940EF6">
      <w:pPr>
        <w:pStyle w:val="14"/>
        <w:rPr>
          <w:rFonts w:eastAsia="仿宋_GB2312" w:cs="仿宋_GB2312"/>
          <w:sz w:val="32"/>
          <w:szCs w:val="32"/>
        </w:rPr>
      </w:pPr>
    </w:p>
    <w:p w14:paraId="0921C923">
      <w:pPr>
        <w:pStyle w:val="8"/>
        <w:ind w:left="420"/>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3F7A8A">
      <w:pPr>
        <w:spacing w:line="600" w:lineRule="exact"/>
        <w:ind w:firstLine="643" w:firstLineChars="200"/>
        <w:outlineLvl w:val="2"/>
        <w:rPr>
          <w:rFonts w:eastAsia="楷体_GB2312" w:cs="楷体_GB2312"/>
          <w:b/>
          <w:sz w:val="32"/>
          <w:szCs w:val="32"/>
        </w:rPr>
      </w:pPr>
      <w:bookmarkStart w:id="31" w:name="_Toc15377211"/>
      <w:r>
        <w:rPr>
          <w:rFonts w:hint="eastAsia" w:eastAsia="楷体_GB2312" w:cs="楷体_GB2312"/>
          <w:b/>
          <w:sz w:val="32"/>
          <w:szCs w:val="32"/>
        </w:rPr>
        <w:t>（二）一般公共预算财政拨款支出决算结构情况</w:t>
      </w:r>
      <w:bookmarkEnd w:id="31"/>
    </w:p>
    <w:p w14:paraId="53433635">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216.54万元</w:t>
      </w:r>
      <w:r>
        <w:rPr>
          <w:rFonts w:hint="eastAsia" w:eastAsia="仿宋_GB2312" w:cs="仿宋_GB2312"/>
          <w:sz w:val="32"/>
          <w:szCs w:val="32"/>
        </w:rPr>
        <w:t>，主要用于以下方面：社会保障和就业支出30.63万元，占14.15%；卫生健康支出10万元，占4.62%；住房保障支出12万元，占5.54%；自然资源海洋气象等支出163.9万元，占75.69%。</w:t>
      </w:r>
    </w:p>
    <w:p w14:paraId="2BA4A4BC">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w:t>
      </w:r>
    </w:p>
    <w:p w14:paraId="7216634D">
      <w:pPr>
        <w:pStyle w:val="14"/>
      </w:pPr>
    </w:p>
    <w:p w14:paraId="404D20C4">
      <w:pPr>
        <w:pStyle w:val="8"/>
        <w:ind w:left="420"/>
        <w:rPr>
          <w:rFonts w:ascii="Times New Roman" w:eastAsia="仿宋_GB2312" w:cs="仿宋_GB2312"/>
          <w:sz w:val="32"/>
        </w:rPr>
      </w:pPr>
      <w:r>
        <w:drawing>
          <wp:inline distT="0" distB="0" distL="114300" distR="114300">
            <wp:extent cx="4572000" cy="2638425"/>
            <wp:effectExtent l="4445" t="4445" r="14605" b="508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621F0A">
      <w:pPr>
        <w:spacing w:line="600" w:lineRule="exact"/>
        <w:ind w:firstLine="643" w:firstLineChars="200"/>
        <w:outlineLvl w:val="2"/>
        <w:rPr>
          <w:rFonts w:eastAsia="楷体_GB2312" w:cs="楷体_GB2312"/>
          <w:b/>
          <w:sz w:val="32"/>
          <w:szCs w:val="32"/>
        </w:rPr>
      </w:pPr>
      <w:bookmarkStart w:id="32" w:name="_Toc15377212"/>
      <w:r>
        <w:rPr>
          <w:rFonts w:hint="eastAsia" w:eastAsia="楷体_GB2312" w:cs="楷体_GB2312"/>
          <w:b/>
          <w:sz w:val="32"/>
          <w:szCs w:val="32"/>
        </w:rPr>
        <w:t>（三）一般公共预算财政拨款支出决算具体情况</w:t>
      </w:r>
      <w:bookmarkEnd w:id="32"/>
    </w:p>
    <w:p w14:paraId="6F59AE5A">
      <w:pPr>
        <w:spacing w:line="600" w:lineRule="exact"/>
        <w:ind w:firstLine="640"/>
        <w:rPr>
          <w:rFonts w:eastAsia="仿宋_GB2312" w:cs="仿宋_GB2312"/>
          <w:sz w:val="32"/>
          <w:szCs w:val="32"/>
        </w:rPr>
      </w:pPr>
      <w:bookmarkStart w:id="33" w:name="_Toc15377444"/>
      <w:bookmarkStart w:id="34" w:name="_Toc15378460"/>
      <w:bookmarkStart w:id="35" w:name="_Toc15377213"/>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216.54，</w:t>
      </w:r>
      <w:r>
        <w:rPr>
          <w:rFonts w:hint="eastAsia" w:eastAsia="仿宋_GB2312" w:cs="仿宋_GB2312"/>
          <w:sz w:val="32"/>
          <w:szCs w:val="32"/>
        </w:rPr>
        <w:t>完成预算100%。其中：</w:t>
      </w:r>
      <w:bookmarkEnd w:id="33"/>
      <w:bookmarkEnd w:id="34"/>
      <w:bookmarkEnd w:id="35"/>
    </w:p>
    <w:p w14:paraId="0C203BEB">
      <w:pPr>
        <w:numPr>
          <w:ilvl w:val="0"/>
          <w:numId w:val="1"/>
        </w:numPr>
        <w:spacing w:line="600" w:lineRule="exact"/>
        <w:ind w:firstLine="640"/>
        <w:rPr>
          <w:rFonts w:eastAsia="仿宋_GB2312" w:cs="仿宋_GB2312"/>
          <w:sz w:val="32"/>
          <w:szCs w:val="32"/>
        </w:rPr>
      </w:pPr>
      <w:r>
        <w:rPr>
          <w:rFonts w:hint="eastAsia" w:eastAsia="仿宋_GB2312" w:cs="仿宋_GB2312"/>
          <w:b/>
          <w:bCs/>
          <w:sz w:val="32"/>
          <w:szCs w:val="32"/>
        </w:rPr>
        <w:t>社会保障和就业（类）行政事业单位养老（款）机关事业单位基本养老保险缴费支出（项）</w:t>
      </w:r>
      <w:r>
        <w:rPr>
          <w:rFonts w:hint="eastAsia" w:eastAsia="仿宋_GB2312" w:cs="仿宋_GB2312"/>
          <w:sz w:val="32"/>
          <w:szCs w:val="32"/>
        </w:rPr>
        <w:t>：支出决算为16.06万元，完成预算100%，决算数等于预算数。</w:t>
      </w:r>
    </w:p>
    <w:p w14:paraId="0F7DB738">
      <w:pPr>
        <w:spacing w:line="600" w:lineRule="exact"/>
        <w:ind w:firstLine="640" w:firstLineChars="200"/>
        <w:rPr>
          <w:rFonts w:eastAsia="仿宋_GB2312" w:cs="仿宋_GB2312"/>
          <w:sz w:val="32"/>
          <w:szCs w:val="32"/>
        </w:rPr>
      </w:pPr>
      <w:r>
        <w:rPr>
          <w:rFonts w:hint="eastAsia" w:eastAsia="仿宋_GB2312" w:cs="仿宋_GB2312"/>
          <w:sz w:val="32"/>
          <w:szCs w:val="32"/>
        </w:rPr>
        <w:t>2.</w:t>
      </w:r>
      <w:r>
        <w:rPr>
          <w:rFonts w:hint="eastAsia" w:eastAsia="仿宋_GB2312" w:cs="仿宋_GB2312"/>
          <w:b/>
          <w:bCs/>
          <w:sz w:val="32"/>
          <w:szCs w:val="32"/>
        </w:rPr>
        <w:t>社会保障和就业（类）行政事业单位养老（款）事业单位离退休支出（项）</w:t>
      </w:r>
      <w:r>
        <w:rPr>
          <w:rFonts w:hint="eastAsia" w:eastAsia="仿宋_GB2312" w:cs="仿宋_GB2312"/>
          <w:sz w:val="32"/>
          <w:szCs w:val="32"/>
        </w:rPr>
        <w:t>: 支出决算为14.58万元，完成预算100%，决算数等于预算数。</w:t>
      </w:r>
    </w:p>
    <w:p w14:paraId="63890357">
      <w:pPr>
        <w:spacing w:line="600" w:lineRule="exact"/>
        <w:ind w:firstLine="640"/>
        <w:rPr>
          <w:rFonts w:eastAsia="仿宋_GB2312" w:cs="仿宋_GB2312"/>
          <w:sz w:val="32"/>
          <w:szCs w:val="32"/>
        </w:rPr>
      </w:pPr>
      <w:r>
        <w:rPr>
          <w:rFonts w:hint="eastAsia" w:eastAsia="仿宋_GB2312" w:cs="仿宋_GB2312"/>
          <w:sz w:val="32"/>
          <w:szCs w:val="32"/>
        </w:rPr>
        <w:t>3.</w:t>
      </w:r>
      <w:r>
        <w:rPr>
          <w:rFonts w:hint="eastAsia" w:eastAsia="仿宋_GB2312" w:cs="仿宋_GB2312"/>
          <w:b/>
          <w:bCs/>
          <w:sz w:val="32"/>
          <w:szCs w:val="32"/>
        </w:rPr>
        <w:t>卫生健康（类）行政事业单位医疗（款）事业单位医疗（项）</w:t>
      </w:r>
      <w:r>
        <w:rPr>
          <w:rFonts w:hint="eastAsia" w:eastAsia="仿宋_GB2312" w:cs="仿宋_GB2312"/>
          <w:sz w:val="32"/>
          <w:szCs w:val="32"/>
        </w:rPr>
        <w:t>：支出决算为7.9万元，完成预算100%，决算数等于预算数。</w:t>
      </w:r>
    </w:p>
    <w:p w14:paraId="2AD6E701">
      <w:pPr>
        <w:spacing w:line="600" w:lineRule="exact"/>
        <w:ind w:firstLine="640"/>
        <w:rPr>
          <w:rFonts w:eastAsia="仿宋_GB2312" w:cs="仿宋_GB2312"/>
          <w:sz w:val="32"/>
          <w:szCs w:val="32"/>
        </w:rPr>
      </w:pPr>
      <w:r>
        <w:rPr>
          <w:rFonts w:hint="eastAsia" w:eastAsia="仿宋_GB2312" w:cs="仿宋_GB2312"/>
          <w:sz w:val="32"/>
          <w:szCs w:val="32"/>
        </w:rPr>
        <w:t>4.</w:t>
      </w:r>
      <w:r>
        <w:rPr>
          <w:rFonts w:hint="eastAsia" w:eastAsia="仿宋_GB2312" w:cs="仿宋_GB2312"/>
          <w:b/>
          <w:bCs/>
          <w:sz w:val="32"/>
          <w:szCs w:val="32"/>
        </w:rPr>
        <w:t>卫生健康（类）行政事业单位医疗（款）公务员医疗补助（项）</w:t>
      </w:r>
      <w:r>
        <w:rPr>
          <w:rFonts w:hint="eastAsia" w:eastAsia="仿宋_GB2312" w:cs="仿宋_GB2312"/>
          <w:sz w:val="32"/>
          <w:szCs w:val="32"/>
        </w:rPr>
        <w:t>：支出决算为1.04万元，完成预算100%，决算数等于预算数。</w:t>
      </w:r>
    </w:p>
    <w:p w14:paraId="691CA049">
      <w:pPr>
        <w:spacing w:line="600" w:lineRule="exact"/>
        <w:ind w:firstLine="640"/>
        <w:rPr>
          <w:rFonts w:eastAsia="仿宋_GB2312" w:cs="仿宋_GB2312"/>
          <w:sz w:val="32"/>
          <w:szCs w:val="32"/>
        </w:rPr>
      </w:pPr>
      <w:r>
        <w:rPr>
          <w:rFonts w:hint="eastAsia" w:eastAsia="仿宋_GB2312" w:cs="仿宋_GB2312"/>
          <w:sz w:val="32"/>
          <w:szCs w:val="32"/>
        </w:rPr>
        <w:t>5.</w:t>
      </w:r>
      <w:r>
        <w:rPr>
          <w:rFonts w:hint="eastAsia" w:eastAsia="仿宋_GB2312" w:cs="仿宋_GB2312"/>
          <w:b/>
          <w:bCs/>
          <w:sz w:val="32"/>
          <w:szCs w:val="32"/>
        </w:rPr>
        <w:t>卫生健康（类）行政事业单位医疗（款）其他行政事业单位医疗（项）</w:t>
      </w:r>
      <w:r>
        <w:rPr>
          <w:rFonts w:hint="eastAsia" w:eastAsia="仿宋_GB2312" w:cs="仿宋_GB2312"/>
          <w:sz w:val="32"/>
          <w:szCs w:val="32"/>
        </w:rPr>
        <w:t>：支出决算为1.06万元，完成预算100%，决算数等于预算数。</w:t>
      </w:r>
    </w:p>
    <w:p w14:paraId="255C1CBC">
      <w:pPr>
        <w:spacing w:line="600" w:lineRule="exact"/>
        <w:ind w:firstLine="640"/>
        <w:rPr>
          <w:rFonts w:eastAsia="仿宋_GB2312" w:cs="仿宋_GB2312"/>
          <w:sz w:val="32"/>
          <w:szCs w:val="32"/>
        </w:rPr>
      </w:pPr>
      <w:r>
        <w:rPr>
          <w:rFonts w:hint="eastAsia" w:eastAsia="仿宋_GB2312" w:cs="仿宋_GB2312"/>
          <w:sz w:val="32"/>
          <w:szCs w:val="32"/>
        </w:rPr>
        <w:t>6.</w:t>
      </w:r>
      <w:r>
        <w:rPr>
          <w:rFonts w:hint="eastAsia" w:eastAsia="仿宋_GB2312" w:cs="仿宋_GB2312"/>
          <w:b/>
          <w:bCs/>
          <w:sz w:val="32"/>
          <w:szCs w:val="32"/>
        </w:rPr>
        <w:t>自然资源海洋气象等（类）自然资源事务（款）事业运行（项）</w:t>
      </w:r>
      <w:r>
        <w:rPr>
          <w:rFonts w:hint="eastAsia" w:eastAsia="仿宋_GB2312" w:cs="仿宋_GB2312"/>
          <w:sz w:val="32"/>
          <w:szCs w:val="32"/>
        </w:rPr>
        <w:t>：支出决算为115.76万元，完成预算100%，决算数等于预算数。</w:t>
      </w:r>
    </w:p>
    <w:p w14:paraId="53E2D00E">
      <w:pPr>
        <w:spacing w:line="600" w:lineRule="exact"/>
        <w:ind w:firstLine="640"/>
        <w:rPr>
          <w:rFonts w:eastAsia="仿宋_GB2312" w:cs="仿宋_GB2312"/>
          <w:sz w:val="32"/>
          <w:szCs w:val="32"/>
        </w:rPr>
      </w:pPr>
      <w:r>
        <w:rPr>
          <w:rFonts w:hint="eastAsia" w:eastAsia="仿宋_GB2312" w:cs="仿宋_GB2312"/>
          <w:sz w:val="32"/>
          <w:szCs w:val="32"/>
        </w:rPr>
        <w:t>7.</w:t>
      </w:r>
      <w:r>
        <w:rPr>
          <w:rFonts w:hint="eastAsia" w:eastAsia="仿宋_GB2312" w:cs="仿宋_GB2312"/>
          <w:b/>
          <w:bCs/>
          <w:sz w:val="32"/>
          <w:szCs w:val="32"/>
        </w:rPr>
        <w:t>自然资源海洋气象等（类）自然资源事务（款）自然资源利用与保护（项）</w:t>
      </w:r>
      <w:r>
        <w:rPr>
          <w:rFonts w:hint="eastAsia" w:eastAsia="仿宋_GB2312" w:cs="仿宋_GB2312"/>
          <w:sz w:val="32"/>
          <w:szCs w:val="32"/>
        </w:rPr>
        <w:t>：支出决算为32.58万元，完成预算100%，决算数等于预算数。</w:t>
      </w:r>
    </w:p>
    <w:p w14:paraId="590CEB5A">
      <w:pPr>
        <w:spacing w:line="600" w:lineRule="exact"/>
        <w:ind w:firstLine="640"/>
        <w:rPr>
          <w:rFonts w:eastAsia="仿宋_GB2312" w:cs="仿宋_GB2312"/>
          <w:sz w:val="32"/>
          <w:szCs w:val="32"/>
        </w:rPr>
      </w:pPr>
      <w:r>
        <w:rPr>
          <w:rFonts w:hint="eastAsia" w:eastAsia="仿宋_GB2312" w:cs="仿宋_GB2312"/>
          <w:sz w:val="32"/>
          <w:szCs w:val="32"/>
        </w:rPr>
        <w:t>8.</w:t>
      </w:r>
      <w:r>
        <w:rPr>
          <w:rFonts w:hint="eastAsia" w:eastAsia="仿宋_GB2312" w:cs="仿宋_GB2312"/>
          <w:b/>
          <w:bCs/>
          <w:sz w:val="32"/>
          <w:szCs w:val="32"/>
        </w:rPr>
        <w:t>自然资源海洋气象等（类）自然资源事务（款）其他自然资源事务支出（项）</w:t>
      </w:r>
      <w:r>
        <w:rPr>
          <w:rFonts w:hint="eastAsia" w:eastAsia="仿宋_GB2312" w:cs="仿宋_GB2312"/>
          <w:sz w:val="32"/>
          <w:szCs w:val="32"/>
        </w:rPr>
        <w:t>：支出决算为15.57万元，完成预算100%，决算数等于预算数。</w:t>
      </w:r>
    </w:p>
    <w:p w14:paraId="0D6C97D6">
      <w:pPr>
        <w:spacing w:line="600" w:lineRule="exact"/>
        <w:ind w:firstLine="640"/>
        <w:rPr>
          <w:rFonts w:eastAsia="仿宋_GB2312" w:cs="仿宋_GB2312"/>
          <w:sz w:val="32"/>
          <w:szCs w:val="32"/>
        </w:rPr>
      </w:pPr>
      <w:r>
        <w:rPr>
          <w:rFonts w:hint="eastAsia" w:eastAsia="仿宋_GB2312" w:cs="仿宋_GB2312"/>
          <w:sz w:val="32"/>
          <w:szCs w:val="32"/>
        </w:rPr>
        <w:t>9.</w:t>
      </w:r>
      <w:r>
        <w:rPr>
          <w:rFonts w:hint="eastAsia" w:eastAsia="仿宋_GB2312" w:cs="仿宋_GB2312"/>
          <w:b/>
          <w:bCs/>
          <w:sz w:val="32"/>
          <w:szCs w:val="32"/>
        </w:rPr>
        <w:t>住房保障（类）住房改革支出（款）住房公积金（项）</w:t>
      </w:r>
      <w:r>
        <w:rPr>
          <w:rFonts w:hint="eastAsia" w:eastAsia="仿宋_GB2312" w:cs="仿宋_GB2312"/>
          <w:sz w:val="32"/>
          <w:szCs w:val="32"/>
        </w:rPr>
        <w:t>：支出决算为12万元，完成预算100%，决算数等于预算数。</w:t>
      </w:r>
    </w:p>
    <w:p w14:paraId="7CC8F46A">
      <w:pPr>
        <w:tabs>
          <w:tab w:val="right" w:pos="8306"/>
        </w:tabs>
        <w:spacing w:line="600" w:lineRule="exact"/>
        <w:ind w:firstLine="640"/>
        <w:outlineLvl w:val="1"/>
        <w:rPr>
          <w:rStyle w:val="29"/>
          <w:rFonts w:ascii="Times New Roman" w:hAnsi="Times New Roman"/>
        </w:rPr>
      </w:pPr>
      <w:bookmarkStart w:id="36" w:name="_Toc15377214"/>
      <w:bookmarkStart w:id="37" w:name="_Toc15396608"/>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36"/>
      <w:bookmarkEnd w:id="37"/>
      <w:r>
        <w:rPr>
          <w:rStyle w:val="29"/>
          <w:rFonts w:ascii="Times New Roman" w:hAnsi="Times New Roman" w:eastAsia="黑体"/>
          <w:b w:val="0"/>
        </w:rPr>
        <w:tab/>
      </w:r>
    </w:p>
    <w:p w14:paraId="14AB1581">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168.4万</w:t>
      </w:r>
      <w:r>
        <w:rPr>
          <w:rFonts w:hint="eastAsia" w:eastAsia="仿宋_GB2312" w:cs="仿宋_GB2312"/>
          <w:sz w:val="32"/>
          <w:szCs w:val="32"/>
        </w:rPr>
        <w:t>元，其中：</w:t>
      </w:r>
    </w:p>
    <w:p w14:paraId="22D011A0">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155.42万</w:t>
      </w:r>
      <w:r>
        <w:rPr>
          <w:rFonts w:hint="eastAsia" w:eastAsia="仿宋_GB2312" w:cs="仿宋_GB2312"/>
          <w:sz w:val="32"/>
          <w:szCs w:val="32"/>
        </w:rPr>
        <w:t>元，主要包括：基本工资、津贴补贴、绩效工资、机关事业单位基本养老保险缴费、职业年金缴费、其他社会保障缴费、退休费、生活补助、医疗费补助、奖励金、住房公积金、其他对个人和家庭的补助支出等。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12.98万</w:t>
      </w:r>
      <w:r>
        <w:rPr>
          <w:rFonts w:hint="eastAsia" w:eastAsia="仿宋_GB2312" w:cs="仿宋_GB2312"/>
          <w:sz w:val="32"/>
          <w:szCs w:val="32"/>
        </w:rPr>
        <w:t>元，主要包括：办公费、水费、电费、邮电费、物业管理费、差旅费、培训费、劳务费、委托业务费、工会经费、福利费、公务用车运行维护费、其他商品和服务支出、办公设备购置。</w:t>
      </w:r>
    </w:p>
    <w:p w14:paraId="105734A3">
      <w:pPr>
        <w:spacing w:line="600" w:lineRule="exact"/>
        <w:ind w:firstLine="640"/>
        <w:outlineLvl w:val="1"/>
        <w:rPr>
          <w:rStyle w:val="29"/>
          <w:rFonts w:ascii="Times New Roman" w:hAnsi="Times New Roman" w:eastAsia="黑体"/>
          <w:b w:val="0"/>
        </w:rPr>
      </w:pPr>
      <w:bookmarkStart w:id="38" w:name="_Toc15396609"/>
      <w:bookmarkStart w:id="39" w:name="_Toc15377215"/>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38"/>
      <w:bookmarkEnd w:id="39"/>
    </w:p>
    <w:p w14:paraId="386A7453">
      <w:pPr>
        <w:spacing w:line="600" w:lineRule="exact"/>
        <w:ind w:firstLine="643" w:firstLineChars="200"/>
        <w:outlineLvl w:val="2"/>
        <w:rPr>
          <w:rFonts w:eastAsia="楷体_GB2312" w:cs="楷体_GB2312"/>
          <w:b/>
          <w:sz w:val="32"/>
          <w:szCs w:val="32"/>
        </w:rPr>
      </w:pPr>
      <w:bookmarkStart w:id="40" w:name="_Toc15377216"/>
      <w:r>
        <w:rPr>
          <w:rFonts w:hint="eastAsia" w:eastAsia="楷体_GB2312" w:cs="楷体_GB2312"/>
          <w:b/>
          <w:sz w:val="32"/>
          <w:szCs w:val="32"/>
        </w:rPr>
        <w:t>（一）“三公”经费财政拨款支出决算总体情况说明</w:t>
      </w:r>
      <w:bookmarkEnd w:id="40"/>
    </w:p>
    <w:p w14:paraId="32B1CDB6">
      <w:pPr>
        <w:spacing w:line="600" w:lineRule="exact"/>
        <w:ind w:firstLine="640"/>
        <w:rPr>
          <w:rFonts w:eastAsia="仿宋_GB2312" w:cs="仿宋_GB2312"/>
          <w:b/>
          <w:bCs/>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1.13万元，完成预算100%，</w:t>
      </w:r>
      <w:r>
        <w:rPr>
          <w:rFonts w:hint="eastAsia" w:eastAsia="仿宋_GB2312" w:cs="仿宋_GB2312"/>
          <w:sz w:val="32"/>
          <w:szCs w:val="32"/>
        </w:rPr>
        <w:t>较上年度减少</w:t>
      </w:r>
      <w:r>
        <w:rPr>
          <w:rFonts w:hint="eastAsia" w:ascii="仿宋_GB2312" w:hAnsi="仿宋_GB2312" w:eastAsia="仿宋_GB2312" w:cs="仿宋_GB2312"/>
          <w:sz w:val="32"/>
          <w:szCs w:val="32"/>
        </w:rPr>
        <w:t>1.62万元，下降58.9%</w:t>
      </w:r>
      <w:r>
        <w:rPr>
          <w:rFonts w:hint="eastAsia" w:eastAsia="仿宋_GB2312" w:cs="仿宋_GB2312"/>
          <w:sz w:val="32"/>
          <w:szCs w:val="32"/>
        </w:rPr>
        <w:t>。决算数小于预算数的主要原因是车辆使用年限较长、部件老化，需长期在维修厂进行检修维护，期间相应的公务用车运</w:t>
      </w:r>
      <w:bookmarkStart w:id="69" w:name="_GoBack"/>
      <w:bookmarkEnd w:id="69"/>
      <w:r>
        <w:rPr>
          <w:rFonts w:hint="eastAsia" w:eastAsia="仿宋_GB2312" w:cs="仿宋_GB2312"/>
          <w:sz w:val="32"/>
          <w:szCs w:val="32"/>
        </w:rPr>
        <w:t>行费用（如燃油费、过路过桥费等）较上年同期减少，从而推动三公经费整体下降。</w:t>
      </w:r>
    </w:p>
    <w:p w14:paraId="522F93E3">
      <w:pPr>
        <w:spacing w:line="600" w:lineRule="exact"/>
        <w:ind w:firstLine="643" w:firstLineChars="200"/>
        <w:outlineLvl w:val="2"/>
        <w:rPr>
          <w:rFonts w:eastAsia="楷体_GB2312" w:cs="楷体_GB2312"/>
          <w:b/>
          <w:sz w:val="32"/>
          <w:szCs w:val="32"/>
        </w:rPr>
      </w:pPr>
      <w:bookmarkStart w:id="41" w:name="_Toc15377217"/>
      <w:r>
        <w:rPr>
          <w:rFonts w:hint="eastAsia" w:eastAsia="楷体_GB2312" w:cs="楷体_GB2312"/>
          <w:b/>
          <w:sz w:val="32"/>
          <w:szCs w:val="32"/>
        </w:rPr>
        <w:t>（二）“三公”经费财政拨款支出决算具体情况说明</w:t>
      </w:r>
      <w:bookmarkEnd w:id="41"/>
    </w:p>
    <w:p w14:paraId="519D0007">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2024年度“三公”经费财政拨款支出决算中，因公出国（境）费支出决算0万元，占0%；公务用车购置及运行维护费支出决算1.13万元，占100%；公务接待费支出决算0万元，占0%。具体情况如下：</w:t>
      </w:r>
    </w:p>
    <w:p w14:paraId="031F2F6B">
      <w:pPr>
        <w:spacing w:line="600" w:lineRule="exact"/>
        <w:ind w:firstLine="640"/>
        <w:rPr>
          <w:rFonts w:eastAsia="仿宋_GB2312" w:cs="仿宋_GB2312"/>
          <w:sz w:val="32"/>
          <w:szCs w:val="32"/>
        </w:rPr>
      </w:pPr>
      <w:r>
        <w:rPr>
          <w:rFonts w:hint="eastAsia" w:eastAsia="仿宋_GB2312" w:cs="仿宋_GB2312"/>
          <w:sz w:val="32"/>
          <w:szCs w:val="32"/>
        </w:rPr>
        <w:t>（图7：“三公”经费财政拨款支出结构）</w:t>
      </w:r>
    </w:p>
    <w:p w14:paraId="0121E637">
      <w:pPr>
        <w:pStyle w:val="8"/>
        <w:ind w:left="420"/>
        <w:rPr>
          <w:rFonts w:ascii="Times New Roman" w:eastAsia="仿宋_GB2312" w:cs="仿宋_GB2312"/>
          <w:sz w:val="32"/>
        </w:rPr>
      </w:pPr>
      <w:r>
        <w:drawing>
          <wp:inline distT="0" distB="0" distL="114300" distR="11430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A9EE32">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1.因公出国（境）经费支出0万元，完成预算0%。</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。因公出国（境）支出决算比2023年增加/减少0万元，增长/下降0%。</w:t>
      </w:r>
    </w:p>
    <w:p w14:paraId="1C331076">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1.13万</w:t>
      </w:r>
      <w:r>
        <w:rPr>
          <w:rFonts w:hint="eastAsia" w:eastAsia="仿宋_GB2312" w:cs="仿宋_GB2312"/>
          <w:b/>
          <w:bCs/>
          <w:sz w:val="32"/>
          <w:szCs w:val="32"/>
        </w:rPr>
        <w:t>元，完成预算100%。</w:t>
      </w:r>
      <w:r>
        <w:rPr>
          <w:rFonts w:hint="eastAsia" w:eastAsia="仿宋_GB2312" w:cs="仿宋_GB2312"/>
          <w:sz w:val="32"/>
          <w:szCs w:val="32"/>
        </w:rPr>
        <w:t>公务用车购置及运行维护费支出决算比2023年度减少1.62万元，下降58.9%。主要原因是车辆使用年限较长、部件老化，需长期在维修厂进行检修维护，期间相应的公务用车运行费用（如燃油费、过路过桥费等）较上年同期减少，从而推动三公经费整体下降。</w:t>
      </w:r>
    </w:p>
    <w:p w14:paraId="108CA833">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万元。全年按规定更新购置公务用车0辆，其中：轿车0辆、金额0万元，越野车0辆、金额0万元，载客汽车0辆、金额0万元。截至2024年12月31日，单位共有公务用车1辆，其中：轿车0辆、越野车1辆、载客汽车0辆。</w:t>
      </w:r>
    </w:p>
    <w:p w14:paraId="3BFE2EB9">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出1.13</w:t>
      </w:r>
      <w:r>
        <w:rPr>
          <w:rFonts w:hint="eastAsia" w:eastAsia="仿宋_GB2312" w:cs="仿宋_GB2312"/>
          <w:sz w:val="32"/>
          <w:szCs w:val="32"/>
        </w:rPr>
        <w:t>万元。主要用于……（具体工作）所需的公务用车燃料费、维修费、过路过桥费、保险费等支出。</w:t>
      </w:r>
    </w:p>
    <w:p w14:paraId="5562656E">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0万</w:t>
      </w:r>
      <w:r>
        <w:rPr>
          <w:rFonts w:hint="eastAsia" w:eastAsia="仿宋_GB2312" w:cs="仿宋_GB2312"/>
          <w:b/>
          <w:bCs/>
          <w:sz w:val="32"/>
          <w:szCs w:val="32"/>
        </w:rPr>
        <w:t>元，完成预算0%。</w:t>
      </w:r>
      <w:r>
        <w:rPr>
          <w:rFonts w:hint="eastAsia" w:eastAsia="仿宋_GB2312" w:cs="仿宋_GB2312"/>
          <w:sz w:val="32"/>
          <w:szCs w:val="32"/>
        </w:rPr>
        <w:t>公务接待费支出决算与2023年度持平。</w:t>
      </w:r>
    </w:p>
    <w:p w14:paraId="5DFD05A7">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出0万</w:t>
      </w:r>
      <w:r>
        <w:rPr>
          <w:rFonts w:hint="eastAsia" w:eastAsia="仿宋_GB2312" w:cs="仿宋_GB2312"/>
          <w:sz w:val="32"/>
          <w:szCs w:val="32"/>
        </w:rPr>
        <w:t>元，国内公务接</w:t>
      </w:r>
      <w:r>
        <w:rPr>
          <w:rFonts w:hint="eastAsia" w:ascii="仿宋_GB2312" w:hAnsi="仿宋_GB2312" w:eastAsia="仿宋_GB2312" w:cs="仿宋_GB2312"/>
          <w:sz w:val="32"/>
          <w:szCs w:val="32"/>
        </w:rPr>
        <w:t>待0批次，0</w:t>
      </w:r>
      <w:r>
        <w:rPr>
          <w:rFonts w:hint="eastAsia" w:eastAsia="仿宋_GB2312" w:cs="仿宋_GB2312"/>
          <w:sz w:val="32"/>
          <w:szCs w:val="32"/>
        </w:rPr>
        <w:t>人次（不包括陪同人员），共计支出0万元。</w:t>
      </w:r>
    </w:p>
    <w:p w14:paraId="7256E099">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出0万元，外事接待0批次，0人次（不包括陪同人员），共计支出0万</w:t>
      </w:r>
      <w:r>
        <w:rPr>
          <w:rFonts w:hint="eastAsia" w:eastAsia="仿宋_GB2312" w:cs="仿宋_GB2312"/>
          <w:sz w:val="32"/>
          <w:szCs w:val="32"/>
        </w:rPr>
        <w:t>元。</w:t>
      </w:r>
      <w:bookmarkStart w:id="42" w:name="_Toc15377218"/>
      <w:bookmarkStart w:id="43" w:name="_Toc15396610"/>
    </w:p>
    <w:p w14:paraId="183953AA">
      <w:pPr>
        <w:spacing w:line="600" w:lineRule="exact"/>
        <w:ind w:firstLine="640"/>
        <w:outlineLvl w:val="1"/>
        <w:rPr>
          <w:rStyle w:val="29"/>
          <w:rFonts w:ascii="Times New Roman" w:hAnsi="Times New Roman" w:eastAsia="黑体"/>
        </w:rPr>
      </w:pPr>
      <w:r>
        <w:rPr>
          <w:rFonts w:hint="eastAsia" w:eastAsia="黑体"/>
          <w:sz w:val="32"/>
          <w:szCs w:val="32"/>
        </w:rPr>
        <w:t>八、</w:t>
      </w:r>
      <w:r>
        <w:rPr>
          <w:rStyle w:val="29"/>
          <w:rFonts w:hint="eastAsia" w:ascii="Times New Roman" w:hAnsi="Times New Roman" w:eastAsia="黑体"/>
          <w:b w:val="0"/>
        </w:rPr>
        <w:t>政府性基金预算支出决算情况说明</w:t>
      </w:r>
      <w:bookmarkEnd w:id="42"/>
      <w:bookmarkEnd w:id="43"/>
    </w:p>
    <w:p w14:paraId="00CA8557">
      <w:pPr>
        <w:spacing w:line="600" w:lineRule="exact"/>
        <w:ind w:firstLine="640"/>
        <w:rPr>
          <w:rFonts w:eastAsia="仿宋_GB2312" w:cs="仿宋_GB2312"/>
          <w:b/>
          <w:bCs/>
          <w:sz w:val="32"/>
          <w:szCs w:val="32"/>
        </w:rPr>
      </w:pPr>
      <w:r>
        <w:rPr>
          <w:rFonts w:hint="eastAsia" w:ascii="仿宋_GB2312" w:hAnsi="仿宋_GB2312" w:eastAsia="仿宋_GB2312" w:cs="仿宋_GB2312"/>
          <w:sz w:val="32"/>
          <w:szCs w:val="32"/>
        </w:rPr>
        <w:t>2024年度政府性基金预算财政拨款支出0万元，</w:t>
      </w:r>
      <w:r>
        <w:rPr>
          <w:rFonts w:hint="eastAsia" w:eastAsia="仿宋_GB2312" w:cs="仿宋_GB2312"/>
          <w:sz w:val="32"/>
          <w:szCs w:val="32"/>
        </w:rPr>
        <w:t>与2023年度相比，政府性基金预算财政拨款支出持平。</w:t>
      </w:r>
    </w:p>
    <w:p w14:paraId="1BF8F74F">
      <w:pPr>
        <w:spacing w:line="600" w:lineRule="exact"/>
        <w:ind w:firstLine="640" w:firstLineChars="200"/>
        <w:outlineLvl w:val="1"/>
        <w:rPr>
          <w:rStyle w:val="29"/>
          <w:rFonts w:ascii="Times New Roman" w:hAnsi="Times New Roman" w:eastAsia="黑体"/>
          <w:b w:val="0"/>
        </w:rPr>
      </w:pPr>
      <w:bookmarkStart w:id="44" w:name="_Toc15396611"/>
      <w:bookmarkStart w:id="45" w:name="_Toc15377219"/>
      <w:r>
        <w:rPr>
          <w:rStyle w:val="29"/>
          <w:rFonts w:hint="eastAsia" w:ascii="Times New Roman" w:hAnsi="Times New Roman" w:eastAsia="黑体"/>
          <w:b w:val="0"/>
        </w:rPr>
        <w:t>九、国有资本经营预算支出决算情况说明</w:t>
      </w:r>
      <w:bookmarkEnd w:id="44"/>
      <w:bookmarkEnd w:id="45"/>
    </w:p>
    <w:p w14:paraId="6728A520">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w:t>
      </w:r>
      <w:r>
        <w:rPr>
          <w:rFonts w:hint="eastAsia" w:eastAsia="仿宋_GB2312" w:cs="仿宋_GB2312"/>
          <w:sz w:val="32"/>
          <w:szCs w:val="32"/>
        </w:rPr>
        <w:t>与2023年度相比，国有资本经营预算财政拨款支出持平。</w:t>
      </w:r>
    </w:p>
    <w:p w14:paraId="7A1184D4">
      <w:pPr>
        <w:spacing w:line="600" w:lineRule="exact"/>
        <w:ind w:left="630"/>
        <w:outlineLvl w:val="1"/>
        <w:rPr>
          <w:rStyle w:val="29"/>
          <w:rFonts w:ascii="Times New Roman" w:hAnsi="Times New Roman" w:eastAsia="黑体"/>
          <w:b w:val="0"/>
        </w:rPr>
      </w:pPr>
      <w:bookmarkStart w:id="46" w:name="_Toc15377221"/>
      <w:bookmarkStart w:id="47" w:name="_Toc15396612"/>
      <w:r>
        <w:rPr>
          <w:rStyle w:val="29"/>
          <w:rFonts w:hint="eastAsia" w:ascii="Times New Roman" w:hAnsi="Times New Roman" w:eastAsia="黑体"/>
          <w:b w:val="0"/>
        </w:rPr>
        <w:t>十、其他重要事项的情况说明</w:t>
      </w:r>
      <w:bookmarkEnd w:id="46"/>
      <w:bookmarkEnd w:id="47"/>
    </w:p>
    <w:p w14:paraId="60748A0C">
      <w:pPr>
        <w:spacing w:line="600" w:lineRule="exact"/>
        <w:ind w:firstLine="643" w:firstLineChars="200"/>
        <w:outlineLvl w:val="2"/>
        <w:rPr>
          <w:rFonts w:eastAsia="楷体_GB2312" w:cs="楷体_GB2312"/>
          <w:b/>
          <w:sz w:val="32"/>
          <w:szCs w:val="32"/>
        </w:rPr>
      </w:pPr>
      <w:bookmarkStart w:id="48" w:name="_Toc15377222"/>
      <w:r>
        <w:rPr>
          <w:rFonts w:hint="eastAsia" w:eastAsia="楷体_GB2312" w:cs="楷体_GB2312"/>
          <w:b/>
          <w:sz w:val="32"/>
          <w:szCs w:val="32"/>
        </w:rPr>
        <w:t>（一）机关运行经费支出情况</w:t>
      </w:r>
      <w:bookmarkEnd w:id="48"/>
    </w:p>
    <w:p w14:paraId="23363601">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，攀枝花市国土整治中心机关运行经费支出0万</w:t>
      </w:r>
      <w:r>
        <w:rPr>
          <w:rFonts w:hint="eastAsia" w:eastAsia="仿宋_GB2312" w:cs="仿宋_GB2312"/>
          <w:sz w:val="32"/>
          <w:szCs w:val="32"/>
        </w:rPr>
        <w:t>元，与2023年度决算数持平。</w:t>
      </w:r>
    </w:p>
    <w:p w14:paraId="6FCD4954">
      <w:pPr>
        <w:spacing w:line="600" w:lineRule="exact"/>
        <w:ind w:firstLine="643" w:firstLineChars="200"/>
        <w:outlineLvl w:val="2"/>
        <w:rPr>
          <w:rFonts w:eastAsia="楷体_GB2312" w:cs="楷体_GB2312"/>
          <w:b/>
          <w:sz w:val="32"/>
          <w:szCs w:val="32"/>
        </w:rPr>
      </w:pPr>
      <w:bookmarkStart w:id="49" w:name="_Toc15377223"/>
      <w:r>
        <w:rPr>
          <w:rFonts w:hint="eastAsia" w:eastAsia="楷体_GB2312" w:cs="楷体_GB2312"/>
          <w:b/>
          <w:sz w:val="32"/>
          <w:szCs w:val="32"/>
        </w:rPr>
        <w:t>（二）政府采购支出情况</w:t>
      </w:r>
      <w:bookmarkEnd w:id="49"/>
    </w:p>
    <w:p w14:paraId="7F355448">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攀枝花市国土整治中心政府采购支出总额0.76万元，其中：政府采购货物支出0.63万元、政府采购工程支出0万元、政府采购服务支出0.13万元。主要用于办公设备打印机、扫描仪和车辆保险。授予中小企业合同金额0.63万元，占政府采购支出总额的82.89%，其中：授予小微企业合同金额0.63万元，占政府采购支出总额的82.89%。</w:t>
      </w:r>
    </w:p>
    <w:p w14:paraId="04CA3C9B">
      <w:pPr>
        <w:spacing w:line="600" w:lineRule="exact"/>
        <w:ind w:firstLine="643" w:firstLineChars="200"/>
        <w:outlineLvl w:val="2"/>
        <w:rPr>
          <w:rFonts w:eastAsia="楷体_GB2312" w:cs="楷体_GB2312"/>
          <w:b/>
          <w:sz w:val="32"/>
          <w:szCs w:val="32"/>
        </w:rPr>
      </w:pPr>
      <w:bookmarkStart w:id="50" w:name="_Toc15377224"/>
      <w:r>
        <w:rPr>
          <w:rFonts w:hint="eastAsia" w:eastAsia="楷体_GB2312" w:cs="楷体_GB2312"/>
          <w:b/>
          <w:sz w:val="32"/>
          <w:szCs w:val="32"/>
        </w:rPr>
        <w:t>（三）国有资产占有使用情况</w:t>
      </w:r>
      <w:bookmarkEnd w:id="50"/>
    </w:p>
    <w:p w14:paraId="494A6996">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攀枝花市国土整治中心共有车辆1辆，其中：主要负责人用车0辆、机要通信用车0辆、应急保障用车0辆、其他用车1辆，其他用车主要是用于项目现场技术指导。单价100万元（含）以上设备（不含车辆）0台（套）</w:t>
      </w:r>
      <w:r>
        <w:rPr>
          <w:rFonts w:hint="eastAsia" w:eastAsia="仿宋_GB2312" w:cs="仿宋_GB2312"/>
          <w:sz w:val="32"/>
          <w:szCs w:val="32"/>
        </w:rPr>
        <w:t>。</w:t>
      </w:r>
    </w:p>
    <w:p w14:paraId="1F2737A3">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21FBF312">
      <w:pPr>
        <w:spacing w:line="600" w:lineRule="exact"/>
        <w:ind w:firstLine="640" w:firstLineChars="200"/>
        <w:rPr>
          <w:rFonts w:ascii="Times New Roman" w:hAnsi="Times New Roman" w:eastAsia="仿宋_GB2312"/>
          <w:sz w:val="32"/>
          <w:szCs w:val="32"/>
        </w:rPr>
      </w:pPr>
      <w:r>
        <w:rPr>
          <w:rFonts w:hint="eastAsia" w:eastAsia="仿宋_GB2312" w:cs="仿宋_GB2312"/>
          <w:sz w:val="32"/>
          <w:szCs w:val="32"/>
        </w:rPr>
        <w:t>根据预算绩效管理要求，攀枝花市国土整治中心在2024年度预算编制阶段，组织对4个项目开展了预算事前绩效评估，对4个项目编制了绩效目标，预算执行过程中，选取</w:t>
      </w:r>
      <w:r>
        <w:rPr>
          <w:rFonts w:hint="eastAsia" w:eastAsia="仿宋_GB2312" w:cs="仿宋_GB2312"/>
          <w:sz w:val="32"/>
          <w:szCs w:val="32"/>
          <w:lang w:val="en-US" w:eastAsia="zh-CN"/>
        </w:rPr>
        <w:t>4</w:t>
      </w:r>
      <w:r>
        <w:rPr>
          <w:rFonts w:hint="eastAsia" w:eastAsia="仿宋_GB2312" w:cs="仿宋_GB2312"/>
          <w:sz w:val="32"/>
          <w:szCs w:val="32"/>
        </w:rPr>
        <w:t>个项目开展绩效监控</w:t>
      </w:r>
      <w:r>
        <w:rPr>
          <w:rFonts w:hint="eastAsia" w:eastAsia="仿宋_GB2312" w:cs="仿宋_GB2312"/>
          <w:sz w:val="32"/>
          <w:szCs w:val="32"/>
          <w:lang w:eastAsia="zh-CN"/>
        </w:rPr>
        <w:t>，</w:t>
      </w:r>
      <w:r>
        <w:rPr>
          <w:rFonts w:ascii="Times New Roman" w:hAnsi="Times New Roman" w:eastAsia="仿宋_GB2312"/>
          <w:sz w:val="32"/>
          <w:szCs w:val="32"/>
        </w:rPr>
        <w:t>绩效自评表详见第四部分附件。</w:t>
      </w:r>
    </w:p>
    <w:p w14:paraId="67DE13DE">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 xml:space="preserve"> </w:t>
      </w:r>
    </w:p>
    <w:p w14:paraId="53277759">
      <w:pPr>
        <w:spacing w:line="600" w:lineRule="exact"/>
        <w:ind w:firstLine="640"/>
        <w:rPr>
          <w:rFonts w:eastAsia="仿宋_GB2312" w:cs="仿宋_GB2312"/>
          <w:sz w:val="32"/>
          <w:szCs w:val="32"/>
        </w:rPr>
      </w:pPr>
    </w:p>
    <w:p w14:paraId="3CF7B794">
      <w:pPr>
        <w:spacing w:line="600" w:lineRule="exact"/>
        <w:jc w:val="center"/>
        <w:outlineLvl w:val="0"/>
        <w:rPr>
          <w:rFonts w:eastAsia="黑体"/>
          <w:sz w:val="44"/>
          <w:szCs w:val="44"/>
        </w:rPr>
      </w:pPr>
      <w:bookmarkStart w:id="51" w:name="_Toc15377225"/>
      <w:bookmarkStart w:id="52" w:name="_Toc15396613"/>
      <w:r>
        <w:rPr>
          <w:rFonts w:hint="eastAsia" w:eastAsia="黑体"/>
          <w:sz w:val="44"/>
          <w:szCs w:val="44"/>
        </w:rPr>
        <w:t>第三部分  名词解释</w:t>
      </w:r>
      <w:bookmarkEnd w:id="51"/>
      <w:bookmarkEnd w:id="52"/>
    </w:p>
    <w:p w14:paraId="216BC20D">
      <w:pPr>
        <w:spacing w:line="600" w:lineRule="exact"/>
        <w:jc w:val="left"/>
        <w:rPr>
          <w:b/>
          <w:sz w:val="44"/>
          <w:szCs w:val="44"/>
        </w:rPr>
      </w:pPr>
    </w:p>
    <w:p w14:paraId="05810BB1">
      <w:pPr>
        <w:spacing w:line="600" w:lineRule="exact"/>
        <w:ind w:firstLine="640"/>
        <w:rPr>
          <w:rFonts w:eastAsia="仿宋_GB2312" w:cs="仿宋_GB2312"/>
          <w:sz w:val="32"/>
          <w:szCs w:val="32"/>
        </w:rPr>
      </w:pPr>
      <w:r>
        <w:rPr>
          <w:rFonts w:hint="eastAsia" w:eastAsia="仿宋_GB2312" w:cs="仿宋_GB2312"/>
          <w:sz w:val="32"/>
          <w:szCs w:val="32"/>
        </w:rPr>
        <w:t>1.财政拨款收入：指单位从同级财政部门取得的财政预算资金。</w:t>
      </w:r>
    </w:p>
    <w:p w14:paraId="0B1CC234">
      <w:pPr>
        <w:ind w:firstLine="640" w:firstLineChars="200"/>
        <w:rPr>
          <w:rFonts w:eastAsia="仿宋_GB2312"/>
          <w:color w:val="000000"/>
          <w:sz w:val="32"/>
          <w:szCs w:val="32"/>
        </w:rPr>
      </w:pPr>
      <w:r>
        <w:rPr>
          <w:rFonts w:eastAsia="仿宋_GB2312"/>
          <w:color w:val="000000"/>
          <w:sz w:val="32"/>
          <w:szCs w:val="32"/>
        </w:rPr>
        <w:t>2.</w:t>
      </w:r>
      <w:r>
        <w:rPr>
          <w:rFonts w:eastAsia="仿宋_GB2312"/>
          <w:sz w:val="32"/>
          <w:szCs w:val="32"/>
        </w:rPr>
        <w:t xml:space="preserve"> 社会保障和就业（类）行政事业单位养老支出（款）行政单位离退休（项）: 指用于事业单位退休人员支出。</w:t>
      </w:r>
      <w:r>
        <w:rPr>
          <w:rFonts w:eastAsia="仿宋_GB2312"/>
          <w:sz w:val="32"/>
          <w:szCs w:val="32"/>
        </w:rPr>
        <w:br w:type="textWrapping"/>
      </w:r>
      <w:r>
        <w:rPr>
          <w:rFonts w:eastAsia="仿宋_GB2312"/>
          <w:sz w:val="32"/>
          <w:szCs w:val="32"/>
        </w:rPr>
        <w:t xml:space="preserve">    3.社会保障和就业（类）行政事业单位养老支出（款）机构事业单位基本养老保险缴费支出（项）: 指用于事业单</w:t>
      </w:r>
      <w:r>
        <w:rPr>
          <w:rFonts w:eastAsia="仿宋_GB2312"/>
          <w:color w:val="000000"/>
          <w:sz w:val="32"/>
          <w:szCs w:val="32"/>
        </w:rPr>
        <w:t>位缴纳基本养老保险支出</w:t>
      </w:r>
    </w:p>
    <w:p w14:paraId="6B8AF52E">
      <w:pPr>
        <w:ind w:firstLine="640" w:firstLineChars="200"/>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 xml:space="preserve">.卫生健康（类）行政事业单位医疗（款）事业单位医疗（项）: </w:t>
      </w:r>
      <w:r>
        <w:rPr>
          <w:rFonts w:hint="eastAsia" w:eastAsia="仿宋_GB2312"/>
          <w:color w:val="000000"/>
          <w:sz w:val="32"/>
          <w:szCs w:val="32"/>
        </w:rPr>
        <w:t>指财政部门安排的事业单位基本医疗保险缴费经费，未参加医疗保险的事业单位的公费医疗经费，按国家规定享受离休人员待遇的医疗经费。</w:t>
      </w:r>
    </w:p>
    <w:p w14:paraId="5D936979">
      <w:pPr>
        <w:ind w:firstLine="640" w:firstLineChars="200"/>
        <w:rPr>
          <w:rFonts w:eastAsia="仿宋_GB2312"/>
          <w:color w:val="000000"/>
          <w:sz w:val="32"/>
          <w:szCs w:val="32"/>
        </w:rPr>
      </w:pPr>
      <w:r>
        <w:rPr>
          <w:rFonts w:hint="eastAsia" w:eastAsia="仿宋_GB2312"/>
          <w:color w:val="000000"/>
          <w:sz w:val="32"/>
          <w:szCs w:val="32"/>
        </w:rPr>
        <w:t>5</w:t>
      </w:r>
      <w:r>
        <w:rPr>
          <w:rFonts w:eastAsia="仿宋_GB2312"/>
          <w:color w:val="000000"/>
          <w:sz w:val="32"/>
          <w:szCs w:val="32"/>
        </w:rPr>
        <w:t xml:space="preserve">. 卫生健康（类）行政事业单位医疗（款）公务员医疗补助（项）: </w:t>
      </w:r>
      <w:r>
        <w:rPr>
          <w:rFonts w:hint="eastAsia" w:eastAsia="仿宋_GB2312"/>
          <w:color w:val="000000"/>
          <w:sz w:val="32"/>
          <w:szCs w:val="32"/>
        </w:rPr>
        <w:t>指财政部门安排的公务员医疗补助经费。</w:t>
      </w:r>
    </w:p>
    <w:p w14:paraId="271B6163">
      <w:pPr>
        <w:ind w:firstLine="640" w:firstLineChars="200"/>
        <w:rPr>
          <w:rFonts w:eastAsia="仿宋_GB2312"/>
          <w:color w:val="000000"/>
          <w:sz w:val="32"/>
          <w:szCs w:val="32"/>
        </w:rPr>
      </w:pPr>
      <w:r>
        <w:rPr>
          <w:rFonts w:hint="eastAsia" w:eastAsia="仿宋_GB2312"/>
          <w:color w:val="000000"/>
          <w:sz w:val="32"/>
          <w:szCs w:val="32"/>
        </w:rPr>
        <w:t>6</w:t>
      </w:r>
      <w:r>
        <w:rPr>
          <w:rFonts w:eastAsia="仿宋_GB2312"/>
          <w:color w:val="000000"/>
          <w:sz w:val="32"/>
          <w:szCs w:val="32"/>
        </w:rPr>
        <w:t xml:space="preserve">. 卫生健康（类）行政事业单位医疗（款）其他行政事业单位医疗（项）: </w:t>
      </w:r>
      <w:r>
        <w:rPr>
          <w:rFonts w:hint="eastAsia" w:eastAsia="仿宋_GB2312"/>
          <w:color w:val="000000"/>
          <w:sz w:val="32"/>
          <w:szCs w:val="32"/>
        </w:rPr>
        <w:t>指政府对其他基本医疗保险基金的补助支出。</w:t>
      </w:r>
      <w:r>
        <w:rPr>
          <w:rFonts w:eastAsia="仿宋_GB2312"/>
          <w:color w:val="000000"/>
          <w:sz w:val="32"/>
          <w:szCs w:val="32"/>
        </w:rPr>
        <w:br w:type="textWrapping"/>
      </w:r>
      <w:r>
        <w:rPr>
          <w:rFonts w:eastAsia="仿宋_GB2312"/>
          <w:color w:val="000000"/>
          <w:sz w:val="32"/>
          <w:szCs w:val="32"/>
        </w:rPr>
        <w:t xml:space="preserve">    </w:t>
      </w:r>
      <w:r>
        <w:rPr>
          <w:rFonts w:hint="eastAsia" w:eastAsia="仿宋_GB2312"/>
          <w:color w:val="000000"/>
          <w:sz w:val="32"/>
          <w:szCs w:val="32"/>
        </w:rPr>
        <w:t>7</w:t>
      </w:r>
      <w:r>
        <w:rPr>
          <w:rFonts w:eastAsia="仿宋_GB2312"/>
          <w:color w:val="000000"/>
          <w:sz w:val="32"/>
          <w:szCs w:val="32"/>
        </w:rPr>
        <w:t>.自然资源海洋气象（类）自然资源事务（款）事业运行（项）: 指</w:t>
      </w:r>
      <w:r>
        <w:rPr>
          <w:rFonts w:hint="eastAsia" w:eastAsia="仿宋_GB2312"/>
          <w:color w:val="000000"/>
          <w:sz w:val="32"/>
          <w:szCs w:val="32"/>
        </w:rPr>
        <w:t>事业单位的基本支出，不包括行政单位（包括实行公务员管理的事业单位）后勤服务中心、医务室等附属事业单位</w:t>
      </w:r>
      <w:r>
        <w:rPr>
          <w:rFonts w:eastAsia="仿宋_GB2312"/>
          <w:color w:val="000000"/>
          <w:sz w:val="32"/>
          <w:szCs w:val="32"/>
        </w:rPr>
        <w:t>。</w:t>
      </w:r>
    </w:p>
    <w:p w14:paraId="36C240DA">
      <w:pPr>
        <w:ind w:firstLine="640" w:firstLineChars="200"/>
        <w:rPr>
          <w:rFonts w:eastAsia="仿宋_GB2312"/>
          <w:color w:val="000000"/>
          <w:sz w:val="32"/>
          <w:szCs w:val="32"/>
        </w:rPr>
      </w:pPr>
      <w:r>
        <w:rPr>
          <w:rFonts w:hint="eastAsia" w:eastAsia="仿宋_GB2312"/>
          <w:color w:val="000000"/>
          <w:sz w:val="32"/>
          <w:szCs w:val="32"/>
        </w:rPr>
        <w:t>8</w:t>
      </w:r>
      <w:r>
        <w:rPr>
          <w:rFonts w:eastAsia="仿宋_GB2312"/>
          <w:color w:val="000000"/>
          <w:sz w:val="32"/>
          <w:szCs w:val="32"/>
        </w:rPr>
        <w:t>.</w:t>
      </w:r>
      <w:r>
        <w:rPr>
          <w:rFonts w:hint="eastAsia" w:eastAsia="仿宋_GB2312"/>
          <w:color w:val="000000"/>
          <w:sz w:val="32"/>
          <w:szCs w:val="32"/>
        </w:rPr>
        <w:t>自然资源海洋气象等（类）自然资源事务（款）自然资源利用与保护（项）：指用于自然资源有偿使用与合理开发利用，国土空间生态修复，国土整治，耕地保护等方面的支出。</w:t>
      </w:r>
    </w:p>
    <w:p w14:paraId="31B54993">
      <w:pPr>
        <w:ind w:firstLine="640" w:firstLineChars="200"/>
        <w:rPr>
          <w:rFonts w:eastAsia="仿宋_GB2312"/>
          <w:color w:val="000000"/>
          <w:sz w:val="32"/>
          <w:szCs w:val="32"/>
        </w:rPr>
      </w:pPr>
      <w:r>
        <w:rPr>
          <w:rFonts w:hint="eastAsia" w:eastAsia="仿宋_GB2312"/>
          <w:color w:val="000000"/>
          <w:sz w:val="32"/>
          <w:szCs w:val="32"/>
        </w:rPr>
        <w:t>9</w:t>
      </w:r>
      <w:r>
        <w:rPr>
          <w:rFonts w:eastAsia="仿宋_GB2312"/>
          <w:color w:val="000000"/>
          <w:sz w:val="32"/>
          <w:szCs w:val="32"/>
        </w:rPr>
        <w:t>.</w:t>
      </w:r>
      <w:r>
        <w:rPr>
          <w:rFonts w:hint="eastAsia" w:eastAsia="仿宋_GB2312"/>
          <w:color w:val="000000"/>
          <w:sz w:val="32"/>
          <w:szCs w:val="32"/>
        </w:rPr>
        <w:t>自然资源海洋气象等（类）自然资源事务（款）其他自然资源事务（项）：指其他用于自然资源事务方面的支出。</w:t>
      </w:r>
    </w:p>
    <w:p w14:paraId="5EC84CA6">
      <w:pPr>
        <w:ind w:firstLine="640" w:firstLineChars="200"/>
        <w:rPr>
          <w:rFonts w:eastAsia="仿宋_GB2312"/>
          <w:color w:val="000000"/>
          <w:sz w:val="32"/>
          <w:szCs w:val="32"/>
        </w:rPr>
      </w:pPr>
      <w:r>
        <w:rPr>
          <w:rFonts w:hint="eastAsia" w:eastAsia="仿宋_GB2312"/>
          <w:color w:val="000000"/>
          <w:sz w:val="32"/>
          <w:szCs w:val="32"/>
        </w:rPr>
        <w:t>10</w:t>
      </w:r>
      <w:r>
        <w:rPr>
          <w:rFonts w:eastAsia="仿宋_GB2312"/>
          <w:color w:val="000000"/>
          <w:sz w:val="32"/>
          <w:szCs w:val="32"/>
        </w:rPr>
        <w:t>.住房保障支出（类）住房改革支出（款）住房公积金（项）：</w:t>
      </w:r>
      <w:r>
        <w:rPr>
          <w:rFonts w:eastAsia="仿宋_GB2312"/>
          <w:sz w:val="32"/>
          <w:szCs w:val="32"/>
        </w:rPr>
        <w:t>指行政事业单位</w:t>
      </w:r>
      <w:r>
        <w:rPr>
          <w:rFonts w:hint="eastAsia" w:eastAsia="仿宋_GB2312"/>
          <w:sz w:val="32"/>
          <w:szCs w:val="32"/>
        </w:rPr>
        <w:t>按人力资源和社会保障部、财政部规定的基本工资和津贴补贴以及规定比例为职工缴纳的住房公积金</w:t>
      </w:r>
      <w:r>
        <w:rPr>
          <w:rFonts w:eastAsia="仿宋_GB2312"/>
          <w:sz w:val="32"/>
          <w:szCs w:val="32"/>
        </w:rPr>
        <w:t>。 </w:t>
      </w:r>
      <w:r>
        <w:rPr>
          <w:rFonts w:eastAsia="仿宋_GB2312"/>
          <w:color w:val="000000"/>
          <w:sz w:val="32"/>
          <w:szCs w:val="32"/>
        </w:rPr>
        <w:t> </w:t>
      </w:r>
    </w:p>
    <w:p w14:paraId="508A5BA8">
      <w:pPr>
        <w:ind w:firstLine="640" w:firstLineChars="200"/>
        <w:rPr>
          <w:rFonts w:eastAsia="仿宋_GB2312"/>
          <w:color w:val="000000"/>
          <w:sz w:val="32"/>
          <w:szCs w:val="32"/>
        </w:rPr>
      </w:pPr>
      <w:r>
        <w:rPr>
          <w:rFonts w:hint="eastAsia" w:eastAsia="仿宋_GB2312"/>
          <w:color w:val="000000"/>
          <w:sz w:val="32"/>
          <w:szCs w:val="32"/>
        </w:rPr>
        <w:t>11</w:t>
      </w:r>
      <w:r>
        <w:rPr>
          <w:rFonts w:eastAsia="仿宋_GB2312"/>
          <w:color w:val="000000"/>
          <w:sz w:val="32"/>
          <w:szCs w:val="32"/>
        </w:rPr>
        <w:t>.基本支出：指为保障机构正常运转、完成日常工作任务而发生的人员支出和公用支出。</w:t>
      </w:r>
    </w:p>
    <w:p w14:paraId="6877A5B8">
      <w:pPr>
        <w:ind w:firstLine="640" w:firstLineChars="200"/>
        <w:rPr>
          <w:rFonts w:eastAsia="仿宋_GB2312"/>
          <w:color w:val="000000"/>
          <w:sz w:val="32"/>
          <w:szCs w:val="32"/>
        </w:rPr>
      </w:pPr>
      <w:r>
        <w:rPr>
          <w:rFonts w:hint="eastAsia" w:eastAsia="仿宋_GB2312"/>
          <w:color w:val="000000"/>
          <w:sz w:val="32"/>
          <w:szCs w:val="32"/>
        </w:rPr>
        <w:t>12</w:t>
      </w:r>
      <w:r>
        <w:rPr>
          <w:rFonts w:eastAsia="仿宋_GB2312"/>
          <w:color w:val="000000"/>
          <w:sz w:val="32"/>
          <w:szCs w:val="32"/>
        </w:rPr>
        <w:t xml:space="preserve">.项目支出：指在基本支出之外为完成特定行政任务和事业发展目标所发生的支出。 </w:t>
      </w:r>
    </w:p>
    <w:p w14:paraId="161A95EF">
      <w:pPr>
        <w:pStyle w:val="26"/>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AAE27AB">
      <w:pPr>
        <w:spacing w:line="600" w:lineRule="exact"/>
        <w:ind w:firstLine="640"/>
        <w:rPr>
          <w:rFonts w:eastAsia="仿宋_GB2312"/>
          <w:sz w:val="32"/>
          <w:szCs w:val="32"/>
        </w:rPr>
      </w:pPr>
      <w:r>
        <w:rPr>
          <w:rFonts w:eastAsia="仿宋_GB2312"/>
          <w:sz w:val="32"/>
          <w:szCs w:val="32"/>
        </w:rPr>
        <w:t>1</w:t>
      </w:r>
      <w:r>
        <w:rPr>
          <w:rFonts w:hint="eastAsia" w:eastAsia="仿宋_GB2312"/>
          <w:sz w:val="32"/>
          <w:szCs w:val="32"/>
        </w:rPr>
        <w:t>4</w:t>
      </w:r>
      <w:r>
        <w:rPr>
          <w:rFonts w:eastAsia="仿宋_GB2312"/>
          <w:sz w:val="32"/>
          <w:szCs w:val="32"/>
        </w:rPr>
        <w:t>. 机关运行经费：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7C5CAA">
      <w:pPr>
        <w:spacing w:line="600" w:lineRule="exact"/>
        <w:jc w:val="center"/>
        <w:rPr>
          <w:rStyle w:val="28"/>
          <w:rFonts w:eastAsia="黑体"/>
          <w:b w:val="0"/>
        </w:rPr>
      </w:pPr>
      <w:bookmarkStart w:id="53" w:name="_Toc15377226"/>
      <w:r>
        <w:rPr>
          <w:rFonts w:hint="eastAsia" w:eastAsia="仿宋_GB2312" w:cs="仿宋_GB2312"/>
          <w:sz w:val="32"/>
          <w:szCs w:val="32"/>
        </w:rPr>
        <w:br w:type="page"/>
      </w:r>
      <w:bookmarkStart w:id="54" w:name="_Toc15396614"/>
      <w:r>
        <w:rPr>
          <w:rFonts w:hint="eastAsia" w:eastAsia="黑体"/>
          <w:sz w:val="44"/>
          <w:szCs w:val="44"/>
        </w:rPr>
        <w:t>第四部分  附件</w:t>
      </w:r>
      <w:bookmarkEnd w:id="54"/>
    </w:p>
    <w:p w14:paraId="4402E6D4">
      <w:pPr>
        <w:spacing w:line="572" w:lineRule="exact"/>
        <w:jc w:val="left"/>
        <w:outlineLvl w:val="0"/>
        <w:rPr>
          <w:rFonts w:eastAsia="黑体" w:cs="黑体"/>
          <w:color w:val="FF0000"/>
          <w:sz w:val="32"/>
          <w:szCs w:val="32"/>
        </w:rPr>
      </w:pPr>
    </w:p>
    <w:p w14:paraId="49B26CCA">
      <w:pPr>
        <w:spacing w:line="578" w:lineRule="exact"/>
        <w:ind w:firstLine="640"/>
        <w:rPr>
          <w:rFonts w:eastAsia="仿宋_GB2312" w:cs="仿宋_GB2312"/>
          <w:kern w:val="0"/>
          <w:sz w:val="32"/>
          <w:szCs w:val="32"/>
        </w:rPr>
      </w:pPr>
      <w:r>
        <w:rPr>
          <w:rFonts w:hint="eastAsia" w:eastAsia="仿宋_GB2312" w:cs="仿宋_GB2312"/>
          <w:kern w:val="0"/>
          <w:sz w:val="32"/>
          <w:szCs w:val="32"/>
          <w:lang w:val="en-US" w:eastAsia="zh-CN"/>
        </w:rPr>
        <w:t>攀枝花市国土整治中心</w:t>
      </w:r>
      <w:r>
        <w:rPr>
          <w:rFonts w:hint="eastAsia" w:eastAsia="仿宋_GB2312" w:cs="仿宋_GB2312"/>
          <w:kern w:val="0"/>
          <w:sz w:val="32"/>
          <w:szCs w:val="32"/>
        </w:rPr>
        <w:t>部门预算项目支出绩效自评表（2024年度）</w:t>
      </w:r>
    </w:p>
    <w:p w14:paraId="2D0892F2">
      <w:pPr>
        <w:spacing w:line="578" w:lineRule="exact"/>
        <w:ind w:firstLine="640"/>
        <w:rPr>
          <w:rFonts w:eastAsia="仿宋_GB2312" w:cs="仿宋_GB2312"/>
          <w:kern w:val="0"/>
          <w:sz w:val="32"/>
          <w:szCs w:val="32"/>
        </w:rPr>
      </w:pPr>
      <w:bookmarkStart w:id="55" w:name="_Toc15396618"/>
      <w:r>
        <w:rPr>
          <w:rFonts w:hint="eastAsia" w:eastAsia="仿宋_GB2312" w:cs="仿宋_GB2312"/>
          <w:kern w:val="0"/>
          <w:sz w:val="32"/>
          <w:szCs w:val="32"/>
        </w:rPr>
        <w:br w:type="page"/>
      </w:r>
    </w:p>
    <w:p w14:paraId="12F48819">
      <w:pPr>
        <w:widowControl/>
        <w:jc w:val="center"/>
        <w:rPr>
          <w:rFonts w:eastAsia="仿宋"/>
        </w:rPr>
      </w:pPr>
      <w:r>
        <w:rPr>
          <w:rFonts w:hint="eastAsia" w:eastAsia="黑体"/>
          <w:sz w:val="44"/>
          <w:szCs w:val="44"/>
        </w:rPr>
        <w:t>第</w:t>
      </w:r>
      <w:r>
        <w:rPr>
          <w:rStyle w:val="28"/>
          <w:rFonts w:hint="eastAsia" w:eastAsia="黑体"/>
          <w:b w:val="0"/>
        </w:rPr>
        <w:t>五部分 附表</w:t>
      </w:r>
      <w:bookmarkEnd w:id="53"/>
      <w:bookmarkEnd w:id="55"/>
      <w:bookmarkStart w:id="56" w:name="_Toc15396619"/>
    </w:p>
    <w:p w14:paraId="4C90EE2D">
      <w:pPr>
        <w:pStyle w:val="15"/>
        <w:adjustRightInd w:val="0"/>
        <w:snapToGrid w:val="0"/>
        <w:spacing w:line="560" w:lineRule="exact"/>
        <w:jc w:val="left"/>
        <w:rPr>
          <w:rFonts w:eastAsia="仿宋_GB2312" w:cs="仿宋_GB2312"/>
          <w:sz w:val="32"/>
          <w:szCs w:val="32"/>
        </w:rPr>
      </w:pPr>
    </w:p>
    <w:p w14:paraId="10C4961C">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6"/>
    </w:p>
    <w:p w14:paraId="2DEF792F">
      <w:pPr>
        <w:pStyle w:val="15"/>
        <w:adjustRightInd w:val="0"/>
        <w:snapToGrid w:val="0"/>
        <w:spacing w:line="560" w:lineRule="exact"/>
        <w:jc w:val="left"/>
        <w:rPr>
          <w:rFonts w:eastAsia="仿宋_GB2312" w:cs="仿宋_GB2312"/>
          <w:sz w:val="32"/>
          <w:szCs w:val="32"/>
        </w:rPr>
      </w:pPr>
      <w:bookmarkStart w:id="57" w:name="_Toc15396620"/>
      <w:r>
        <w:rPr>
          <w:rFonts w:hint="eastAsia" w:eastAsia="仿宋_GB2312" w:cs="仿宋_GB2312"/>
          <w:sz w:val="32"/>
          <w:szCs w:val="32"/>
        </w:rPr>
        <w:t>二、收入决算表</w:t>
      </w:r>
      <w:bookmarkEnd w:id="57"/>
    </w:p>
    <w:p w14:paraId="0AE62954">
      <w:pPr>
        <w:pStyle w:val="15"/>
        <w:adjustRightInd w:val="0"/>
        <w:snapToGrid w:val="0"/>
        <w:spacing w:line="560" w:lineRule="exact"/>
        <w:jc w:val="left"/>
        <w:rPr>
          <w:rFonts w:eastAsia="仿宋_GB2312" w:cs="仿宋_GB2312"/>
          <w:sz w:val="32"/>
          <w:szCs w:val="32"/>
        </w:rPr>
      </w:pPr>
      <w:bookmarkStart w:id="58" w:name="_Toc15396621"/>
      <w:r>
        <w:rPr>
          <w:rFonts w:hint="eastAsia" w:eastAsia="仿宋_GB2312" w:cs="仿宋_GB2312"/>
          <w:sz w:val="32"/>
          <w:szCs w:val="32"/>
        </w:rPr>
        <w:t>三、支出决算表</w:t>
      </w:r>
      <w:bookmarkEnd w:id="58"/>
    </w:p>
    <w:p w14:paraId="596708C4">
      <w:pPr>
        <w:pStyle w:val="15"/>
        <w:adjustRightInd w:val="0"/>
        <w:snapToGrid w:val="0"/>
        <w:spacing w:line="560" w:lineRule="exact"/>
        <w:jc w:val="left"/>
        <w:rPr>
          <w:rFonts w:eastAsia="仿宋_GB2312" w:cs="仿宋_GB2312"/>
          <w:sz w:val="32"/>
          <w:szCs w:val="32"/>
        </w:rPr>
      </w:pPr>
      <w:bookmarkStart w:id="59" w:name="_Toc15396622"/>
      <w:r>
        <w:rPr>
          <w:rFonts w:hint="eastAsia" w:eastAsia="仿宋_GB2312" w:cs="仿宋_GB2312"/>
          <w:sz w:val="32"/>
          <w:szCs w:val="32"/>
        </w:rPr>
        <w:t>四、财政拨款收入支出决算总表</w:t>
      </w:r>
      <w:bookmarkEnd w:id="59"/>
    </w:p>
    <w:p w14:paraId="2915D9AE">
      <w:pPr>
        <w:pStyle w:val="15"/>
        <w:adjustRightInd w:val="0"/>
        <w:snapToGrid w:val="0"/>
        <w:spacing w:line="560" w:lineRule="exact"/>
        <w:jc w:val="left"/>
        <w:rPr>
          <w:rFonts w:eastAsia="仿宋_GB2312" w:cs="仿宋_GB2312"/>
          <w:sz w:val="32"/>
          <w:szCs w:val="32"/>
        </w:rPr>
      </w:pPr>
      <w:bookmarkStart w:id="60" w:name="_Toc15396623"/>
      <w:r>
        <w:rPr>
          <w:rFonts w:hint="eastAsia" w:eastAsia="仿宋_GB2312" w:cs="仿宋_GB2312"/>
          <w:sz w:val="32"/>
          <w:szCs w:val="32"/>
        </w:rPr>
        <w:t>五、财政拨款支出决算明细表</w:t>
      </w:r>
      <w:bookmarkEnd w:id="60"/>
      <w:bookmarkStart w:id="61" w:name="_Toc15396624"/>
    </w:p>
    <w:p w14:paraId="388BB4B6">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61"/>
    </w:p>
    <w:p w14:paraId="736F3540">
      <w:pPr>
        <w:pStyle w:val="15"/>
        <w:adjustRightInd w:val="0"/>
        <w:snapToGrid w:val="0"/>
        <w:spacing w:line="560" w:lineRule="exact"/>
        <w:jc w:val="left"/>
        <w:rPr>
          <w:rFonts w:eastAsia="仿宋_GB2312" w:cs="仿宋_GB2312"/>
          <w:sz w:val="32"/>
          <w:szCs w:val="32"/>
        </w:rPr>
      </w:pPr>
      <w:bookmarkStart w:id="62" w:name="_Toc15396625"/>
      <w:r>
        <w:rPr>
          <w:rFonts w:hint="eastAsia" w:eastAsia="仿宋_GB2312" w:cs="仿宋_GB2312"/>
          <w:sz w:val="32"/>
          <w:szCs w:val="32"/>
        </w:rPr>
        <w:t>七、一般公共预算财政拨款支出决算明细表</w:t>
      </w:r>
      <w:bookmarkEnd w:id="62"/>
    </w:p>
    <w:p w14:paraId="3F6A6E78">
      <w:pPr>
        <w:pStyle w:val="15"/>
        <w:adjustRightInd w:val="0"/>
        <w:snapToGrid w:val="0"/>
        <w:spacing w:line="560" w:lineRule="exact"/>
        <w:jc w:val="left"/>
        <w:rPr>
          <w:rFonts w:eastAsia="仿宋_GB2312" w:cs="仿宋_GB2312"/>
          <w:sz w:val="32"/>
          <w:szCs w:val="32"/>
        </w:rPr>
      </w:pPr>
      <w:bookmarkStart w:id="63" w:name="_Toc15396626"/>
      <w:r>
        <w:rPr>
          <w:rFonts w:hint="eastAsia" w:eastAsia="仿宋_GB2312" w:cs="仿宋_GB2312"/>
          <w:sz w:val="32"/>
          <w:szCs w:val="32"/>
        </w:rPr>
        <w:t>八、一般公共预算财政拨款基本支出决算表</w:t>
      </w:r>
      <w:bookmarkEnd w:id="63"/>
    </w:p>
    <w:p w14:paraId="490A7BEE">
      <w:pPr>
        <w:pStyle w:val="15"/>
        <w:adjustRightInd w:val="0"/>
        <w:snapToGrid w:val="0"/>
        <w:spacing w:line="560" w:lineRule="exact"/>
        <w:jc w:val="left"/>
        <w:rPr>
          <w:rFonts w:eastAsia="仿宋_GB2312" w:cs="仿宋_GB2312"/>
          <w:sz w:val="32"/>
          <w:szCs w:val="32"/>
        </w:rPr>
      </w:pPr>
      <w:bookmarkStart w:id="64" w:name="_Toc15396627"/>
      <w:r>
        <w:rPr>
          <w:rFonts w:hint="eastAsia" w:eastAsia="仿宋_GB2312" w:cs="仿宋_GB2312"/>
          <w:sz w:val="32"/>
          <w:szCs w:val="32"/>
        </w:rPr>
        <w:t>九、一般公共预算财政拨款项目支出决算表</w:t>
      </w:r>
      <w:bookmarkEnd w:id="64"/>
    </w:p>
    <w:p w14:paraId="3C4EA718">
      <w:pPr>
        <w:pStyle w:val="15"/>
        <w:adjustRightInd w:val="0"/>
        <w:snapToGrid w:val="0"/>
        <w:spacing w:line="560" w:lineRule="exact"/>
        <w:jc w:val="left"/>
        <w:rPr>
          <w:rFonts w:eastAsia="仿宋_GB2312" w:cs="仿宋_GB2312"/>
          <w:sz w:val="32"/>
          <w:szCs w:val="32"/>
        </w:rPr>
      </w:pPr>
      <w:bookmarkStart w:id="65" w:name="_Toc15396628"/>
      <w:r>
        <w:rPr>
          <w:rFonts w:hint="eastAsia" w:eastAsia="仿宋_GB2312" w:cs="仿宋_GB2312"/>
          <w:sz w:val="32"/>
          <w:szCs w:val="32"/>
        </w:rPr>
        <w:t>十、</w:t>
      </w:r>
      <w:bookmarkEnd w:id="65"/>
      <w:r>
        <w:rPr>
          <w:rFonts w:hint="eastAsia" w:eastAsia="仿宋_GB2312" w:cs="仿宋_GB2312"/>
          <w:sz w:val="32"/>
          <w:szCs w:val="32"/>
        </w:rPr>
        <w:t>政府性基金预算财政拨款收入支出决算表</w:t>
      </w:r>
    </w:p>
    <w:p w14:paraId="6D48D705">
      <w:pPr>
        <w:pStyle w:val="15"/>
        <w:adjustRightInd w:val="0"/>
        <w:snapToGrid w:val="0"/>
        <w:spacing w:line="560" w:lineRule="exact"/>
        <w:jc w:val="left"/>
        <w:rPr>
          <w:rFonts w:eastAsia="仿宋_GB2312" w:cs="仿宋_GB2312"/>
          <w:sz w:val="32"/>
          <w:szCs w:val="32"/>
        </w:rPr>
      </w:pPr>
      <w:bookmarkStart w:id="66" w:name="_Toc15396629"/>
      <w:r>
        <w:rPr>
          <w:rFonts w:hint="eastAsia" w:eastAsia="仿宋_GB2312" w:cs="仿宋_GB2312"/>
          <w:sz w:val="32"/>
          <w:szCs w:val="32"/>
        </w:rPr>
        <w:t>十一、</w:t>
      </w:r>
      <w:bookmarkEnd w:id="66"/>
      <w:r>
        <w:rPr>
          <w:rFonts w:hint="eastAsia" w:eastAsia="仿宋_GB2312" w:cs="仿宋_GB2312"/>
          <w:sz w:val="32"/>
          <w:szCs w:val="32"/>
        </w:rPr>
        <w:t>国有资本经营预算财政拨款收入支出决算表</w:t>
      </w:r>
    </w:p>
    <w:p w14:paraId="25C27498">
      <w:pPr>
        <w:pStyle w:val="15"/>
        <w:adjustRightInd w:val="0"/>
        <w:snapToGrid w:val="0"/>
        <w:spacing w:line="560" w:lineRule="exact"/>
        <w:jc w:val="left"/>
        <w:rPr>
          <w:rFonts w:eastAsia="仿宋_GB2312" w:cs="仿宋_GB2312"/>
          <w:sz w:val="32"/>
          <w:szCs w:val="32"/>
        </w:rPr>
      </w:pPr>
      <w:bookmarkStart w:id="67" w:name="_Toc15396630"/>
      <w:r>
        <w:rPr>
          <w:rFonts w:hint="eastAsia" w:eastAsia="仿宋_GB2312" w:cs="仿宋_GB2312"/>
          <w:sz w:val="32"/>
          <w:szCs w:val="32"/>
        </w:rPr>
        <w:t>十二、</w:t>
      </w:r>
      <w:bookmarkEnd w:id="67"/>
      <w:r>
        <w:rPr>
          <w:rFonts w:hint="eastAsia" w:eastAsia="仿宋_GB2312" w:cs="仿宋_GB2312"/>
          <w:sz w:val="32"/>
          <w:szCs w:val="32"/>
        </w:rPr>
        <w:t>国有资本经营预算财政拨款支出决算表</w:t>
      </w:r>
    </w:p>
    <w:p w14:paraId="23908DA4">
      <w:pPr>
        <w:pStyle w:val="15"/>
        <w:adjustRightInd w:val="0"/>
        <w:snapToGrid w:val="0"/>
        <w:spacing w:line="560" w:lineRule="exact"/>
        <w:jc w:val="left"/>
        <w:rPr>
          <w:rFonts w:eastAsia="仿宋_GB2312" w:cs="仿宋_GB2312"/>
          <w:sz w:val="32"/>
          <w:szCs w:val="32"/>
        </w:rPr>
      </w:pPr>
      <w:bookmarkStart w:id="68" w:name="_Toc15396631"/>
      <w:r>
        <w:rPr>
          <w:rFonts w:hint="eastAsia" w:eastAsia="仿宋_GB2312" w:cs="仿宋_GB2312"/>
          <w:sz w:val="32"/>
          <w:szCs w:val="32"/>
        </w:rPr>
        <w:t>十三、</w:t>
      </w:r>
      <w:bookmarkEnd w:id="68"/>
      <w:r>
        <w:rPr>
          <w:rFonts w:hint="eastAsia" w:eastAsia="仿宋_GB2312" w:cs="仿宋_GB2312"/>
          <w:sz w:val="32"/>
          <w:szCs w:val="32"/>
        </w:rPr>
        <w:t>财政拨款“三公”经费支出决算表</w:t>
      </w:r>
    </w:p>
    <w:p w14:paraId="73F3DE87"/>
    <w:sectPr>
      <w:footerReference r:id="rId11" w:type="first"/>
      <w:footerReference r:id="rId10"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04564">
    <w:pPr>
      <w:pStyle w:val="11"/>
      <w:jc w:val="center"/>
    </w:pPr>
  </w:p>
  <w:p w14:paraId="0E7C1E5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55B4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1CAE6">
    <w:pPr>
      <w:pStyle w:val="11"/>
      <w:jc w:val="center"/>
    </w:pPr>
    <w:r>
      <w:pict>
        <v:shape id="_x0000_s1031" o:spid="_x0000_s1031"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kqvtnyQIAAOwFAAAOAAAAAAAAAAEAIAAAADUBAABkcnMvZTJvRG9jLnhtbFBL&#10;BQYAAAAABgAGAFkBAABwBgAAAAA=&#10;">
          <v:path/>
          <v:fill on="f" focussize="0,0"/>
          <v:stroke on="f" weight="0.5pt" joinstyle="miter"/>
          <v:imagedata o:title=""/>
          <o:lock v:ext="edit"/>
          <v:textbox inset="0mm,0mm,0mm,0mm" style="mso-fit-shape-to-text:t;">
            <w:txbxContent>
              <w:p w14:paraId="57082245"/>
            </w:txbxContent>
          </v:textbox>
        </v:shape>
      </w:pict>
    </w:r>
  </w:p>
  <w:p w14:paraId="31348DDA">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15343">
    <w:pPr>
      <w:pStyle w:val="11"/>
    </w:pPr>
    <w:r>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nvwo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RgKJUgHJbr/8vn+&#10;6/f7b59Q6ujZKDMCq7kCO7u9ktscW71ivcrAdwd8W+vO/QMkBCbA9d2BX7a1iMLHOB2kaQQqCrr+&#10;AiHC43OljX3BZIeckGMNBfS8kvXM2J1pb+KiCVm2nPsicoE2OR6enkX+wUEDzrlwtpAF+NhLu+J8&#10;yKLsOr1OkyAZDK+DJCqKYFJOk2BYxudnxWkxnRbxR+cvTkZNW1VMuHh9o8TJnxVi37K7Eh9axUje&#10;Vs6dS8no5WLKNVoTaNTS/xzDkPwDs/BxGl4NqJ5AigdJdDXIgnKYngdJmZwF2XmUBlGcXWXDKMmS&#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pnvwoyQIAAOwFAAAOAAAAAAAAAAEAIAAAADUBAABkcnMvZTJvRG9jLnhtbFBL&#10;BQYAAAAABgAGAFkBAABwBgAAAAA=&#10;">
          <v:path/>
          <v:fill on="f" focussize="0,0"/>
          <v:stroke on="f" weight="0.5pt" joinstyle="miter"/>
          <v:imagedata o:title=""/>
          <o:lock v:ext="edit"/>
          <v:textbox inset="0mm,0mm,0mm,0mm" style="mso-fit-shape-to-text:t;">
            <w:txbxContent>
              <w:p w14:paraId="22AA7840"/>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97DC7">
    <w:pPr>
      <w:pStyle w:val="11"/>
      <w:jc w:val="center"/>
    </w:pPr>
    <w:r>
      <w:pict>
        <v:shape id="_x0000_s1028" o:spid="_x0000_s1028"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Oz3CyyQ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Oz3CyyQIAAO4FAAAOAAAAAAAAAAEAIAAAADUBAABkcnMvZTJvRG9jLnhtbFBL&#10;BQYAAAAABgAGAFkBAABwBgAAAAA=&#10;">
          <v:path/>
          <v:fill on="f" focussize="0,0"/>
          <v:stroke on="f" weight="0.5pt" joinstyle="miter"/>
          <v:imagedata o:title=""/>
          <o:lock v:ext="edit"/>
          <v:textbox inset="0mm,0mm,0mm,0mm" style="mso-fit-shape-to-text:t;">
            <w:txbxContent>
              <w:p w14:paraId="67D6B70C">
                <w:pPr>
                  <w:pStyle w:val="11"/>
                </w:pPr>
                <w:r>
                  <w:fldChar w:fldCharType="begin"/>
                </w:r>
                <w:r>
                  <w:instrText xml:space="preserve"> PAGE  \* MERGEFORMAT </w:instrText>
                </w:r>
                <w:r>
                  <w:fldChar w:fldCharType="separate"/>
                </w:r>
                <w:r>
                  <w:t>1</w:t>
                </w:r>
                <w:r>
                  <w:fldChar w:fldCharType="end"/>
                </w:r>
              </w:p>
            </w:txbxContent>
          </v:textbox>
        </v:shape>
      </w:pict>
    </w:r>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path/>
          <v:fill on="f" focussize="0,0"/>
          <v:stroke on="f" weight="0.5pt" joinstyle="miter"/>
          <v:imagedata o:title=""/>
          <o:lock v:ext="edit"/>
          <v:textbox inset="0mm,0mm,0mm,0mm" style="mso-fit-shape-to-text:t;">
            <w:txbxContent>
              <w:p w14:paraId="7E3DAA2D"/>
            </w:txbxContent>
          </v:textbox>
        </v:shape>
      </w:pict>
    </w:r>
  </w:p>
  <w:p w14:paraId="46557171">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2F46A">
    <w:pPr>
      <w:pStyle w:val="11"/>
    </w:pPr>
    <w:r>
      <w:pict>
        <v:shape id="_x0000_s1030" o:spid="_x0000_s1030"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1WYv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RdVmL8oCAADuBQAADgAAAAAAAAABACAAAAA1AQAAZHJzL2Uyb0RvYy54bWxQ&#10;SwUGAAAAAAYABgBZAQAAcQYAAAAA&#10;">
          <v:path/>
          <v:fill on="f" focussize="0,0"/>
          <v:stroke on="f" weight="0.5pt" joinstyle="miter"/>
          <v:imagedata o:title=""/>
          <o:lock v:ext="edit"/>
          <v:textbox inset="0mm,0mm,0mm,0mm" style="mso-fit-shape-to-text:t;">
            <w:txbxContent>
              <w:p w14:paraId="4BA5C6A1">
                <w:pPr>
                  <w:pStyle w:val="11"/>
                </w:pPr>
                <w:r>
                  <w:fldChar w:fldCharType="begin"/>
                </w:r>
                <w:r>
                  <w:instrText xml:space="preserve"> PAGE  \* MERGEFORMAT </w:instrText>
                </w:r>
                <w:r>
                  <w:fldChar w:fldCharType="separate"/>
                </w:r>
                <w:r>
                  <w:t>- 1 -</w:t>
                </w:r>
                <w:r>
                  <w:fldChar w:fldCharType="end"/>
                </w:r>
              </w:p>
            </w:txbxContent>
          </v:textbox>
        </v:shape>
      </w:pict>
    </w:r>
    <w:r>
      <w:pict>
        <v:shape id="_x0000_s1029" o:spid="_x0000_s1029"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path/>
          <v:fill on="f" focussize="0,0"/>
          <v:stroke on="f" weight="0.5pt" joinstyle="miter"/>
          <v:imagedata o:title=""/>
          <o:lock v:ext="edit"/>
          <v:textbox inset="0mm,0mm,0mm,0mm" style="mso-fit-shape-to-text:t;">
            <w:txbxContent>
              <w:p w14:paraId="6AFE64A5"/>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1927">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B2BDA">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4EA0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68455"/>
    <w:multiLevelType w:val="singleLevel"/>
    <w:tmpl w:val="EFD6845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0E34"/>
    <w:rsid w:val="003D1FB2"/>
    <w:rsid w:val="003D4F10"/>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198F"/>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573157"/>
    <w:rsid w:val="12E24EE2"/>
    <w:rsid w:val="13D50BC4"/>
    <w:rsid w:val="14B17F78"/>
    <w:rsid w:val="165E0673"/>
    <w:rsid w:val="16B831D5"/>
    <w:rsid w:val="16BB723D"/>
    <w:rsid w:val="17E50567"/>
    <w:rsid w:val="186504BB"/>
    <w:rsid w:val="19A445FC"/>
    <w:rsid w:val="1BE8440E"/>
    <w:rsid w:val="1C9F4D01"/>
    <w:rsid w:val="1D155CEE"/>
    <w:rsid w:val="1D1638FE"/>
    <w:rsid w:val="1D1D4461"/>
    <w:rsid w:val="1E312DEB"/>
    <w:rsid w:val="1E740ACF"/>
    <w:rsid w:val="1FF35744"/>
    <w:rsid w:val="1FF6BC77"/>
    <w:rsid w:val="2186353C"/>
    <w:rsid w:val="23860B96"/>
    <w:rsid w:val="240371BF"/>
    <w:rsid w:val="244F3473"/>
    <w:rsid w:val="24C97D99"/>
    <w:rsid w:val="25A718F0"/>
    <w:rsid w:val="25BB59F6"/>
    <w:rsid w:val="260F557C"/>
    <w:rsid w:val="26970054"/>
    <w:rsid w:val="26FDBE7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97BD3FA"/>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3FFF670"/>
    <w:rsid w:val="44E268DA"/>
    <w:rsid w:val="450D13D7"/>
    <w:rsid w:val="45506656"/>
    <w:rsid w:val="45732805"/>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774196"/>
    <w:rsid w:val="5D7BDDA4"/>
    <w:rsid w:val="5DAE1B18"/>
    <w:rsid w:val="5DE7D9E5"/>
    <w:rsid w:val="5ECEC941"/>
    <w:rsid w:val="5F5BA818"/>
    <w:rsid w:val="5FBF9FF3"/>
    <w:rsid w:val="5FCD4E2C"/>
    <w:rsid w:val="5FE5F0BD"/>
    <w:rsid w:val="5FEF394A"/>
    <w:rsid w:val="5FF67715"/>
    <w:rsid w:val="62BF3928"/>
    <w:rsid w:val="63B3701E"/>
    <w:rsid w:val="647F5392"/>
    <w:rsid w:val="65E66580"/>
    <w:rsid w:val="664B1D71"/>
    <w:rsid w:val="664B4E8E"/>
    <w:rsid w:val="67277B67"/>
    <w:rsid w:val="67A7127D"/>
    <w:rsid w:val="67AA3209"/>
    <w:rsid w:val="67EF19B6"/>
    <w:rsid w:val="698D0931"/>
    <w:rsid w:val="69BE2415"/>
    <w:rsid w:val="6A7FE5F3"/>
    <w:rsid w:val="6B053271"/>
    <w:rsid w:val="6BDD78B3"/>
    <w:rsid w:val="6BFC2E32"/>
    <w:rsid w:val="6BFFD9E9"/>
    <w:rsid w:val="6C035F49"/>
    <w:rsid w:val="6C4A05C8"/>
    <w:rsid w:val="6C8742B8"/>
    <w:rsid w:val="6DBF5E93"/>
    <w:rsid w:val="6DFF077E"/>
    <w:rsid w:val="6E714EF0"/>
    <w:rsid w:val="6E7E3605"/>
    <w:rsid w:val="6E7E464E"/>
    <w:rsid w:val="6E7FDCC7"/>
    <w:rsid w:val="6ED6A62E"/>
    <w:rsid w:val="6EE00B15"/>
    <w:rsid w:val="6F6FB3EB"/>
    <w:rsid w:val="6F8731EA"/>
    <w:rsid w:val="6FCE6052"/>
    <w:rsid w:val="6FD57C00"/>
    <w:rsid w:val="6FEFFFD8"/>
    <w:rsid w:val="6FF5CC65"/>
    <w:rsid w:val="6FFB47EC"/>
    <w:rsid w:val="6FFD0FD4"/>
    <w:rsid w:val="6FFF034A"/>
    <w:rsid w:val="70484440"/>
    <w:rsid w:val="712A28F1"/>
    <w:rsid w:val="715C0E4B"/>
    <w:rsid w:val="71992E7C"/>
    <w:rsid w:val="72233669"/>
    <w:rsid w:val="72734D90"/>
    <w:rsid w:val="727A92FA"/>
    <w:rsid w:val="72DB0C06"/>
    <w:rsid w:val="73160E6D"/>
    <w:rsid w:val="7332FE48"/>
    <w:rsid w:val="73AB61DA"/>
    <w:rsid w:val="73AD73D5"/>
    <w:rsid w:val="73B6EB34"/>
    <w:rsid w:val="73FA497D"/>
    <w:rsid w:val="744731E5"/>
    <w:rsid w:val="749BE24E"/>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6719D2"/>
    <w:rsid w:val="7A894339"/>
    <w:rsid w:val="7AD284E8"/>
    <w:rsid w:val="7AFF7572"/>
    <w:rsid w:val="7B6C7DFB"/>
    <w:rsid w:val="7BBFBED0"/>
    <w:rsid w:val="7BC3E394"/>
    <w:rsid w:val="7C1F3737"/>
    <w:rsid w:val="7CBFC87B"/>
    <w:rsid w:val="7CFE0F48"/>
    <w:rsid w:val="7CFE1529"/>
    <w:rsid w:val="7D272ABC"/>
    <w:rsid w:val="7D7708A0"/>
    <w:rsid w:val="7D7EC23E"/>
    <w:rsid w:val="7E8ADEBF"/>
    <w:rsid w:val="7EEF11D3"/>
    <w:rsid w:val="7EFE4840"/>
    <w:rsid w:val="7F0971A6"/>
    <w:rsid w:val="7F1D62E7"/>
    <w:rsid w:val="7F3F679B"/>
    <w:rsid w:val="7F4FC4EF"/>
    <w:rsid w:val="7F5E4D54"/>
    <w:rsid w:val="7F6E0135"/>
    <w:rsid w:val="7F79F205"/>
    <w:rsid w:val="7F7FD5C2"/>
    <w:rsid w:val="7FA30C79"/>
    <w:rsid w:val="7FA79C44"/>
    <w:rsid w:val="7FAF8ABF"/>
    <w:rsid w:val="7FB7269E"/>
    <w:rsid w:val="7FC96657"/>
    <w:rsid w:val="7FD121B5"/>
    <w:rsid w:val="7FDA9588"/>
    <w:rsid w:val="7FDF220F"/>
    <w:rsid w:val="7FEDC5F7"/>
    <w:rsid w:val="7FEDD9DE"/>
    <w:rsid w:val="7FF5890D"/>
    <w:rsid w:val="7FF93490"/>
    <w:rsid w:val="7FFF7CEE"/>
    <w:rsid w:val="8FDDED46"/>
    <w:rsid w:val="99FF2014"/>
    <w:rsid w:val="9FEF976E"/>
    <w:rsid w:val="A6DD0D7F"/>
    <w:rsid w:val="ACEF86FB"/>
    <w:rsid w:val="ACFF4FBB"/>
    <w:rsid w:val="ADC6F725"/>
    <w:rsid w:val="B7CF06AB"/>
    <w:rsid w:val="B7CFA926"/>
    <w:rsid w:val="B7F8786B"/>
    <w:rsid w:val="BABB6AA1"/>
    <w:rsid w:val="BB2F4199"/>
    <w:rsid w:val="BCFFB442"/>
    <w:rsid w:val="BD079C78"/>
    <w:rsid w:val="BD733540"/>
    <w:rsid w:val="BDFB7A21"/>
    <w:rsid w:val="BF3735D5"/>
    <w:rsid w:val="BF7F09AC"/>
    <w:rsid w:val="BFD475C3"/>
    <w:rsid w:val="BFDE5EA6"/>
    <w:rsid w:val="C2EFF558"/>
    <w:rsid w:val="CF6FC6F3"/>
    <w:rsid w:val="CFD3D3D7"/>
    <w:rsid w:val="CFDF1009"/>
    <w:rsid w:val="CFFF226C"/>
    <w:rsid w:val="D7D7B16A"/>
    <w:rsid w:val="D8D6DB89"/>
    <w:rsid w:val="DB6F4CAB"/>
    <w:rsid w:val="DB777682"/>
    <w:rsid w:val="DD1FB521"/>
    <w:rsid w:val="DDFF55E3"/>
    <w:rsid w:val="DDFFA8F0"/>
    <w:rsid w:val="DEFBFEAE"/>
    <w:rsid w:val="DF1F3B80"/>
    <w:rsid w:val="DF6F9789"/>
    <w:rsid w:val="DFBEC501"/>
    <w:rsid w:val="DFE9BE81"/>
    <w:rsid w:val="DFFFA9E8"/>
    <w:rsid w:val="E5F4E9DC"/>
    <w:rsid w:val="E70FE695"/>
    <w:rsid w:val="EB2E368B"/>
    <w:rsid w:val="ECFED1BC"/>
    <w:rsid w:val="ED1D69BB"/>
    <w:rsid w:val="ED7FD312"/>
    <w:rsid w:val="EE7DCDA8"/>
    <w:rsid w:val="EF2E1AC6"/>
    <w:rsid w:val="EF53993F"/>
    <w:rsid w:val="EF6FD633"/>
    <w:rsid w:val="EFBFB2F4"/>
    <w:rsid w:val="EFBFFA21"/>
    <w:rsid w:val="F2BEBCB8"/>
    <w:rsid w:val="F36FB518"/>
    <w:rsid w:val="F3DE1A04"/>
    <w:rsid w:val="F3F722E5"/>
    <w:rsid w:val="F4FBCD07"/>
    <w:rsid w:val="FA5F1E70"/>
    <w:rsid w:val="FA5FDB97"/>
    <w:rsid w:val="FB7F486A"/>
    <w:rsid w:val="FBFABF31"/>
    <w:rsid w:val="FBFE98A5"/>
    <w:rsid w:val="FBFF5B2E"/>
    <w:rsid w:val="FCEFA445"/>
    <w:rsid w:val="FD7FFE2B"/>
    <w:rsid w:val="FDEE196B"/>
    <w:rsid w:val="FDFE6575"/>
    <w:rsid w:val="FEC82E6E"/>
    <w:rsid w:val="FEDFDDC2"/>
    <w:rsid w:val="FEED32F6"/>
    <w:rsid w:val="FEF781DD"/>
    <w:rsid w:val="FEFF8150"/>
    <w:rsid w:val="FF3E44B5"/>
    <w:rsid w:val="FF3F7E3F"/>
    <w:rsid w:val="FFBA12D7"/>
    <w:rsid w:val="FFCBD314"/>
    <w:rsid w:val="FFDFF91C"/>
    <w:rsid w:val="FFDFFAEE"/>
    <w:rsid w:val="FFEF6777"/>
    <w:rsid w:val="FFF7E889"/>
    <w:rsid w:val="FFF9B57B"/>
    <w:rsid w:val="FFFD61D9"/>
    <w:rsid w:val="FFFD8F59"/>
    <w:rsid w:val="FFFDA3AA"/>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user/Desktop/2024&#24180;&#20915;&#31639;&#20844;&#24320;&#22270;&#34920;&#21046;&#20316;.e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user/Desktop/2024&#24180;&#20915;&#31639;&#20844;&#24320;&#22270;&#34920;&#21046;&#20316;.e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user/Desktop/2024&#24180;&#20915;&#31639;&#20844;&#24320;&#22270;&#34920;&#21046;&#20316;.e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user/Desktop/2024&#24180;&#20915;&#31639;&#20844;&#24320;&#22270;&#34920;&#21046;&#20316;.e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ome/user/Desktop/2024&#24180;&#20915;&#31639;&#20844;&#24320;&#22270;&#34920;&#21046;&#20316;.et"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ome/user/Desktop/2024&#24180;&#20915;&#31639;&#20844;&#24320;&#22270;&#34920;&#21046;&#20316;.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[2024年决算公开图表制作.et]Sheet1!$B$25</c:f>
              <c:strCache>
                <c:ptCount val="1"/>
                <c:pt idx="0">
                  <c:v>2023年（万元）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[2024年决算公开图表制作.et]Sheet1!$C$24:$E$24</c:f>
              <c:strCache>
                <c:ptCount val="3"/>
                <c:pt idx="0">
                  <c:v>收入</c:v>
                </c:pt>
                <c:pt idx="1">
                  <c:v>支出</c:v>
                </c:pt>
                <c:pt idx="2">
                  <c:v>合计</c:v>
                </c:pt>
              </c:strCache>
            </c:strRef>
          </c:cat>
          <c:val>
            <c:numRef>
              <c:f>[2024年决算公开图表制作.et]Sheet1!$C$25:$E$25</c:f>
              <c:numCache>
                <c:formatCode>General</c:formatCode>
                <c:ptCount val="3"/>
                <c:pt idx="0">
                  <c:v>236.82</c:v>
                </c:pt>
                <c:pt idx="1">
                  <c:v>236.82</c:v>
                </c:pt>
                <c:pt idx="2">
                  <c:v>473.64</c:v>
                </c:pt>
              </c:numCache>
            </c:numRef>
          </c:val>
        </c:ser>
        <c:ser>
          <c:idx val="1"/>
          <c:order val="1"/>
          <c:tx>
            <c:strRef>
              <c:f>[2024年决算公开图表制作.et]Sheet1!$B$26</c:f>
              <c:strCache>
                <c:ptCount val="1"/>
                <c:pt idx="0">
                  <c:v>2024年（万元）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[2024年决算公开图表制作.et]Sheet1!$C$24:$E$24</c:f>
              <c:strCache>
                <c:ptCount val="3"/>
                <c:pt idx="0">
                  <c:v>收入</c:v>
                </c:pt>
                <c:pt idx="1">
                  <c:v>支出</c:v>
                </c:pt>
                <c:pt idx="2">
                  <c:v>合计</c:v>
                </c:pt>
              </c:strCache>
            </c:strRef>
          </c:cat>
          <c:val>
            <c:numRef>
              <c:f>[2024年决算公开图表制作.et]Sheet1!$C$26:$E$26</c:f>
              <c:numCache>
                <c:formatCode>General</c:formatCode>
                <c:ptCount val="3"/>
                <c:pt idx="0">
                  <c:v>216.54</c:v>
                </c:pt>
                <c:pt idx="1">
                  <c:v>216.54</c:v>
                </c:pt>
                <c:pt idx="2">
                  <c:v>433.08</c:v>
                </c:pt>
              </c:numCache>
            </c:numRef>
          </c:val>
        </c:ser>
        <c:dLbls>
          <c:showLegendKey val="0"/>
          <c:showVal val="1"/>
          <c:showCatName val="0"/>
          <c:showSerName val="0"/>
          <c:showPercent val="0"/>
          <c:showBubbleSize val="0"/>
        </c:dLbls>
        <c:gapWidth val="150"/>
        <c:axId val="163029760"/>
        <c:axId val="163031296"/>
      </c:barChart>
      <c:catAx>
        <c:axId val="1630297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3031296"/>
        <c:crosses val="autoZero"/>
        <c:auto val="1"/>
        <c:lblAlgn val="ctr"/>
        <c:lblOffset val="100"/>
        <c:noMultiLvlLbl val="0"/>
      </c:catAx>
      <c:valAx>
        <c:axId val="1630312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3029760"/>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6e37fa0-696c-4af0-9088-915aa077ab1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a:t>一般公共预算财政拨款收入（万元）</a:t>
            </a:r>
            <a:endParaRPr sz="1000"/>
          </a:p>
        </c:rich>
      </c:tx>
      <c:layout>
        <c:manualLayout>
          <c:xMode val="edge"/>
          <c:yMode val="edge"/>
          <c:x val="0.297318376068376"/>
          <c:y val="0.878472222222222"/>
        </c:manualLayout>
      </c:layout>
      <c:overlay val="0"/>
      <c:spPr>
        <a:noFill/>
        <a:ln>
          <a:noFill/>
        </a:ln>
        <a:effectLst/>
      </c:spPr>
    </c:title>
    <c:autoTitleDeleted val="0"/>
    <c:plotArea>
      <c:layout/>
      <c:pieChart>
        <c:varyColors val="1"/>
        <c:ser>
          <c:idx val="0"/>
          <c:order val="0"/>
          <c:tx>
            <c:strRef>
              <c:f>[工作簿1]Sheet1!$B$9</c:f>
              <c:strCache>
                <c:ptCount val="1"/>
                <c:pt idx="0">
                  <c:v>一般公共预算财政拨款收入（万元）</c:v>
                </c:pt>
              </c:strCache>
            </c:strRef>
          </c:tx>
          <c:explosion val="0"/>
          <c:dPt>
            <c:idx val="0"/>
            <c:bubble3D val="0"/>
            <c:explosion val="1"/>
            <c:spPr>
              <a:solidFill>
                <a:schemeClr val="accent1"/>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[工作簿1]Sheet1!$C$8</c:f>
              <c:strCache>
                <c:ptCount val="1"/>
                <c:pt idx="0">
                  <c:v>2024年度收入</c:v>
                </c:pt>
              </c:strCache>
            </c:strRef>
          </c:cat>
          <c:val>
            <c:numRef>
              <c:f>[工作簿1]Sheet1!$C$9</c:f>
              <c:numCache>
                <c:formatCode>General</c:formatCode>
                <c:ptCount val="1"/>
                <c:pt idx="0">
                  <c:v>216.54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89305555555556"/>
          <c:y val="0.0618055555555556"/>
          <c:w val="0.325972222222222"/>
          <c:h val="0.089814814814814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f2e64f8e-5419-4300-ae36-fc161bf4804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[2024年决算公开图表制作.et]Sheet1!$C$41</c:f>
              <c:strCache>
                <c:ptCount val="1"/>
                <c:pt idx="0">
                  <c:v>2024年度支出（万元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168.4</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48.15</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[2024年决算公开图表制作.et]Sheet1!$B$42:$B$43</c:f>
              <c:strCache>
                <c:ptCount val="2"/>
                <c:pt idx="0">
                  <c:v>基本支出</c:v>
                </c:pt>
                <c:pt idx="1">
                  <c:v>项目支出</c:v>
                </c:pt>
              </c:strCache>
            </c:strRef>
          </c:cat>
          <c:val>
            <c:numRef>
              <c:f>[2024年决算公开图表制作.et]Sheet1!$C$42:$C$43</c:f>
              <c:numCache>
                <c:formatCode>General</c:formatCode>
                <c:ptCount val="2"/>
                <c:pt idx="0">
                  <c:v>168.4</c:v>
                </c:pt>
                <c:pt idx="1">
                  <c:v>48.15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968e3fe4-0cc9-4232-a65f-797cb44a646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[2024年决算公开图表制作.et]Sheet1!$B$25</c:f>
              <c:strCache>
                <c:ptCount val="1"/>
                <c:pt idx="0">
                  <c:v>2023年（万元）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[2024年决算公开图表制作.et]Sheet1!$C$24:$E$24</c:f>
              <c:strCache>
                <c:ptCount val="3"/>
                <c:pt idx="0">
                  <c:v>收入</c:v>
                </c:pt>
                <c:pt idx="1">
                  <c:v>支出</c:v>
                </c:pt>
                <c:pt idx="2">
                  <c:v>合计</c:v>
                </c:pt>
              </c:strCache>
            </c:strRef>
          </c:cat>
          <c:val>
            <c:numRef>
              <c:f>[2024年决算公开图表制作.et]Sheet1!$C$25:$E$25</c:f>
              <c:numCache>
                <c:formatCode>General</c:formatCode>
                <c:ptCount val="3"/>
                <c:pt idx="0">
                  <c:v>236.82</c:v>
                </c:pt>
                <c:pt idx="1">
                  <c:v>236.82</c:v>
                </c:pt>
                <c:pt idx="2">
                  <c:v>473.64</c:v>
                </c:pt>
              </c:numCache>
            </c:numRef>
          </c:val>
        </c:ser>
        <c:ser>
          <c:idx val="1"/>
          <c:order val="1"/>
          <c:tx>
            <c:strRef>
              <c:f>[2024年决算公开图表制作.et]Sheet1!$B$26</c:f>
              <c:strCache>
                <c:ptCount val="1"/>
                <c:pt idx="0">
                  <c:v>2024年（万元）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[2024年决算公开图表制作.et]Sheet1!$C$24:$E$24</c:f>
              <c:strCache>
                <c:ptCount val="3"/>
                <c:pt idx="0">
                  <c:v>收入</c:v>
                </c:pt>
                <c:pt idx="1">
                  <c:v>支出</c:v>
                </c:pt>
                <c:pt idx="2">
                  <c:v>合计</c:v>
                </c:pt>
              </c:strCache>
            </c:strRef>
          </c:cat>
          <c:val>
            <c:numRef>
              <c:f>[2024年决算公开图表制作.et]Sheet1!$C$26:$E$26</c:f>
              <c:numCache>
                <c:formatCode>General</c:formatCode>
                <c:ptCount val="3"/>
                <c:pt idx="0">
                  <c:v>216.54</c:v>
                </c:pt>
                <c:pt idx="1">
                  <c:v>216.54</c:v>
                </c:pt>
                <c:pt idx="2">
                  <c:v>433.08</c:v>
                </c:pt>
              </c:numCache>
            </c:numRef>
          </c:val>
        </c:ser>
        <c:dLbls>
          <c:showLegendKey val="0"/>
          <c:showVal val="1"/>
          <c:showCatName val="0"/>
          <c:showSerName val="0"/>
          <c:showPercent val="0"/>
          <c:showBubbleSize val="0"/>
        </c:dLbls>
        <c:gapWidth val="150"/>
        <c:axId val="93942528"/>
        <c:axId val="93944064"/>
      </c:barChart>
      <c:catAx>
        <c:axId val="939425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44064"/>
        <c:crosses val="autoZero"/>
        <c:auto val="1"/>
        <c:lblAlgn val="ctr"/>
        <c:lblOffset val="100"/>
        <c:noMultiLvlLbl val="0"/>
      </c:catAx>
      <c:valAx>
        <c:axId val="93944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4252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2bac32f-58a8-4890-a8fa-c2659a3998f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[2024年决算公开图表制作.et]Sheet1!$C$60:$C$61</c:f>
              <c:strCache>
                <c:ptCount val="1"/>
                <c:pt idx="0">
                  <c:v>一般公共预算财政拨款支出</c:v>
                </c:pt>
              </c:strCache>
            </c:strRef>
          </c:tx>
          <c:spPr>
            <a:solidFill>
              <a:schemeClr val="accent1"/>
            </a:solidFill>
            <a:ln>
              <a:noFill/>
            </a:ln>
            <a:effectLst/>
          </c:spPr>
          <c:invertIfNegative val="0"/>
          <c:dLbls>
            <c:delete val="1"/>
          </c:dLbls>
          <c:cat>
            <c:strRef>
              <c:f>[2024年决算公开图表制作.et]Sheet1!$B$62:$B$63</c:f>
              <c:strCache>
                <c:ptCount val="2"/>
                <c:pt idx="0">
                  <c:v>2023年（万元）</c:v>
                </c:pt>
                <c:pt idx="1">
                  <c:v>2024年（万元）</c:v>
                </c:pt>
              </c:strCache>
            </c:strRef>
          </c:cat>
          <c:val>
            <c:numRef>
              <c:f>[2024年决算公开图表制作.et]Sheet1!$C$62:$C$63</c:f>
              <c:numCache>
                <c:formatCode>General</c:formatCode>
                <c:ptCount val="2"/>
                <c:pt idx="0">
                  <c:v>236.82</c:v>
                </c:pt>
                <c:pt idx="1">
                  <c:v>216.54</c:v>
                </c:pt>
              </c:numCache>
            </c:numRef>
          </c:val>
        </c:ser>
        <c:dLbls>
          <c:showLegendKey val="0"/>
          <c:showVal val="0"/>
          <c:showCatName val="0"/>
          <c:showSerName val="0"/>
          <c:showPercent val="0"/>
          <c:showBubbleSize val="0"/>
        </c:dLbls>
        <c:gapWidth val="219"/>
        <c:overlap val="-27"/>
        <c:axId val="93960064"/>
        <c:axId val="93961600"/>
      </c:barChart>
      <c:catAx>
        <c:axId val="939600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61600"/>
        <c:crosses val="autoZero"/>
        <c:auto val="1"/>
        <c:lblAlgn val="ctr"/>
        <c:lblOffset val="100"/>
        <c:noMultiLvlLbl val="0"/>
      </c:catAx>
      <c:valAx>
        <c:axId val="93961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60064"/>
        <c:crosses val="autoZero"/>
        <c:crossBetween val="between"/>
      </c:valAx>
      <c:spPr>
        <a:noFill/>
        <a:ln>
          <a:noFill/>
        </a:ln>
        <a:effectLst/>
      </c:spPr>
    </c:plotArea>
    <c:plotVisOnly val="1"/>
    <c:dispBlanksAs val="gap"/>
    <c:showDLblsOverMax val="0"/>
    <c:extLst>
      <c:ext uri="{0b15fc19-7d7d-44ad-8c2d-2c3a37ce22c3}">
        <chartProps xmlns="https://web.wps.cn/et/2018/main" chartId="{bf5a38c4-e3f5-4f03-a017-967339125ac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[2024年决算公开图表制作.et]Sheet1!$C$83</c:f>
              <c:strCache>
                <c:ptCount val="1"/>
                <c:pt idx="0">
                  <c:v>一般公共预算财政拨款支出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[2024年决算公开图表制作.et]Sheet1!$B$84:$B$87</c:f>
              <c:strCache>
                <c:ptCount val="4"/>
                <c:pt idx="0">
                  <c:v>社会保障和就业支出</c:v>
                </c:pt>
                <c:pt idx="1">
                  <c:v>卫生健康支出</c:v>
                </c:pt>
                <c:pt idx="2">
                  <c:v>住房保障支出</c:v>
                </c:pt>
                <c:pt idx="3">
                  <c:v>自然资源海洋气象等支出</c:v>
                </c:pt>
              </c:strCache>
            </c:strRef>
          </c:cat>
          <c:val>
            <c:numRef>
              <c:f>[2024年决算公开图表制作.et]Sheet1!$C$84:$C$87</c:f>
              <c:numCache>
                <c:formatCode>0.00%</c:formatCode>
                <c:ptCount val="4"/>
                <c:pt idx="0">
                  <c:v>0.1415</c:v>
                </c:pt>
                <c:pt idx="1">
                  <c:v>0.0462</c:v>
                </c:pt>
                <c:pt idx="2">
                  <c:v>0.0554</c:v>
                </c:pt>
                <c:pt idx="3">
                  <c:v>0.7569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4aa34b0c-d76e-449f-a1eb-fc871e47004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[2024年决算公开图表制作.et]Sheet1!$B$66</c:f>
              <c:strCache>
                <c:ptCount val="1"/>
                <c:pt idx="0">
                  <c:v>“三公”经费财政拨款支出（万元）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0</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1.13</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[2024年决算公开图表制作.et]Sheet1!$C$65:$E$65</c:f>
              <c:strCache>
                <c:ptCount val="3"/>
                <c:pt idx="0">
                  <c:v>因公出国（境）</c:v>
                </c:pt>
                <c:pt idx="1">
                  <c:v>公务用车购置及运行维护费</c:v>
                </c:pt>
                <c:pt idx="2">
                  <c:v>公务接待费</c:v>
                </c:pt>
              </c:strCache>
            </c:strRef>
          </c:cat>
          <c:val>
            <c:numRef>
              <c:f>[2024年决算公开图表制作.et]Sheet1!$C$66:$E$66</c:f>
              <c:numCache>
                <c:formatCode>General</c:formatCode>
                <c:ptCount val="3"/>
                <c:pt idx="0">
                  <c:v>0</c:v>
                </c:pt>
                <c:pt idx="1">
                  <c:v>1.13</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f17e930e-45c0-4da1-9e5a-4e16c3cfb50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4825</Words>
  <Characters>5240</Characters>
  <Lines>38</Lines>
  <Paragraphs>10</Paragraphs>
  <TotalTime>1</TotalTime>
  <ScaleCrop>false</ScaleCrop>
  <LinksUpToDate>false</LinksUpToDate>
  <CharactersWithSpaces>5322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2020-08-10T17:49:00Z</dcterms:created>
  <dc:creator>曹颖</dc:creator>
  <cp:lastModifiedBy>leelyeel</cp:lastModifiedBy>
  <cp:lastPrinted>2025-08-08T01:34:00Z</cp:lastPrinted>
  <dcterms:modified xsi:type="dcterms:W3CDTF">2025-09-12T00:27:57Z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eyJoZGlkIjoiYjIzN2QyMWFmODZmNTg4YTI0NmUxYTE4YzFiMTY0NGUiLCJ1c2VySWQiOiI4NzkyNzA0NjIifQ==</vt:lpwstr>
  </property>
</Properties>
</file>