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4A46D">
      <w:pPr>
        <w:pStyle w:val="2"/>
        <w:spacing w:before="93"/>
        <w:rPr>
          <w:rFonts w:ascii="Times New Roman" w:eastAsia="方正小标宋简体"/>
          <w:kern w:val="2"/>
          <w:sz w:val="72"/>
          <w:szCs w:val="72"/>
        </w:rPr>
      </w:pPr>
      <w:bookmarkStart w:id="0" w:name="_Toc15377425"/>
      <w:bookmarkStart w:id="1" w:name="_Toc15396475"/>
      <w:bookmarkStart w:id="2" w:name="_Toc15396597"/>
      <w:bookmarkStart w:id="3" w:name="_Toc15378441"/>
      <w:bookmarkStart w:id="4" w:name="_Toc15377193"/>
      <w:bookmarkStart w:id="5" w:name="_Toc15306267"/>
    </w:p>
    <w:p w14:paraId="37ECF89B">
      <w:pPr>
        <w:pStyle w:val="2"/>
        <w:spacing w:before="93"/>
        <w:rPr>
          <w:rFonts w:ascii="Times New Roman" w:eastAsia="方正小标宋简体"/>
          <w:kern w:val="2"/>
          <w:sz w:val="72"/>
          <w:szCs w:val="72"/>
        </w:rPr>
      </w:pPr>
    </w:p>
    <w:p w14:paraId="262A5C95">
      <w:pPr>
        <w:pStyle w:val="2"/>
        <w:spacing w:before="93"/>
        <w:rPr>
          <w:rFonts w:ascii="Times New Roman" w:eastAsia="方正小标宋简体"/>
          <w:kern w:val="2"/>
          <w:sz w:val="72"/>
          <w:szCs w:val="72"/>
        </w:rPr>
      </w:pPr>
    </w:p>
    <w:p w14:paraId="2BBAA44A">
      <w:pPr>
        <w:pStyle w:val="2"/>
        <w:spacing w:before="93"/>
        <w:jc w:val="center"/>
        <w:rPr>
          <w:rFonts w:hint="eastAsia" w:ascii="Times New Roman" w:eastAsia="方正小标宋简体"/>
          <w:kern w:val="2"/>
          <w:sz w:val="44"/>
          <w:szCs w:val="44"/>
          <w:lang w:eastAsia="zh-CN"/>
        </w:rPr>
      </w:pPr>
      <w:r>
        <w:rPr>
          <w:rFonts w:hint="eastAsia" w:ascii="Times New Roman" w:eastAsia="方正小标宋简体"/>
          <w:kern w:val="2"/>
          <w:sz w:val="44"/>
          <w:szCs w:val="44"/>
        </w:rPr>
        <w:t>2024年度</w:t>
      </w:r>
      <w:r>
        <w:rPr>
          <w:rFonts w:hint="default" w:ascii="Times New Roman" w:hAnsi="Times New Roman" w:eastAsia="方正小标宋简体" w:cs="Times New Roman"/>
          <w:color w:val="auto"/>
          <w:kern w:val="2"/>
          <w:sz w:val="44"/>
          <w:szCs w:val="44"/>
          <w:highlight w:val="none"/>
          <w:lang w:val="en-US" w:eastAsia="zh-CN" w:bidi="ar-SA"/>
        </w:rPr>
        <w:t>四川省攀枝花市土地储备中心</w:t>
      </w:r>
    </w:p>
    <w:p w14:paraId="5C2B54F1">
      <w:pPr>
        <w:pStyle w:val="2"/>
        <w:spacing w:before="93"/>
        <w:jc w:val="center"/>
        <w:rPr>
          <w:rFonts w:ascii="Times New Roman" w:eastAsia="方正小标宋简体"/>
          <w:kern w:val="2"/>
          <w:sz w:val="44"/>
          <w:szCs w:val="44"/>
        </w:rPr>
      </w:pPr>
      <w:r>
        <w:rPr>
          <w:rFonts w:hint="eastAsia" w:ascii="Times New Roman" w:eastAsia="方正小标宋简体"/>
          <w:kern w:val="2"/>
          <w:sz w:val="44"/>
          <w:szCs w:val="44"/>
        </w:rPr>
        <w:t>单位决算公开文字说明</w:t>
      </w:r>
    </w:p>
    <w:p w14:paraId="40466F18">
      <w:pPr>
        <w:spacing w:line="600" w:lineRule="exact"/>
        <w:jc w:val="center"/>
        <w:outlineLvl w:val="0"/>
        <w:rPr>
          <w:rFonts w:eastAsia="方正小标宋简体"/>
          <w:sz w:val="72"/>
          <w:szCs w:val="72"/>
        </w:rPr>
      </w:pPr>
    </w:p>
    <w:p w14:paraId="6DBB658D">
      <w:pPr>
        <w:pStyle w:val="19"/>
        <w:rPr>
          <w:rFonts w:ascii="Times New Roman" w:hAnsi="Times New Roman"/>
        </w:rPr>
        <w:sectPr>
          <w:headerReference r:id="rId3" w:type="default"/>
          <w:footerReference r:id="rId5" w:type="default"/>
          <w:headerReference r:id="rId4" w:type="even"/>
          <w:footerReference r:id="rId6" w:type="even"/>
          <w:pgSz w:w="11906" w:h="16838"/>
          <w:pgMar w:top="1440" w:right="1800" w:bottom="1440" w:left="1800" w:header="851" w:footer="992" w:gutter="0"/>
          <w:pgNumType w:fmt="numberInDash" w:start="1"/>
          <w:cols w:space="425" w:num="1"/>
          <w:titlePg/>
          <w:docGrid w:type="lines" w:linePitch="312" w:charSpace="0"/>
        </w:sectPr>
      </w:pPr>
    </w:p>
    <w:p w14:paraId="6BDA7AC4">
      <w:pPr>
        <w:rPr>
          <w:rFonts w:hint="default" w:ascii="Times New Roman" w:hAnsi="Times New Roman" w:cs="Times New Roman"/>
        </w:rPr>
      </w:pPr>
    </w:p>
    <w:p w14:paraId="659E6037">
      <w:pPr>
        <w:pStyle w:val="19"/>
        <w:rPr>
          <w:rFonts w:hint="default" w:ascii="Times New Roman" w:hAnsi="Times New Roman" w:cs="Times New Roman"/>
        </w:rPr>
      </w:pPr>
    </w:p>
    <w:p w14:paraId="6A1A192C">
      <w:pPr>
        <w:rPr>
          <w:rFonts w:hint="default"/>
        </w:rPr>
      </w:pPr>
    </w:p>
    <w:p w14:paraId="6347BE69">
      <w:pPr>
        <w:pStyle w:val="2"/>
        <w:jc w:val="center"/>
        <w:rPr>
          <w:rFonts w:hint="default" w:ascii="Times New Roman" w:hAnsi="Times New Roman" w:eastAsia="方正小标宋简体" w:cs="Times New Roman"/>
          <w:color w:val="auto"/>
          <w:kern w:val="2"/>
          <w:sz w:val="44"/>
          <w:szCs w:val="44"/>
          <w:highlight w:val="none"/>
          <w:lang w:val="en-US" w:eastAsia="zh-CN" w:bidi="ar-SA"/>
        </w:rPr>
      </w:pPr>
    </w:p>
    <w:p w14:paraId="572C6C16">
      <w:pPr>
        <w:pStyle w:val="2"/>
        <w:jc w:val="center"/>
        <w:rPr>
          <w:rFonts w:hint="default" w:ascii="Times New Roman" w:hAnsi="Times New Roman" w:eastAsia="方正小标宋简体" w:cs="Times New Roman"/>
          <w:color w:val="auto"/>
          <w:kern w:val="2"/>
          <w:sz w:val="44"/>
          <w:szCs w:val="44"/>
          <w:highlight w:val="none"/>
          <w:lang w:val="en-US" w:eastAsia="zh-CN" w:bidi="ar-SA"/>
        </w:rPr>
      </w:pPr>
    </w:p>
    <w:p w14:paraId="09A13CCA">
      <w:pPr>
        <w:pStyle w:val="2"/>
        <w:jc w:val="center"/>
        <w:rPr>
          <w:rFonts w:hint="default" w:ascii="Times New Roman" w:hAnsi="Times New Roman" w:eastAsia="方正小标宋简体" w:cs="Times New Roman"/>
          <w:color w:val="auto"/>
          <w:kern w:val="2"/>
          <w:sz w:val="44"/>
          <w:szCs w:val="44"/>
          <w:highlight w:val="none"/>
          <w:lang w:val="en-US" w:eastAsia="zh-CN" w:bidi="ar-SA"/>
        </w:rPr>
      </w:pPr>
    </w:p>
    <w:p w14:paraId="740AB1A3">
      <w:pPr>
        <w:pStyle w:val="2"/>
        <w:jc w:val="center"/>
        <w:rPr>
          <w:rFonts w:hint="default"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p w14:paraId="1F5EEBFE">
      <w:pPr>
        <w:pStyle w:val="2"/>
        <w:jc w:val="center"/>
        <w:rPr>
          <w:rFonts w:hint="default" w:ascii="Times New Roman" w:hAnsi="Times New Roman" w:eastAsia="方正小标宋简体" w:cs="Times New Roman"/>
          <w:color w:val="auto"/>
          <w:kern w:val="2"/>
          <w:sz w:val="44"/>
          <w:szCs w:val="44"/>
          <w:highlight w:val="none"/>
          <w:lang w:val="en-US" w:eastAsia="zh-CN" w:bidi="ar-SA"/>
        </w:rPr>
      </w:pPr>
      <w:bookmarkStart w:id="6" w:name="_Toc15377426"/>
      <w:bookmarkStart w:id="7" w:name="_Toc15378442"/>
      <w:bookmarkStart w:id="8" w:name="_Toc15396598"/>
      <w:bookmarkStart w:id="9" w:name="_Toc15396476"/>
      <w:bookmarkStart w:id="10" w:name="_Toc15377194"/>
      <w:r>
        <w:rPr>
          <w:rFonts w:hint="default" w:ascii="Times New Roman" w:hAnsi="Times New Roman" w:eastAsia="方正小标宋简体" w:cs="Times New Roman"/>
          <w:color w:val="auto"/>
          <w:kern w:val="2"/>
          <w:sz w:val="44"/>
          <w:szCs w:val="44"/>
          <w:highlight w:val="none"/>
          <w:lang w:val="en-US" w:eastAsia="zh-CN" w:bidi="ar-SA"/>
        </w:rPr>
        <w:t>2024年度四川省</w:t>
      </w:r>
      <w:bookmarkEnd w:id="5"/>
      <w:bookmarkStart w:id="11" w:name="_Toc15306268"/>
      <w:r>
        <w:rPr>
          <w:rFonts w:hint="default" w:ascii="Times New Roman" w:hAnsi="Times New Roman" w:eastAsia="方正小标宋简体" w:cs="Times New Roman"/>
          <w:color w:val="auto"/>
          <w:kern w:val="2"/>
          <w:sz w:val="44"/>
          <w:szCs w:val="44"/>
          <w:highlight w:val="none"/>
          <w:lang w:val="en-US" w:eastAsia="zh-CN" w:bidi="ar-SA"/>
        </w:rPr>
        <w:t>攀枝花市土地储备中心</w:t>
      </w:r>
    </w:p>
    <w:p w14:paraId="10782C90">
      <w:pPr>
        <w:pStyle w:val="2"/>
        <w:jc w:val="center"/>
        <w:rPr>
          <w:rFonts w:hint="default" w:ascii="Times New Roman" w:hAnsi="Times New Roman" w:eastAsia="方正小标宋简体" w:cs="Times New Roman"/>
          <w:color w:val="auto"/>
          <w:kern w:val="2"/>
          <w:sz w:val="44"/>
          <w:szCs w:val="44"/>
          <w:highlight w:val="none"/>
          <w:lang w:val="en-US" w:eastAsia="zh-CN" w:bidi="ar-SA"/>
        </w:rPr>
      </w:pPr>
      <w:r>
        <w:rPr>
          <w:rFonts w:hint="default" w:ascii="Times New Roman" w:hAnsi="Times New Roman" w:eastAsia="方正小标宋简体" w:cs="Times New Roman"/>
          <w:color w:val="auto"/>
          <w:kern w:val="2"/>
          <w:sz w:val="44"/>
          <w:szCs w:val="44"/>
          <w:highlight w:val="none"/>
          <w:lang w:val="en-US" w:eastAsia="zh-CN" w:bidi="ar-SA"/>
        </w:rPr>
        <w:t>单位决算</w:t>
      </w:r>
      <w:bookmarkEnd w:id="6"/>
      <w:bookmarkEnd w:id="7"/>
      <w:bookmarkEnd w:id="8"/>
      <w:bookmarkEnd w:id="9"/>
      <w:bookmarkEnd w:id="10"/>
      <w:bookmarkEnd w:id="11"/>
    </w:p>
    <w:p w14:paraId="21AEF43A">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w:t>
      </w:r>
    </w:p>
    <w:p w14:paraId="2440C69D">
      <w:pPr>
        <w:widowControl/>
        <w:jc w:val="center"/>
        <w:rPr>
          <w:rFonts w:hint="default" w:ascii="Times New Roman" w:hAnsi="Times New Roman" w:eastAsia="黑体" w:cs="Times New Roman"/>
          <w:color w:val="auto"/>
          <w:sz w:val="48"/>
          <w:szCs w:val="48"/>
          <w:highlight w:val="none"/>
        </w:rPr>
        <w:sectPr>
          <w:headerReference r:id="rId7" w:type="default"/>
          <w:footerReference r:id="rId8" w:type="default"/>
          <w:pgSz w:w="11906" w:h="16838"/>
          <w:pgMar w:top="1440" w:right="1800" w:bottom="1440" w:left="1800" w:header="851" w:footer="992" w:gutter="0"/>
          <w:pgNumType w:fmt="decimal" w:start="1"/>
          <w:cols w:space="0" w:num="1"/>
          <w:titlePg/>
          <w:rtlGutter w:val="0"/>
          <w:docGrid w:type="lines" w:linePitch="312" w:charSpace="0"/>
        </w:sectPr>
      </w:pPr>
    </w:p>
    <w:p w14:paraId="3384CD97">
      <w:pPr>
        <w:widowControl/>
        <w:jc w:val="center"/>
        <w:outlineLvl w:val="0"/>
        <w:rPr>
          <w:rFonts w:hint="default" w:ascii="Times New Roman" w:hAnsi="Times New Roman" w:eastAsia="黑体" w:cs="Times New Roman"/>
          <w:color w:val="auto"/>
          <w:sz w:val="48"/>
          <w:szCs w:val="48"/>
          <w:highlight w:val="none"/>
        </w:rPr>
      </w:pPr>
      <w:r>
        <w:rPr>
          <w:rFonts w:hint="default" w:ascii="Times New Roman" w:hAnsi="Times New Roman" w:eastAsia="黑体" w:cs="Times New Roman"/>
          <w:color w:val="auto"/>
          <w:sz w:val="48"/>
          <w:szCs w:val="48"/>
          <w:highlight w:val="none"/>
        </w:rPr>
        <w:t>目录</w:t>
      </w:r>
    </w:p>
    <w:p w14:paraId="07914A97">
      <w:pPr>
        <w:widowControl/>
        <w:jc w:val="center"/>
        <w:rPr>
          <w:rFonts w:hint="default" w:ascii="Times New Roman" w:hAnsi="Times New Roman" w:eastAsia="黑体" w:cs="Times New Roman"/>
          <w:color w:val="auto"/>
          <w:sz w:val="28"/>
          <w:szCs w:val="28"/>
          <w:highlight w:val="none"/>
        </w:rPr>
      </w:pPr>
    </w:p>
    <w:p w14:paraId="60C882E1">
      <w:pPr>
        <w:pStyle w:val="12"/>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公开时间：20</w:t>
      </w: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12</w:t>
      </w:r>
      <w:bookmarkStart w:id="67" w:name="_GoBack"/>
      <w:bookmarkEnd w:id="67"/>
      <w:r>
        <w:rPr>
          <w:rFonts w:hint="default" w:ascii="Times New Roman" w:hAnsi="Times New Roman" w:eastAsia="仿宋_GB2312" w:cs="Times New Roman"/>
          <w:color w:val="auto"/>
          <w:sz w:val="32"/>
          <w:szCs w:val="32"/>
          <w:highlight w:val="none"/>
        </w:rPr>
        <w:t>日</w:t>
      </w:r>
    </w:p>
    <w:p w14:paraId="202A199E">
      <w:pPr>
        <w:rPr>
          <w:rFonts w:hint="default" w:ascii="Times New Roman" w:hAnsi="Times New Roman" w:cs="Times New Roman"/>
          <w:color w:val="auto"/>
          <w:highlight w:val="none"/>
        </w:rPr>
      </w:pPr>
    </w:p>
    <w:p w14:paraId="4BC6DECE">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第一部分 </w:t>
      </w:r>
      <w:r>
        <w:rPr>
          <w:rFonts w:hint="default" w:ascii="Times New Roman" w:hAnsi="Times New Roman" w:eastAsia="黑体" w:cs="Times New Roman"/>
          <w:color w:val="auto"/>
          <w:sz w:val="32"/>
          <w:szCs w:val="32"/>
          <w:highlight w:val="none"/>
          <w:lang w:val="en-US" w:eastAsia="zh-CN"/>
        </w:rPr>
        <w:t>单位</w:t>
      </w:r>
      <w:r>
        <w:rPr>
          <w:rFonts w:hint="default" w:ascii="Times New Roman" w:hAnsi="Times New Roman" w:eastAsia="黑体" w:cs="Times New Roman"/>
          <w:color w:val="auto"/>
          <w:sz w:val="32"/>
          <w:szCs w:val="32"/>
          <w:highlight w:val="none"/>
        </w:rPr>
        <w:t>概况</w:t>
      </w:r>
      <w:r>
        <w:rPr>
          <w:rFonts w:ascii="Times New Roman" w:hAnsi="Times New Roman"/>
          <w:sz w:val="24"/>
          <w:szCs w:val="24"/>
        </w:rPr>
        <w:tab/>
      </w:r>
      <w:r>
        <w:rPr>
          <w:rFonts w:ascii="Times New Roman" w:hAnsi="Times New Roman"/>
          <w:sz w:val="24"/>
          <w:szCs w:val="24"/>
        </w:rPr>
        <w:t>4</w:t>
      </w:r>
    </w:p>
    <w:p w14:paraId="4F3FE6E3">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val="en-US" w:eastAsia="zh-CN"/>
        </w:rPr>
        <w:t>单位</w:t>
      </w:r>
      <w:r>
        <w:rPr>
          <w:rFonts w:hint="default" w:ascii="Times New Roman" w:hAnsi="Times New Roman" w:eastAsia="仿宋_GB2312" w:cs="Times New Roman"/>
          <w:color w:val="auto"/>
          <w:sz w:val="32"/>
          <w:szCs w:val="32"/>
          <w:highlight w:val="none"/>
          <w:lang w:eastAsia="zh-CN"/>
        </w:rPr>
        <w:t>职责</w:t>
      </w:r>
      <w:r>
        <w:rPr>
          <w:rFonts w:ascii="Times New Roman" w:hAnsi="Times New Roman"/>
          <w:sz w:val="24"/>
          <w:szCs w:val="24"/>
        </w:rPr>
        <w:tab/>
      </w:r>
      <w:r>
        <w:rPr>
          <w:rFonts w:ascii="Times New Roman" w:hAnsi="Times New Roman"/>
          <w:sz w:val="24"/>
          <w:szCs w:val="24"/>
        </w:rPr>
        <w:t>4</w:t>
      </w:r>
    </w:p>
    <w:p w14:paraId="3A7EEDB5">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二、机构设置</w:t>
      </w:r>
      <w:r>
        <w:rPr>
          <w:rFonts w:ascii="Times New Roman" w:hAnsi="Times New Roman"/>
          <w:sz w:val="24"/>
          <w:szCs w:val="24"/>
        </w:rPr>
        <w:tab/>
      </w:r>
      <w:r>
        <w:rPr>
          <w:rFonts w:ascii="Times New Roman" w:hAnsi="Times New Roman"/>
          <w:sz w:val="24"/>
          <w:szCs w:val="24"/>
        </w:rPr>
        <w:t>4</w:t>
      </w:r>
    </w:p>
    <w:p w14:paraId="5570722C">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仿宋"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第二部分</w:t>
      </w:r>
      <w:r>
        <w:rPr>
          <w:rFonts w:hint="default" w:ascii="Times New Roman" w:hAnsi="Times New Roman" w:eastAsia="黑体" w:cs="Times New Roman"/>
          <w:color w:val="auto"/>
          <w:sz w:val="32"/>
          <w:szCs w:val="32"/>
          <w:highlight w:val="none"/>
          <w:lang w:val="en-US" w:eastAsia="zh-CN"/>
        </w:rPr>
        <w:t xml:space="preserve"> 2024年度单位</w:t>
      </w:r>
      <w:r>
        <w:rPr>
          <w:rFonts w:hint="default" w:ascii="Times New Roman" w:hAnsi="Times New Roman" w:eastAsia="黑体" w:cs="Times New Roman"/>
          <w:color w:val="auto"/>
          <w:sz w:val="32"/>
          <w:szCs w:val="32"/>
          <w:highlight w:val="none"/>
        </w:rPr>
        <w:t>决算情况说明</w:t>
      </w:r>
      <w:r>
        <w:rPr>
          <w:rFonts w:ascii="Times New Roman" w:hAnsi="Times New Roman"/>
          <w:sz w:val="24"/>
          <w:szCs w:val="24"/>
        </w:rPr>
        <w:tab/>
      </w:r>
      <w:r>
        <w:rPr>
          <w:rFonts w:hint="eastAsia" w:ascii="Times New Roman" w:hAnsi="Times New Roman"/>
          <w:sz w:val="24"/>
          <w:szCs w:val="24"/>
          <w:lang w:val="en-US" w:eastAsia="zh-CN"/>
        </w:rPr>
        <w:t>5</w:t>
      </w:r>
    </w:p>
    <w:p w14:paraId="7B740546">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一、收入支出决算总体情况说明</w:t>
      </w:r>
      <w:r>
        <w:rPr>
          <w:rFonts w:ascii="Times New Roman" w:hAnsi="Times New Roman"/>
          <w:sz w:val="24"/>
          <w:szCs w:val="24"/>
        </w:rPr>
        <w:tab/>
      </w:r>
      <w:r>
        <w:rPr>
          <w:rFonts w:hint="eastAsia"/>
          <w:sz w:val="24"/>
          <w:szCs w:val="24"/>
          <w:lang w:val="en-US" w:eastAsia="zh-CN"/>
        </w:rPr>
        <w:t>5</w:t>
      </w:r>
    </w:p>
    <w:p w14:paraId="72887595">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二、收入决算情况说明</w:t>
      </w:r>
      <w:r>
        <w:rPr>
          <w:rFonts w:ascii="Times New Roman" w:hAnsi="Times New Roman"/>
          <w:sz w:val="24"/>
          <w:szCs w:val="24"/>
        </w:rPr>
        <w:tab/>
      </w:r>
      <w:r>
        <w:rPr>
          <w:rFonts w:hint="eastAsia"/>
          <w:sz w:val="24"/>
          <w:szCs w:val="24"/>
          <w:lang w:val="en-US" w:eastAsia="zh-CN"/>
        </w:rPr>
        <w:t>5</w:t>
      </w:r>
    </w:p>
    <w:p w14:paraId="3A91F4AD">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三、支出决算情况说明</w:t>
      </w:r>
      <w:r>
        <w:rPr>
          <w:rFonts w:ascii="Times New Roman" w:hAnsi="Times New Roman"/>
          <w:sz w:val="24"/>
          <w:szCs w:val="24"/>
        </w:rPr>
        <w:tab/>
      </w:r>
      <w:r>
        <w:rPr>
          <w:rFonts w:hint="eastAsia"/>
          <w:sz w:val="24"/>
          <w:szCs w:val="24"/>
          <w:lang w:val="en-US" w:eastAsia="zh-CN"/>
        </w:rPr>
        <w:t>6</w:t>
      </w:r>
    </w:p>
    <w:p w14:paraId="4354E8C0">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四、财政拨款收入支出决算总体情况说明</w:t>
      </w:r>
      <w:r>
        <w:rPr>
          <w:rFonts w:ascii="Times New Roman" w:hAnsi="Times New Roman"/>
          <w:sz w:val="24"/>
          <w:szCs w:val="24"/>
        </w:rPr>
        <w:tab/>
      </w:r>
      <w:r>
        <w:rPr>
          <w:rFonts w:hint="eastAsia"/>
          <w:sz w:val="24"/>
          <w:szCs w:val="24"/>
          <w:lang w:val="en-US" w:eastAsia="zh-CN"/>
        </w:rPr>
        <w:t>7</w:t>
      </w:r>
    </w:p>
    <w:p w14:paraId="45F65C05">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五、一般公共预算财政拨款支出决算情况说明</w:t>
      </w:r>
      <w:r>
        <w:rPr>
          <w:rFonts w:ascii="Times New Roman" w:hAnsi="Times New Roman"/>
          <w:sz w:val="24"/>
          <w:szCs w:val="24"/>
        </w:rPr>
        <w:tab/>
      </w:r>
      <w:r>
        <w:rPr>
          <w:rFonts w:hint="eastAsia"/>
          <w:sz w:val="24"/>
          <w:szCs w:val="24"/>
          <w:lang w:val="en-US" w:eastAsia="zh-CN"/>
        </w:rPr>
        <w:t>8</w:t>
      </w:r>
    </w:p>
    <w:p w14:paraId="04880F0C">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六、一般公共预算财政拨款基本支出决算情况说明</w:t>
      </w:r>
      <w:r>
        <w:rPr>
          <w:rFonts w:ascii="Times New Roman" w:hAnsi="Times New Roman"/>
          <w:sz w:val="24"/>
          <w:szCs w:val="24"/>
        </w:rPr>
        <w:tab/>
      </w:r>
      <w:r>
        <w:rPr>
          <w:rFonts w:hint="eastAsia"/>
          <w:sz w:val="24"/>
          <w:szCs w:val="24"/>
          <w:lang w:val="en-US" w:eastAsia="zh-CN"/>
        </w:rPr>
        <w:t>10</w:t>
      </w:r>
    </w:p>
    <w:p w14:paraId="103F52B7">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七、财政拨款</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三公”经费支出决算情况说明</w:t>
      </w:r>
      <w:r>
        <w:rPr>
          <w:rFonts w:ascii="Times New Roman" w:hAnsi="Times New Roman"/>
          <w:sz w:val="24"/>
          <w:szCs w:val="24"/>
        </w:rPr>
        <w:tab/>
      </w:r>
      <w:r>
        <w:rPr>
          <w:rFonts w:hint="eastAsia"/>
          <w:sz w:val="24"/>
          <w:szCs w:val="24"/>
          <w:lang w:val="en-US" w:eastAsia="zh-CN"/>
        </w:rPr>
        <w:t>11</w:t>
      </w:r>
    </w:p>
    <w:p w14:paraId="77E18229">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八、政府性基金预算支出决算情况说明</w:t>
      </w:r>
      <w:r>
        <w:rPr>
          <w:rFonts w:ascii="Times New Roman" w:hAnsi="Times New Roman"/>
          <w:sz w:val="24"/>
          <w:szCs w:val="24"/>
        </w:rPr>
        <w:tab/>
      </w:r>
      <w:r>
        <w:rPr>
          <w:rFonts w:hint="eastAsia"/>
          <w:sz w:val="24"/>
          <w:szCs w:val="24"/>
          <w:lang w:val="en-US" w:eastAsia="zh-CN"/>
        </w:rPr>
        <w:t>13</w:t>
      </w:r>
    </w:p>
    <w:p w14:paraId="336BDA38">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九、</w:t>
      </w:r>
      <w:r>
        <w:rPr>
          <w:rFonts w:hint="default" w:ascii="Times New Roman" w:hAnsi="Times New Roman" w:eastAsia="仿宋_GB2312" w:cs="Times New Roman"/>
          <w:color w:val="auto"/>
          <w:sz w:val="32"/>
          <w:szCs w:val="32"/>
          <w:highlight w:val="none"/>
          <w:lang w:eastAsia="zh-CN"/>
        </w:rPr>
        <w:t>国</w:t>
      </w:r>
      <w:r>
        <w:rPr>
          <w:rFonts w:hint="default" w:ascii="Times New Roman" w:hAnsi="Times New Roman" w:eastAsia="仿宋_GB2312" w:cs="Times New Roman"/>
          <w:color w:val="auto"/>
          <w:sz w:val="32"/>
          <w:szCs w:val="32"/>
          <w:highlight w:val="none"/>
        </w:rPr>
        <w:t>有资本经营预算支出决算情况说明</w:t>
      </w:r>
      <w:r>
        <w:rPr>
          <w:rFonts w:ascii="Times New Roman" w:hAnsi="Times New Roman"/>
          <w:sz w:val="24"/>
          <w:szCs w:val="24"/>
        </w:rPr>
        <w:tab/>
      </w:r>
      <w:r>
        <w:rPr>
          <w:rFonts w:hint="eastAsia"/>
          <w:sz w:val="24"/>
          <w:szCs w:val="24"/>
          <w:lang w:val="en-US" w:eastAsia="zh-CN"/>
        </w:rPr>
        <w:t>13</w:t>
      </w:r>
    </w:p>
    <w:p w14:paraId="668C19FD">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十</w:t>
      </w:r>
      <w:r>
        <w:rPr>
          <w:rFonts w:hint="default" w:ascii="Times New Roman" w:hAnsi="Times New Roman" w:eastAsia="仿宋_GB2312" w:cs="Times New Roman"/>
          <w:color w:val="auto"/>
          <w:sz w:val="32"/>
          <w:szCs w:val="32"/>
          <w:highlight w:val="none"/>
        </w:rPr>
        <w:t>、其他重要事项的情况说明</w:t>
      </w:r>
      <w:r>
        <w:rPr>
          <w:rFonts w:ascii="Times New Roman" w:hAnsi="Times New Roman"/>
          <w:sz w:val="24"/>
          <w:szCs w:val="24"/>
        </w:rPr>
        <w:tab/>
      </w:r>
      <w:r>
        <w:rPr>
          <w:rFonts w:hint="eastAsia"/>
          <w:sz w:val="24"/>
          <w:szCs w:val="24"/>
          <w:lang w:val="en-US" w:eastAsia="zh-CN"/>
        </w:rPr>
        <w:t>13</w:t>
      </w:r>
    </w:p>
    <w:p w14:paraId="7A940413">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第三部分 名词解释</w:t>
      </w:r>
      <w:r>
        <w:rPr>
          <w:rFonts w:ascii="Times New Roman" w:hAnsi="Times New Roman"/>
          <w:sz w:val="24"/>
          <w:szCs w:val="24"/>
        </w:rPr>
        <w:tab/>
      </w:r>
      <w:r>
        <w:rPr>
          <w:rFonts w:hint="eastAsia" w:ascii="Times New Roman" w:hAnsi="Times New Roman"/>
          <w:sz w:val="24"/>
          <w:szCs w:val="24"/>
          <w:lang w:val="en-US" w:eastAsia="zh-CN"/>
        </w:rPr>
        <w:t>1</w:t>
      </w:r>
      <w:r>
        <w:rPr>
          <w:rFonts w:ascii="Times New Roman" w:hAnsi="Times New Roman"/>
          <w:sz w:val="24"/>
          <w:szCs w:val="24"/>
        </w:rPr>
        <w:t>4</w:t>
      </w:r>
    </w:p>
    <w:p w14:paraId="3300D491">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第四部分 附件</w:t>
      </w:r>
      <w:r>
        <w:rPr>
          <w:rFonts w:ascii="Times New Roman" w:hAnsi="Times New Roman"/>
          <w:sz w:val="24"/>
          <w:szCs w:val="24"/>
        </w:rPr>
        <w:tab/>
      </w:r>
      <w:r>
        <w:rPr>
          <w:rFonts w:hint="eastAsia" w:ascii="Times New Roman" w:hAnsi="Times New Roman"/>
          <w:sz w:val="24"/>
          <w:szCs w:val="24"/>
          <w:lang w:val="en-US" w:eastAsia="zh-CN"/>
        </w:rPr>
        <w:t>18</w:t>
      </w:r>
    </w:p>
    <w:p w14:paraId="0A22F84E">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第五部分 附表</w:t>
      </w:r>
      <w:r>
        <w:rPr>
          <w:rFonts w:ascii="Times New Roman" w:hAnsi="Times New Roman"/>
          <w:sz w:val="24"/>
          <w:szCs w:val="24"/>
        </w:rPr>
        <w:tab/>
      </w:r>
      <w:r>
        <w:rPr>
          <w:rFonts w:hint="eastAsia" w:ascii="Times New Roman" w:hAnsi="Times New Roman"/>
          <w:sz w:val="24"/>
          <w:szCs w:val="24"/>
          <w:lang w:val="en-US" w:eastAsia="zh-CN"/>
        </w:rPr>
        <w:t>19</w:t>
      </w:r>
    </w:p>
    <w:p w14:paraId="70CCDF2B">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一、收入支出决算总表</w:t>
      </w:r>
      <w:r>
        <w:rPr>
          <w:rFonts w:ascii="Times New Roman" w:hAnsi="Times New Roman"/>
          <w:sz w:val="24"/>
          <w:szCs w:val="24"/>
        </w:rPr>
        <w:tab/>
      </w:r>
      <w:r>
        <w:rPr>
          <w:rFonts w:hint="eastAsia"/>
          <w:sz w:val="24"/>
          <w:szCs w:val="24"/>
          <w:lang w:val="en-US" w:eastAsia="zh-CN"/>
        </w:rPr>
        <w:t>19</w:t>
      </w:r>
    </w:p>
    <w:p w14:paraId="58D3C99A">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二、收入决算表</w:t>
      </w:r>
      <w:r>
        <w:rPr>
          <w:rFonts w:ascii="Times New Roman" w:hAnsi="Times New Roman"/>
          <w:sz w:val="24"/>
          <w:szCs w:val="24"/>
        </w:rPr>
        <w:tab/>
      </w:r>
      <w:r>
        <w:rPr>
          <w:rFonts w:hint="eastAsia"/>
          <w:sz w:val="24"/>
          <w:szCs w:val="24"/>
          <w:lang w:val="en-US" w:eastAsia="zh-CN"/>
        </w:rPr>
        <w:t>19</w:t>
      </w:r>
    </w:p>
    <w:p w14:paraId="65CD0796">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三、支出决算表</w:t>
      </w:r>
      <w:r>
        <w:rPr>
          <w:rFonts w:ascii="Times New Roman" w:hAnsi="Times New Roman"/>
          <w:sz w:val="24"/>
          <w:szCs w:val="24"/>
        </w:rPr>
        <w:tab/>
      </w:r>
      <w:r>
        <w:rPr>
          <w:rFonts w:hint="eastAsia"/>
          <w:sz w:val="24"/>
          <w:szCs w:val="24"/>
          <w:lang w:val="en-US" w:eastAsia="zh-CN"/>
        </w:rPr>
        <w:t>19</w:t>
      </w:r>
    </w:p>
    <w:p w14:paraId="67B3DCC6">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四、财政拨款收入支出决算总表</w:t>
      </w:r>
      <w:r>
        <w:rPr>
          <w:rFonts w:ascii="Times New Roman" w:hAnsi="Times New Roman"/>
          <w:sz w:val="24"/>
          <w:szCs w:val="24"/>
        </w:rPr>
        <w:tab/>
      </w:r>
      <w:r>
        <w:rPr>
          <w:rFonts w:hint="eastAsia"/>
          <w:sz w:val="24"/>
          <w:szCs w:val="24"/>
          <w:lang w:val="en-US" w:eastAsia="zh-CN"/>
        </w:rPr>
        <w:t>19</w:t>
      </w:r>
    </w:p>
    <w:p w14:paraId="01453656">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五、财政拨款支出决算明细表</w:t>
      </w:r>
      <w:r>
        <w:rPr>
          <w:rFonts w:ascii="Times New Roman" w:hAnsi="Times New Roman"/>
          <w:sz w:val="24"/>
          <w:szCs w:val="24"/>
        </w:rPr>
        <w:tab/>
      </w:r>
      <w:r>
        <w:rPr>
          <w:rFonts w:hint="eastAsia"/>
          <w:sz w:val="24"/>
          <w:szCs w:val="24"/>
          <w:lang w:val="en-US" w:eastAsia="zh-CN"/>
        </w:rPr>
        <w:t>19</w:t>
      </w:r>
    </w:p>
    <w:p w14:paraId="54860379">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六、一般公共预算财政拨款支出决算表</w:t>
      </w:r>
      <w:r>
        <w:rPr>
          <w:rFonts w:ascii="Times New Roman" w:hAnsi="Times New Roman"/>
          <w:sz w:val="24"/>
          <w:szCs w:val="24"/>
        </w:rPr>
        <w:tab/>
      </w:r>
      <w:r>
        <w:rPr>
          <w:rFonts w:hint="eastAsia"/>
          <w:sz w:val="24"/>
          <w:szCs w:val="24"/>
          <w:lang w:val="en-US" w:eastAsia="zh-CN"/>
        </w:rPr>
        <w:t>19</w:t>
      </w:r>
    </w:p>
    <w:p w14:paraId="77813FB4">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七、一般公共预算财政拨款支出决算明细表</w:t>
      </w:r>
      <w:r>
        <w:rPr>
          <w:rFonts w:ascii="Times New Roman" w:hAnsi="Times New Roman"/>
          <w:sz w:val="24"/>
          <w:szCs w:val="24"/>
        </w:rPr>
        <w:tab/>
      </w:r>
      <w:r>
        <w:rPr>
          <w:rFonts w:hint="eastAsia"/>
          <w:sz w:val="24"/>
          <w:szCs w:val="24"/>
          <w:lang w:val="en-US" w:eastAsia="zh-CN"/>
        </w:rPr>
        <w:t>19</w:t>
      </w:r>
    </w:p>
    <w:p w14:paraId="44DE01DD">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八、一般公共预算财政拨款基本支出决算</w:t>
      </w:r>
      <w:r>
        <w:rPr>
          <w:rFonts w:hint="default" w:ascii="Times New Roman" w:hAnsi="Times New Roman" w:eastAsia="仿宋_GB2312" w:cs="Times New Roman"/>
          <w:color w:val="auto"/>
          <w:sz w:val="32"/>
          <w:szCs w:val="32"/>
          <w:highlight w:val="none"/>
          <w:lang w:eastAsia="zh-CN"/>
        </w:rPr>
        <w:t>明细</w:t>
      </w:r>
      <w:r>
        <w:rPr>
          <w:rFonts w:hint="default" w:ascii="Times New Roman" w:hAnsi="Times New Roman" w:eastAsia="仿宋_GB2312" w:cs="Times New Roman"/>
          <w:color w:val="auto"/>
          <w:sz w:val="32"/>
          <w:szCs w:val="32"/>
          <w:highlight w:val="none"/>
        </w:rPr>
        <w:t>表</w:t>
      </w:r>
      <w:r>
        <w:rPr>
          <w:rFonts w:ascii="Times New Roman" w:hAnsi="Times New Roman"/>
          <w:sz w:val="24"/>
          <w:szCs w:val="24"/>
        </w:rPr>
        <w:tab/>
      </w:r>
      <w:r>
        <w:rPr>
          <w:rFonts w:hint="eastAsia"/>
          <w:sz w:val="24"/>
          <w:szCs w:val="24"/>
          <w:lang w:val="en-US" w:eastAsia="zh-CN"/>
        </w:rPr>
        <w:t>19</w:t>
      </w:r>
    </w:p>
    <w:p w14:paraId="1B5F2F0A">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九、一般公共预算财政拨款项目支出决算表</w:t>
      </w:r>
      <w:r>
        <w:rPr>
          <w:rFonts w:ascii="Times New Roman" w:hAnsi="Times New Roman"/>
          <w:sz w:val="24"/>
          <w:szCs w:val="24"/>
        </w:rPr>
        <w:tab/>
      </w:r>
      <w:r>
        <w:rPr>
          <w:rFonts w:hint="eastAsia"/>
          <w:sz w:val="24"/>
          <w:szCs w:val="24"/>
          <w:lang w:val="en-US" w:eastAsia="zh-CN"/>
        </w:rPr>
        <w:t>19</w:t>
      </w:r>
    </w:p>
    <w:p w14:paraId="6EBA679F">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十、政府性基金预算财政拨款收入支出决算表</w:t>
      </w:r>
      <w:r>
        <w:rPr>
          <w:rFonts w:ascii="Times New Roman" w:hAnsi="Times New Roman"/>
          <w:sz w:val="24"/>
          <w:szCs w:val="24"/>
        </w:rPr>
        <w:tab/>
      </w:r>
      <w:r>
        <w:rPr>
          <w:rFonts w:hint="eastAsia"/>
          <w:sz w:val="24"/>
          <w:szCs w:val="24"/>
          <w:lang w:val="en-US" w:eastAsia="zh-CN"/>
        </w:rPr>
        <w:t>19</w:t>
      </w:r>
    </w:p>
    <w:p w14:paraId="512032A5">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十一、国有资本经营预算财政拨款收入支出决算表</w:t>
      </w:r>
      <w:r>
        <w:rPr>
          <w:rFonts w:ascii="Times New Roman" w:hAnsi="Times New Roman"/>
          <w:sz w:val="24"/>
          <w:szCs w:val="24"/>
        </w:rPr>
        <w:tab/>
      </w:r>
      <w:r>
        <w:rPr>
          <w:rFonts w:hint="eastAsia"/>
          <w:sz w:val="24"/>
          <w:szCs w:val="24"/>
          <w:lang w:val="en-US" w:eastAsia="zh-CN"/>
        </w:rPr>
        <w:t>19</w:t>
      </w:r>
    </w:p>
    <w:p w14:paraId="089FA9B7">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十二、</w:t>
      </w:r>
      <w:r>
        <w:rPr>
          <w:rFonts w:hint="default" w:ascii="Times New Roman" w:hAnsi="Times New Roman" w:eastAsia="仿宋_GB2312" w:cs="Times New Roman"/>
          <w:color w:val="auto"/>
          <w:sz w:val="32"/>
          <w:szCs w:val="32"/>
          <w:highlight w:val="none"/>
          <w:lang w:val="en-US" w:eastAsia="zh-CN"/>
        </w:rPr>
        <w:t>国有资本经营预算财政拨款支出决算表</w:t>
      </w:r>
      <w:r>
        <w:rPr>
          <w:rFonts w:ascii="Times New Roman" w:hAnsi="Times New Roman"/>
          <w:sz w:val="24"/>
          <w:szCs w:val="24"/>
        </w:rPr>
        <w:tab/>
      </w:r>
      <w:r>
        <w:rPr>
          <w:rFonts w:hint="eastAsia"/>
          <w:sz w:val="24"/>
          <w:szCs w:val="24"/>
          <w:lang w:val="en-US" w:eastAsia="zh-CN"/>
        </w:rPr>
        <w:t>19</w:t>
      </w:r>
    </w:p>
    <w:p w14:paraId="75533BBA">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十三、财政拨款“三公”经费支出决算表</w:t>
      </w:r>
      <w:r>
        <w:rPr>
          <w:rFonts w:ascii="Times New Roman" w:hAnsi="Times New Roman"/>
          <w:sz w:val="24"/>
          <w:szCs w:val="24"/>
        </w:rPr>
        <w:tab/>
      </w:r>
      <w:r>
        <w:rPr>
          <w:rFonts w:hint="eastAsia"/>
          <w:sz w:val="24"/>
          <w:szCs w:val="24"/>
          <w:lang w:val="en-US" w:eastAsia="zh-CN"/>
        </w:rPr>
        <w:t>19</w:t>
      </w:r>
    </w:p>
    <w:p w14:paraId="75C5C9BF">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_GB2312" w:cs="Times New Roman"/>
          <w:bCs/>
          <w:color w:val="auto"/>
          <w:kern w:val="44"/>
          <w:sz w:val="32"/>
          <w:szCs w:val="32"/>
          <w:highlight w:val="none"/>
        </w:rPr>
      </w:pPr>
      <w:bookmarkStart w:id="12" w:name="_Toc15396599"/>
      <w:bookmarkStart w:id="13" w:name="_Toc15377196"/>
      <w:r>
        <w:rPr>
          <w:rFonts w:hint="default" w:ascii="Times New Roman" w:hAnsi="Times New Roman" w:eastAsia="仿宋_GB2312" w:cs="Times New Roman"/>
          <w:b/>
          <w:color w:val="auto"/>
          <w:sz w:val="32"/>
          <w:szCs w:val="32"/>
          <w:highlight w:val="none"/>
        </w:rPr>
        <w:br w:type="page"/>
      </w:r>
    </w:p>
    <w:p w14:paraId="737AE0CB">
      <w:pPr>
        <w:pStyle w:val="4"/>
        <w:jc w:val="center"/>
        <w:rPr>
          <w:rStyle w:val="28"/>
          <w:rFonts w:hint="default" w:ascii="Times New Roman" w:hAnsi="Times New Roman" w:eastAsia="方正小标宋简体" w:cs="Times New Roman"/>
          <w:b/>
          <w:bCs w:val="0"/>
          <w:color w:val="auto"/>
          <w:highlight w:val="none"/>
        </w:rPr>
      </w:pPr>
      <w:r>
        <w:rPr>
          <w:rFonts w:hint="default" w:ascii="Times New Roman" w:hAnsi="Times New Roman" w:eastAsia="方正小标宋简体" w:cs="Times New Roman"/>
          <w:b w:val="0"/>
          <w:color w:val="auto"/>
          <w:highlight w:val="none"/>
        </w:rPr>
        <w:t>第一部分</w:t>
      </w:r>
      <w:r>
        <w:rPr>
          <w:rFonts w:hint="default" w:ascii="Times New Roman" w:hAnsi="Times New Roman" w:eastAsia="方正小标宋简体" w:cs="Times New Roman"/>
          <w:b w:val="0"/>
          <w:color w:val="auto"/>
          <w:highlight w:val="none"/>
          <w:lang w:val="en-US" w:eastAsia="zh-CN"/>
        </w:rPr>
        <w:t xml:space="preserve"> </w:t>
      </w:r>
      <w:r>
        <w:rPr>
          <w:rFonts w:hint="default" w:ascii="Times New Roman" w:hAnsi="Times New Roman" w:eastAsia="方正小标宋简体" w:cs="Times New Roman"/>
          <w:b w:val="0"/>
          <w:color w:val="auto"/>
          <w:highlight w:val="none"/>
        </w:rPr>
        <w:t xml:space="preserve"> </w:t>
      </w:r>
      <w:r>
        <w:rPr>
          <w:rStyle w:val="28"/>
          <w:rFonts w:hint="default" w:ascii="Times New Roman" w:hAnsi="Times New Roman" w:eastAsia="方正小标宋简体" w:cs="Times New Roman"/>
          <w:b w:val="0"/>
          <w:bCs w:val="0"/>
          <w:color w:val="auto"/>
          <w:highlight w:val="none"/>
          <w:lang w:eastAsia="zh-CN"/>
        </w:rPr>
        <w:t>单位</w:t>
      </w:r>
      <w:r>
        <w:rPr>
          <w:rStyle w:val="28"/>
          <w:rFonts w:hint="default" w:ascii="Times New Roman" w:hAnsi="Times New Roman" w:eastAsia="方正小标宋简体" w:cs="Times New Roman"/>
          <w:b w:val="0"/>
          <w:bCs w:val="0"/>
          <w:color w:val="auto"/>
          <w:highlight w:val="none"/>
        </w:rPr>
        <w:t>概况</w:t>
      </w:r>
      <w:bookmarkEnd w:id="12"/>
      <w:bookmarkEnd w:id="13"/>
    </w:p>
    <w:p w14:paraId="6AD402BF">
      <w:pPr>
        <w:pStyle w:val="5"/>
        <w:numPr>
          <w:ilvl w:val="0"/>
          <w:numId w:val="1"/>
        </w:numPr>
        <w:outlineLvl w:val="0"/>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单位职责</w:t>
      </w:r>
    </w:p>
    <w:p w14:paraId="00EA0402">
      <w:pPr>
        <w:spacing w:line="600" w:lineRule="exact"/>
        <w:ind w:firstLine="640" w:firstLineChars="200"/>
        <w:rPr>
          <w:rFonts w:hint="default" w:ascii="Times New Roman" w:hAnsi="Times New Roman" w:cs="Times New Roman"/>
        </w:rPr>
      </w:pPr>
      <w:r>
        <w:rPr>
          <w:rFonts w:hint="default" w:ascii="Times New Roman" w:hAnsi="Times New Roman" w:eastAsia="仿宋" w:cs="Times New Roman"/>
          <w:sz w:val="32"/>
          <w:szCs w:val="32"/>
        </w:rPr>
        <w:t>攀枝花市土地储备中心是由中共攀枝花市委机构编制委员会批准设立（攀编发〔2006〕5号），为攀枝花市国土资源局所属公益一类事业单位。主要职责：（1）根据土地利用总体规划和城市规划以及市场需求情况，草拟土地储备年度计划。（2）对拟收购土地进行市场调查分析，拟制土地收购方案。（3）拟定储备土地开发整理方案，组织工程招投标和工程进度，质量监督。（4）按规定管理依法收回的违法用地、闲置荒芜土地、无主地和置换土地，并纳入储备土地范围，并对储备土地进行管理。（5）对城市建成区内成片旧城改造块进行开发、加工整理。（6）严格执行土地收购储备资金管理规定，多渠道筹措土地收购储备资金。（7）协助规划部门做好储备土地规划方案的优化，拟制储备土地营销方案，做好储备土地招商引资和投入市场的前期准备工作。（8）完成上级部门交办的其他工作。主管部门：攀枝花市自然资源和规划局。</w:t>
      </w:r>
    </w:p>
    <w:p w14:paraId="2EB7D7C1">
      <w:pPr>
        <w:pStyle w:val="5"/>
        <w:outlineLvl w:val="0"/>
        <w:rPr>
          <w:rStyle w:val="29"/>
          <w:rFonts w:hint="default" w:ascii="Times New Roman" w:hAnsi="Times New Roman" w:cs="Times New Roman"/>
          <w:b w:val="0"/>
          <w:bCs w:val="0"/>
          <w:color w:val="auto"/>
          <w:highlight w:val="none"/>
        </w:rPr>
      </w:pPr>
      <w:bookmarkStart w:id="14" w:name="_Toc15377200"/>
      <w:bookmarkStart w:id="15" w:name="_Toc15396601"/>
      <w:r>
        <w:rPr>
          <w:rFonts w:hint="default" w:ascii="Times New Roman" w:hAnsi="Times New Roman" w:eastAsia="黑体" w:cs="Times New Roman"/>
          <w:b w:val="0"/>
          <w:color w:val="auto"/>
          <w:highlight w:val="none"/>
        </w:rPr>
        <w:t>二、机</w:t>
      </w:r>
      <w:r>
        <w:rPr>
          <w:rStyle w:val="29"/>
          <w:rFonts w:hint="default" w:ascii="Times New Roman" w:hAnsi="Times New Roman" w:eastAsia="黑体" w:cs="Times New Roman"/>
          <w:b w:val="0"/>
          <w:bCs w:val="0"/>
          <w:color w:val="auto"/>
          <w:highlight w:val="none"/>
        </w:rPr>
        <w:t>构设置</w:t>
      </w:r>
      <w:bookmarkEnd w:id="14"/>
      <w:bookmarkEnd w:id="15"/>
    </w:p>
    <w:p w14:paraId="000CB4D8">
      <w:pPr>
        <w:ind w:firstLine="800" w:firstLineChars="25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攀枝花市土地储备中心</w:t>
      </w:r>
      <w:r>
        <w:rPr>
          <w:rFonts w:hint="default" w:ascii="Times New Roman" w:hAnsi="Times New Roman" w:eastAsia="仿宋" w:cs="Times New Roman"/>
          <w:sz w:val="32"/>
          <w:szCs w:val="32"/>
        </w:rPr>
        <w:t>根据工作需要及单位实际情况共设置5个科室，分别为办公室、储备科、统征科、工程科、资金科。</w:t>
      </w:r>
      <w:r>
        <w:rPr>
          <w:rFonts w:hint="default" w:ascii="Times New Roman" w:hAnsi="Times New Roman" w:eastAsia="仿宋_GB2312" w:cs="Times New Roman"/>
          <w:color w:val="auto"/>
          <w:sz w:val="32"/>
          <w:szCs w:val="32"/>
          <w:highlight w:val="none"/>
        </w:rPr>
        <w:t>下属二级</w:t>
      </w:r>
      <w:r>
        <w:rPr>
          <w:rFonts w:hint="default" w:ascii="Times New Roman" w:hAnsi="Times New Roman" w:eastAsia="仿宋_GB2312" w:cs="Times New Roman"/>
          <w:color w:val="auto"/>
          <w:sz w:val="32"/>
          <w:szCs w:val="32"/>
          <w:highlight w:val="none"/>
          <w:lang w:eastAsia="zh-CN"/>
        </w:rPr>
        <w:t>预算</w:t>
      </w:r>
      <w:r>
        <w:rPr>
          <w:rFonts w:hint="default" w:ascii="Times New Roman" w:hAnsi="Times New Roman" w:eastAsia="仿宋_GB2312" w:cs="Times New Roman"/>
          <w:color w:val="auto"/>
          <w:sz w:val="32"/>
          <w:szCs w:val="32"/>
          <w:highlight w:val="none"/>
        </w:rPr>
        <w:t>单位</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个。</w:t>
      </w:r>
    </w:p>
    <w:p w14:paraId="50E618C4">
      <w:pPr>
        <w:pStyle w:val="4"/>
        <w:jc w:val="center"/>
        <w:rPr>
          <w:rFonts w:hint="default" w:ascii="Times New Roman" w:hAnsi="Times New Roman" w:eastAsia="方正小标宋简体" w:cs="Times New Roman"/>
          <w:b w:val="0"/>
          <w:color w:val="auto"/>
          <w:highlight w:val="none"/>
        </w:rPr>
      </w:pPr>
      <w:bookmarkStart w:id="16" w:name="_Toc15377204"/>
      <w:bookmarkStart w:id="17" w:name="_Toc15396602"/>
      <w:r>
        <w:rPr>
          <w:rFonts w:hint="default" w:ascii="Times New Roman" w:hAnsi="Times New Roman" w:eastAsia="方正小标宋简体" w:cs="Times New Roman"/>
          <w:b w:val="0"/>
          <w:color w:val="auto"/>
          <w:highlight w:val="none"/>
        </w:rPr>
        <w:t>第二部分</w:t>
      </w:r>
      <w:r>
        <w:rPr>
          <w:rFonts w:hint="default" w:ascii="Times New Roman" w:hAnsi="Times New Roman" w:eastAsia="方正小标宋简体" w:cs="Times New Roman"/>
          <w:b w:val="0"/>
          <w:color w:val="auto"/>
          <w:highlight w:val="none"/>
          <w:lang w:val="en-US" w:eastAsia="zh-CN"/>
        </w:rPr>
        <w:t xml:space="preserve"> </w:t>
      </w:r>
      <w:r>
        <w:rPr>
          <w:rFonts w:hint="default" w:ascii="Times New Roman" w:hAnsi="Times New Roman" w:eastAsia="方正小标宋简体" w:cs="Times New Roman"/>
          <w:b w:val="0"/>
          <w:color w:val="auto"/>
          <w:highlight w:val="none"/>
        </w:rPr>
        <w:t xml:space="preserve"> </w:t>
      </w:r>
      <w:r>
        <w:rPr>
          <w:rFonts w:hint="default" w:ascii="Times New Roman" w:hAnsi="Times New Roman" w:eastAsia="方正小标宋简体" w:cs="Times New Roman"/>
          <w:b w:val="0"/>
          <w:color w:val="auto"/>
          <w:highlight w:val="none"/>
          <w:lang w:val="en-US" w:eastAsia="zh-CN"/>
        </w:rPr>
        <w:t>2024年度</w:t>
      </w:r>
      <w:r>
        <w:rPr>
          <w:rFonts w:hint="default" w:ascii="Times New Roman" w:hAnsi="Times New Roman" w:eastAsia="方正小标宋简体" w:cs="Times New Roman"/>
          <w:b w:val="0"/>
          <w:color w:val="auto"/>
          <w:highlight w:val="none"/>
          <w:lang w:eastAsia="zh-CN"/>
        </w:rPr>
        <w:t>单位</w:t>
      </w:r>
      <w:r>
        <w:rPr>
          <w:rFonts w:hint="default" w:ascii="Times New Roman" w:hAnsi="Times New Roman" w:eastAsia="方正小标宋简体" w:cs="Times New Roman"/>
          <w:b w:val="0"/>
          <w:color w:val="auto"/>
          <w:highlight w:val="none"/>
        </w:rPr>
        <w:t>决算情况说明</w:t>
      </w:r>
      <w:bookmarkEnd w:id="16"/>
      <w:bookmarkEnd w:id="17"/>
    </w:p>
    <w:p w14:paraId="76742EC6">
      <w:pPr>
        <w:rPr>
          <w:rFonts w:hint="default" w:ascii="Times New Roman" w:hAnsi="Times New Roman" w:cs="Times New Roman"/>
          <w:color w:val="auto"/>
          <w:highlight w:val="none"/>
        </w:rPr>
      </w:pPr>
    </w:p>
    <w:p w14:paraId="1C63FA73">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0"/>
        <w:rPr>
          <w:rStyle w:val="29"/>
          <w:rFonts w:hint="default" w:ascii="Times New Roman" w:hAnsi="Times New Roman" w:eastAsia="黑体" w:cs="Times New Roman"/>
          <w:b w:val="0"/>
          <w:color w:val="auto"/>
          <w:highlight w:val="none"/>
        </w:rPr>
      </w:pPr>
      <w:bookmarkStart w:id="18" w:name="_Toc15396603"/>
      <w:bookmarkStart w:id="19" w:name="_Toc15377205"/>
      <w:r>
        <w:rPr>
          <w:rFonts w:hint="default"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收</w:t>
      </w:r>
      <w:r>
        <w:rPr>
          <w:rStyle w:val="29"/>
          <w:rFonts w:hint="default" w:ascii="Times New Roman" w:hAnsi="Times New Roman" w:eastAsia="黑体" w:cs="Times New Roman"/>
          <w:b w:val="0"/>
          <w:color w:val="auto"/>
          <w:highlight w:val="none"/>
        </w:rPr>
        <w:t>入支出决算总体情况说明</w:t>
      </w:r>
      <w:bookmarkEnd w:id="18"/>
      <w:bookmarkEnd w:id="19"/>
    </w:p>
    <w:p w14:paraId="04C399FB">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2024年度收入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总计</w:t>
      </w:r>
      <w:r>
        <w:rPr>
          <w:rFonts w:hint="default" w:ascii="Times New Roman" w:hAnsi="Times New Roman" w:eastAsia="仿宋_GB2312" w:cs="Times New Roman"/>
          <w:color w:val="auto"/>
          <w:sz w:val="32"/>
          <w:szCs w:val="32"/>
          <w:highlight w:val="none"/>
          <w:lang w:eastAsia="zh-CN"/>
        </w:rPr>
        <w:t>均为</w:t>
      </w:r>
      <w:r>
        <w:rPr>
          <w:rFonts w:hint="default" w:ascii="Times New Roman" w:hAnsi="Times New Roman" w:eastAsia="仿宋_GB2312" w:cs="Times New Roman"/>
          <w:sz w:val="32"/>
          <w:szCs w:val="32"/>
        </w:rPr>
        <w:t>28332.99</w:t>
      </w:r>
      <w:r>
        <w:rPr>
          <w:rFonts w:hint="default" w:ascii="Times New Roman" w:hAnsi="Times New Roman" w:eastAsia="仿宋_GB2312" w:cs="Times New Roman"/>
          <w:color w:val="auto"/>
          <w:sz w:val="32"/>
          <w:szCs w:val="32"/>
          <w:highlight w:val="none"/>
        </w:rPr>
        <w:t>万元。与</w:t>
      </w:r>
      <w:r>
        <w:rPr>
          <w:rFonts w:hint="default" w:ascii="Times New Roman" w:hAnsi="Times New Roman" w:eastAsia="仿宋_GB2312" w:cs="Times New Roman"/>
          <w:color w:val="auto"/>
          <w:sz w:val="32"/>
          <w:szCs w:val="32"/>
          <w:highlight w:val="none"/>
          <w:lang w:eastAsia="zh-CN"/>
        </w:rPr>
        <w:t>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相比，</w:t>
      </w:r>
      <w:r>
        <w:rPr>
          <w:rFonts w:hint="default" w:ascii="Times New Roman" w:hAnsi="Times New Roman" w:eastAsia="仿宋_GB2312" w:cs="Times New Roman"/>
          <w:color w:val="auto"/>
          <w:sz w:val="32"/>
          <w:szCs w:val="32"/>
          <w:highlight w:val="none"/>
          <w:lang w:eastAsia="zh-CN"/>
        </w:rPr>
        <w:t>收入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总计各增加</w:t>
      </w:r>
      <w:r>
        <w:rPr>
          <w:rFonts w:hint="default" w:ascii="Times New Roman" w:hAnsi="Times New Roman" w:eastAsia="仿宋_GB2312" w:cs="Times New Roman"/>
          <w:color w:val="auto"/>
          <w:sz w:val="32"/>
          <w:szCs w:val="32"/>
          <w:highlight w:val="none"/>
          <w:lang w:val="en-US" w:eastAsia="zh-CN"/>
        </w:rPr>
        <w:t>51.21</w:t>
      </w:r>
      <w:r>
        <w:rPr>
          <w:rFonts w:hint="default" w:ascii="Times New Roman" w:hAnsi="Times New Roman" w:eastAsia="仿宋_GB2312" w:cs="Times New Roman"/>
          <w:color w:val="auto"/>
          <w:sz w:val="32"/>
          <w:szCs w:val="32"/>
          <w:highlight w:val="none"/>
        </w:rPr>
        <w:t>万元，增长</w:t>
      </w:r>
      <w:r>
        <w:rPr>
          <w:rFonts w:hint="default" w:ascii="Times New Roman" w:hAnsi="Times New Roman" w:eastAsia="仿宋_GB2312" w:cs="Times New Roman"/>
          <w:color w:val="auto"/>
          <w:sz w:val="32"/>
          <w:szCs w:val="32"/>
          <w:highlight w:val="none"/>
          <w:lang w:val="en-US" w:eastAsia="zh-CN"/>
        </w:rPr>
        <w:t>0.18</w:t>
      </w:r>
      <w:r>
        <w:rPr>
          <w:rFonts w:hint="default" w:ascii="Times New Roman" w:hAnsi="Times New Roman" w:eastAsia="仿宋_GB2312" w:cs="Times New Roman"/>
          <w:color w:val="auto"/>
          <w:sz w:val="32"/>
          <w:szCs w:val="32"/>
          <w:highlight w:val="none"/>
        </w:rPr>
        <w:t>%。主要变动原因是</w:t>
      </w:r>
      <w:r>
        <w:rPr>
          <w:rFonts w:hint="default" w:ascii="Times New Roman" w:hAnsi="Times New Roman" w:eastAsia="仿宋" w:cs="Times New Roman"/>
          <w:color w:val="000000"/>
          <w:sz w:val="32"/>
          <w:szCs w:val="32"/>
        </w:rPr>
        <w:t>财政拨款收入增加</w:t>
      </w:r>
      <w:r>
        <w:rPr>
          <w:rFonts w:hint="default" w:ascii="Times New Roman" w:hAnsi="Times New Roman" w:eastAsia="仿宋" w:cs="Times New Roman"/>
          <w:color w:val="000000"/>
          <w:sz w:val="32"/>
          <w:szCs w:val="32"/>
          <w:lang w:eastAsia="zh-CN"/>
        </w:rPr>
        <w:t>。</w:t>
      </w:r>
    </w:p>
    <w:p w14:paraId="3A7B70AC">
      <w:pPr>
        <w:pStyle w:val="2"/>
        <w:spacing w:before="93"/>
        <w:jc w:val="center"/>
        <w:rPr>
          <w:rFonts w:hint="default" w:ascii="Times New Roman" w:hAnsi="Times New Roman" w:eastAsia="仿宋" w:cs="Times New Roman"/>
          <w:color w:val="000000"/>
          <w:sz w:val="32"/>
          <w:szCs w:val="32"/>
        </w:rPr>
      </w:pPr>
      <w:r>
        <w:rPr>
          <w:rFonts w:hint="default" w:ascii="Times New Roman" w:hAnsi="Times New Roman" w:cs="Times New Roman"/>
          <w:sz w:val="32"/>
        </w:rPr>
        <mc:AlternateContent>
          <mc:Choice Requires="wps">
            <w:drawing>
              <wp:anchor distT="0" distB="0" distL="114300" distR="114300" simplePos="0" relativeHeight="251662336" behindDoc="0" locked="0" layoutInCell="1" allowOverlap="1">
                <wp:simplePos x="0" y="0"/>
                <wp:positionH relativeFrom="column">
                  <wp:posOffset>3528695</wp:posOffset>
                </wp:positionH>
                <wp:positionV relativeFrom="paragraph">
                  <wp:posOffset>3722370</wp:posOffset>
                </wp:positionV>
                <wp:extent cx="475615" cy="290195"/>
                <wp:effectExtent l="4445" t="4445" r="15240" b="10160"/>
                <wp:wrapNone/>
                <wp:docPr id="3" name="文本框 3"/>
                <wp:cNvGraphicFramePr/>
                <a:graphic xmlns:a="http://schemas.openxmlformats.org/drawingml/2006/main">
                  <a:graphicData uri="http://schemas.microsoft.com/office/word/2010/wordprocessingShape">
                    <wps:wsp>
                      <wps:cNvSpPr txBox="1"/>
                      <wps:spPr>
                        <a:xfrm>
                          <a:off x="0" y="0"/>
                          <a:ext cx="475615" cy="29019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23509420">
                            <w:pPr>
                              <w:rPr>
                                <w:sz w:val="18"/>
                                <w:szCs w:val="18"/>
                              </w:rPr>
                            </w:pPr>
                            <w:r>
                              <w:rPr>
                                <w:rFonts w:hint="eastAsia"/>
                                <w:sz w:val="18"/>
                                <w:szCs w:val="18"/>
                              </w:rPr>
                              <w:t>支出</w:t>
                            </w:r>
                          </w:p>
                        </w:txbxContent>
                      </wps:txbx>
                      <wps:bodyPr upright="1"/>
                    </wps:wsp>
                  </a:graphicData>
                </a:graphic>
              </wp:anchor>
            </w:drawing>
          </mc:Choice>
          <mc:Fallback>
            <w:pict>
              <v:shape id="_x0000_s1026" o:spid="_x0000_s1026" o:spt="202" type="#_x0000_t202" style="position:absolute;left:0pt;margin-left:277.85pt;margin-top:293.1pt;height:22.85pt;width:37.45pt;z-index:251662336;mso-width-relative:page;mso-height-relative:page;" fillcolor="#FFFFFF" filled="t" stroked="t" coordsize="21600,21600" o:gfxdata="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axqol2AAAAAsBAAAPAAAAAAAAAAEAIAAAACIAAABk&#10;cnMvZG93bnJldi54bWxQSwECFAAUAAAACACHTuJAB3UYvQYCAAA1BAAADgAAAAAAAAABACAAAAAn&#10;AQAAZHJzL2Uyb0RvYy54bWxQSwUGAAAAAAYABgBZAQAAnwUAAAAA&#10;">
                <v:fill on="t" focussize="0,0"/>
                <v:stroke color="#FFFFFF" joinstyle="miter"/>
                <v:imagedata o:title=""/>
                <o:lock v:ext="edit" aspectratio="f"/>
                <v:textbox>
                  <w:txbxContent>
                    <w:p w14:paraId="23509420">
                      <w:pPr>
                        <w:rPr>
                          <w:sz w:val="18"/>
                          <w:szCs w:val="18"/>
                        </w:rPr>
                      </w:pPr>
                      <w:r>
                        <w:rPr>
                          <w:rFonts w:hint="eastAsia"/>
                          <w:sz w:val="18"/>
                          <w:szCs w:val="18"/>
                        </w:rPr>
                        <w:t>支出</w:t>
                      </w:r>
                    </w:p>
                  </w:txbxContent>
                </v:textbox>
              </v:shape>
            </w:pict>
          </mc:Fallback>
        </mc:AlternateContent>
      </w:r>
      <w:r>
        <w:rPr>
          <w:rFonts w:hint="default" w:ascii="Times New Roman" w:hAnsi="Times New Roman" w:cs="Times New Roman"/>
          <w:sz w:val="32"/>
        </w:rPr>
        <mc:AlternateContent>
          <mc:Choice Requires="wps">
            <w:drawing>
              <wp:anchor distT="0" distB="0" distL="114300" distR="114300" simplePos="0" relativeHeight="251661312" behindDoc="0" locked="0" layoutInCell="1" allowOverlap="1">
                <wp:simplePos x="0" y="0"/>
                <wp:positionH relativeFrom="column">
                  <wp:posOffset>1684655</wp:posOffset>
                </wp:positionH>
                <wp:positionV relativeFrom="paragraph">
                  <wp:posOffset>3722370</wp:posOffset>
                </wp:positionV>
                <wp:extent cx="475615" cy="290195"/>
                <wp:effectExtent l="4445" t="4445" r="15240" b="10160"/>
                <wp:wrapNone/>
                <wp:docPr id="2" name="文本框 2"/>
                <wp:cNvGraphicFramePr/>
                <a:graphic xmlns:a="http://schemas.openxmlformats.org/drawingml/2006/main">
                  <a:graphicData uri="http://schemas.microsoft.com/office/word/2010/wordprocessingShape">
                    <wps:wsp>
                      <wps:cNvSpPr txBox="1"/>
                      <wps:spPr>
                        <a:xfrm>
                          <a:off x="0" y="0"/>
                          <a:ext cx="475615" cy="29019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2F434821">
                            <w:pPr>
                              <w:rPr>
                                <w:sz w:val="18"/>
                                <w:szCs w:val="18"/>
                              </w:rPr>
                            </w:pPr>
                            <w:r>
                              <w:rPr>
                                <w:rFonts w:hint="eastAsia"/>
                                <w:sz w:val="18"/>
                                <w:szCs w:val="18"/>
                              </w:rPr>
                              <w:t>收入</w:t>
                            </w:r>
                          </w:p>
                        </w:txbxContent>
                      </wps:txbx>
                      <wps:bodyPr upright="1"/>
                    </wps:wsp>
                  </a:graphicData>
                </a:graphic>
              </wp:anchor>
            </w:drawing>
          </mc:Choice>
          <mc:Fallback>
            <w:pict>
              <v:shape id="_x0000_s1026" o:spid="_x0000_s1026" o:spt="202" type="#_x0000_t202" style="position:absolute;left:0pt;margin-left:132.65pt;margin-top:293.1pt;height:22.85pt;width:37.45pt;z-index:251661312;mso-width-relative:page;mso-height-relative:page;" fillcolor="#FFFFFF" filled="t" stroked="t" coordsize="21600,21600" o:gfxdata="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RTMjb2QAAAAsBAAAPAAAAAAAAAAEAIAAAACIAAABk&#10;cnMvZG93bnJldi54bWxQSwECFAAUAAAACACHTuJArvyAIwUCAAA1BAAADgAAAAAAAAABACAAAAAo&#10;AQAAZHJzL2Uyb0RvYy54bWxQSwUGAAAAAAYABgBZAQAAnwUAAAAA&#10;">
                <v:fill on="t" focussize="0,0"/>
                <v:stroke color="#FFFFFF" joinstyle="miter"/>
                <v:imagedata o:title=""/>
                <o:lock v:ext="edit" aspectratio="f"/>
                <v:textbox>
                  <w:txbxContent>
                    <w:p w14:paraId="2F434821">
                      <w:pPr>
                        <w:rPr>
                          <w:sz w:val="18"/>
                          <w:szCs w:val="18"/>
                        </w:rPr>
                      </w:pPr>
                      <w:r>
                        <w:rPr>
                          <w:rFonts w:hint="eastAsia"/>
                          <w:sz w:val="18"/>
                          <w:szCs w:val="18"/>
                        </w:rPr>
                        <w:t>收入</w:t>
                      </w:r>
                    </w:p>
                  </w:txbxContent>
                </v:textbox>
              </v:shape>
            </w:pict>
          </mc:Fallback>
        </mc:AlternateContent>
      </w:r>
      <w:r>
        <w:rPr>
          <w:rFonts w:hint="default" w:ascii="Times New Roman" w:hAnsi="Times New Roman" w:eastAsia="仿宋" w:cs="Times New Roman"/>
          <w:color w:val="000000"/>
          <w:sz w:val="32"/>
          <w:szCs w:val="32"/>
        </w:rPr>
        <w:drawing>
          <wp:inline distT="0" distB="0" distL="114300" distR="114300">
            <wp:extent cx="4133215" cy="3942715"/>
            <wp:effectExtent l="5080" t="4445" r="14605" b="1524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2B778A2">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color w:val="auto"/>
          <w:sz w:val="32"/>
          <w:szCs w:val="32"/>
          <w:highlight w:val="none"/>
          <w:lang w:eastAsia="zh-CN"/>
        </w:rPr>
      </w:pPr>
    </w:p>
    <w:p w14:paraId="154B637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（图1：</w:t>
      </w:r>
      <w:r>
        <w:rPr>
          <w:rFonts w:hint="default" w:ascii="Times New Roman" w:hAnsi="Times New Roman" w:eastAsia="仿宋_GB2312" w:cs="Times New Roman"/>
          <w:color w:val="auto"/>
          <w:sz w:val="32"/>
          <w:szCs w:val="32"/>
          <w:highlight w:val="none"/>
          <w:lang w:eastAsia="zh-CN"/>
        </w:rPr>
        <w:t>收入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决算总计变动情况图）</w:t>
      </w:r>
    </w:p>
    <w:p w14:paraId="2744028B">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0"/>
        <w:rPr>
          <w:rFonts w:hint="default" w:ascii="Times New Roman" w:hAnsi="Times New Roman" w:eastAsia="黑体" w:cs="Times New Roman"/>
          <w:color w:val="auto"/>
          <w:sz w:val="32"/>
          <w:szCs w:val="32"/>
          <w:highlight w:val="none"/>
          <w:lang w:eastAsia="zh-CN"/>
        </w:rPr>
      </w:pPr>
      <w:bookmarkStart w:id="20" w:name="_Toc15396604"/>
      <w:bookmarkStart w:id="21" w:name="_Toc15377206"/>
      <w:r>
        <w:rPr>
          <w:rFonts w:hint="default" w:ascii="Times New Roman" w:hAnsi="Times New Roman" w:eastAsia="黑体" w:cs="Times New Roman"/>
          <w:color w:val="auto"/>
          <w:sz w:val="32"/>
          <w:szCs w:val="32"/>
          <w:highlight w:val="none"/>
          <w:lang w:eastAsia="zh-CN"/>
        </w:rPr>
        <w:t>二、收入决算情况说明</w:t>
      </w:r>
      <w:bookmarkEnd w:id="20"/>
      <w:bookmarkEnd w:id="21"/>
    </w:p>
    <w:p w14:paraId="04E9BB60">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2024年度本年收入合计</w:t>
      </w:r>
      <w:r>
        <w:rPr>
          <w:rFonts w:hint="default" w:ascii="Times New Roman" w:hAnsi="Times New Roman" w:eastAsia="仿宋_GB2312" w:cs="Times New Roman"/>
          <w:sz w:val="32"/>
          <w:szCs w:val="32"/>
        </w:rPr>
        <w:t>442.39万元，其中：一般公共预算财政拨款收入427.16</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96.55</w:t>
      </w:r>
      <w:r>
        <w:rPr>
          <w:rFonts w:hint="default" w:ascii="Times New Roman" w:hAnsi="Times New Roman" w:eastAsia="仿宋_GB2312" w:cs="Times New Roman"/>
          <w:color w:val="auto"/>
          <w:sz w:val="32"/>
          <w:szCs w:val="32"/>
          <w:highlight w:val="none"/>
          <w:lang w:eastAsia="zh-CN"/>
        </w:rPr>
        <w:t>%；政府性基金预算财政拨款收入</w:t>
      </w:r>
      <w:r>
        <w:rPr>
          <w:rFonts w:hint="default" w:ascii="Times New Roman" w:hAnsi="Times New Roman" w:eastAsia="仿宋_GB2312" w:cs="Times New Roman"/>
          <w:sz w:val="32"/>
          <w:szCs w:val="32"/>
        </w:rPr>
        <w:t>15.23</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3.44%</w:t>
      </w:r>
      <w:r>
        <w:rPr>
          <w:rFonts w:hint="default" w:ascii="Times New Roman" w:hAnsi="Times New Roman" w:eastAsia="仿宋_GB2312" w:cs="Times New Roman"/>
          <w:color w:val="auto"/>
          <w:sz w:val="32"/>
          <w:szCs w:val="32"/>
          <w:highlight w:val="none"/>
          <w:lang w:eastAsia="zh-CN"/>
        </w:rPr>
        <w:t>%；国有资本经营预算财政拨款收入</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%；上级补助收入</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%；事业收入</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%；经营收入</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%；附属单位上缴收入</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%；其他收入</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w:t>
      </w:r>
    </w:p>
    <w:p w14:paraId="729165EE">
      <w:pPr>
        <w:pStyle w:val="2"/>
        <w:spacing w:before="93"/>
        <w:jc w:val="center"/>
        <w:rPr>
          <w:rFonts w:hint="default" w:ascii="Times New Roman" w:hAnsi="Times New Roman" w:cs="Times New Roman"/>
        </w:rPr>
      </w:pPr>
      <w:r>
        <w:rPr>
          <w:rFonts w:hint="default" w:ascii="Times New Roman" w:hAnsi="Times New Roman" w:eastAsia="仿宋" w:cs="Times New Roman"/>
          <w:color w:val="000000"/>
          <w:sz w:val="32"/>
          <w:szCs w:val="32"/>
        </w:rPr>
        <w:drawing>
          <wp:inline distT="0" distB="0" distL="114300" distR="114300">
            <wp:extent cx="4527550" cy="3159125"/>
            <wp:effectExtent l="4445" t="4445" r="20955" b="1778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51F5F8D">
      <w:pPr>
        <w:jc w:val="center"/>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（图2：收入决算结构图）</w:t>
      </w:r>
    </w:p>
    <w:p w14:paraId="17C6ABD3">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0"/>
        <w:rPr>
          <w:rStyle w:val="29"/>
          <w:rFonts w:hint="default" w:ascii="Times New Roman" w:hAnsi="Times New Roman" w:eastAsia="黑体" w:cs="Times New Roman"/>
          <w:b w:val="0"/>
          <w:color w:val="auto"/>
          <w:highlight w:val="none"/>
        </w:rPr>
      </w:pPr>
      <w:bookmarkStart w:id="22" w:name="_Toc15377207"/>
      <w:bookmarkStart w:id="23" w:name="_Toc15396605"/>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支</w:t>
      </w:r>
      <w:r>
        <w:rPr>
          <w:rStyle w:val="29"/>
          <w:rFonts w:hint="default" w:ascii="Times New Roman" w:hAnsi="Times New Roman" w:eastAsia="黑体" w:cs="Times New Roman"/>
          <w:b w:val="0"/>
          <w:color w:val="auto"/>
          <w:highlight w:val="none"/>
        </w:rPr>
        <w:t>出决算情况说明</w:t>
      </w:r>
      <w:bookmarkEnd w:id="22"/>
      <w:bookmarkEnd w:id="23"/>
    </w:p>
    <w:p w14:paraId="0858D17C">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2024年度本年支出合计</w:t>
      </w:r>
      <w:r>
        <w:rPr>
          <w:rFonts w:hint="default" w:ascii="Times New Roman" w:hAnsi="Times New Roman" w:eastAsia="仿宋_GB2312" w:cs="Times New Roman"/>
          <w:sz w:val="32"/>
          <w:szCs w:val="32"/>
        </w:rPr>
        <w:t>442.39</w:t>
      </w:r>
      <w:r>
        <w:rPr>
          <w:rFonts w:hint="default" w:ascii="Times New Roman" w:hAnsi="Times New Roman" w:eastAsia="仿宋_GB2312" w:cs="Times New Roman"/>
          <w:color w:val="auto"/>
          <w:sz w:val="32"/>
          <w:szCs w:val="32"/>
          <w:highlight w:val="none"/>
          <w:lang w:eastAsia="zh-CN"/>
        </w:rPr>
        <w:t>万元，其中：基本支出</w:t>
      </w:r>
      <w:r>
        <w:rPr>
          <w:rFonts w:hint="default" w:ascii="Times New Roman" w:hAnsi="Times New Roman" w:eastAsia="仿宋_GB2312" w:cs="Times New Roman"/>
          <w:sz w:val="32"/>
          <w:szCs w:val="32"/>
        </w:rPr>
        <w:t>288.83</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65.28</w:t>
      </w:r>
      <w:r>
        <w:rPr>
          <w:rFonts w:hint="default" w:ascii="Times New Roman" w:hAnsi="Times New Roman" w:eastAsia="仿宋_GB2312" w:cs="Times New Roman"/>
          <w:color w:val="auto"/>
          <w:sz w:val="32"/>
          <w:szCs w:val="32"/>
          <w:highlight w:val="none"/>
          <w:lang w:eastAsia="zh-CN"/>
        </w:rPr>
        <w:t>%；项目支出</w:t>
      </w:r>
      <w:r>
        <w:rPr>
          <w:rFonts w:hint="default" w:ascii="Times New Roman" w:hAnsi="Times New Roman" w:eastAsia="仿宋_GB2312" w:cs="Times New Roman"/>
          <w:sz w:val="32"/>
          <w:szCs w:val="32"/>
        </w:rPr>
        <w:t>153.56</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34.71</w:t>
      </w:r>
      <w:r>
        <w:rPr>
          <w:rFonts w:hint="default" w:ascii="Times New Roman" w:hAnsi="Times New Roman" w:eastAsia="仿宋_GB2312" w:cs="Times New Roman"/>
          <w:color w:val="auto"/>
          <w:sz w:val="32"/>
          <w:szCs w:val="32"/>
          <w:highlight w:val="none"/>
          <w:lang w:eastAsia="zh-CN"/>
        </w:rPr>
        <w:t>%；上缴上级支出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%；经营支出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%；对附属单位补助支出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w:t>
      </w:r>
    </w:p>
    <w:p w14:paraId="7B4DE213">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default" w:ascii="Times New Roman" w:hAnsi="Times New Roman" w:eastAsia="仿宋_GB2312" w:cs="Times New Roman"/>
          <w:color w:val="auto"/>
          <w:sz w:val="32"/>
          <w:szCs w:val="32"/>
          <w:highlight w:val="none"/>
          <w:lang w:eastAsia="zh-CN"/>
        </w:rPr>
      </w:pPr>
    </w:p>
    <w:p w14:paraId="4488DA8B">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 w:cs="Times New Roman"/>
          <w:sz w:val="32"/>
          <w:szCs w:val="32"/>
        </w:rPr>
        <w:drawing>
          <wp:anchor distT="0" distB="0" distL="114300" distR="114300" simplePos="0" relativeHeight="251660288" behindDoc="0" locked="0" layoutInCell="1" allowOverlap="1">
            <wp:simplePos x="0" y="0"/>
            <wp:positionH relativeFrom="column">
              <wp:posOffset>700405</wp:posOffset>
            </wp:positionH>
            <wp:positionV relativeFrom="paragraph">
              <wp:posOffset>83820</wp:posOffset>
            </wp:positionV>
            <wp:extent cx="3778885" cy="2766060"/>
            <wp:effectExtent l="4445" t="4445" r="7620" b="1079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default" w:ascii="Times New Roman" w:hAnsi="Times New Roman" w:eastAsia="仿宋_GB2312" w:cs="Times New Roman"/>
          <w:color w:val="auto"/>
          <w:sz w:val="32"/>
          <w:szCs w:val="32"/>
          <w:highlight w:val="none"/>
          <w:lang w:val="en-US" w:eastAsia="zh-CN"/>
        </w:rPr>
        <w:t xml:space="preserve">  </w:t>
      </w:r>
    </w:p>
    <w:p w14:paraId="68611394">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default" w:ascii="Times New Roman" w:hAnsi="Times New Roman" w:eastAsia="仿宋_GB2312" w:cs="Times New Roman"/>
          <w:color w:val="auto"/>
          <w:sz w:val="32"/>
          <w:szCs w:val="32"/>
          <w:highlight w:val="none"/>
          <w:lang w:eastAsia="zh-CN"/>
        </w:rPr>
      </w:pPr>
    </w:p>
    <w:p w14:paraId="122D6187">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default" w:ascii="Times New Roman" w:hAnsi="Times New Roman" w:eastAsia="仿宋_GB2312" w:cs="Times New Roman"/>
          <w:color w:val="auto"/>
          <w:sz w:val="32"/>
          <w:szCs w:val="32"/>
          <w:highlight w:val="none"/>
          <w:lang w:eastAsia="zh-CN"/>
        </w:rPr>
      </w:pPr>
    </w:p>
    <w:p w14:paraId="7F8EDC59">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default" w:ascii="Times New Roman" w:hAnsi="Times New Roman" w:eastAsia="仿宋_GB2312" w:cs="Times New Roman"/>
          <w:color w:val="auto"/>
          <w:sz w:val="32"/>
          <w:szCs w:val="32"/>
          <w:highlight w:val="none"/>
          <w:lang w:eastAsia="zh-CN"/>
        </w:rPr>
      </w:pPr>
    </w:p>
    <w:p w14:paraId="12888D9B">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default" w:ascii="Times New Roman" w:hAnsi="Times New Roman" w:eastAsia="仿宋_GB2312" w:cs="Times New Roman"/>
          <w:color w:val="auto"/>
          <w:sz w:val="32"/>
          <w:szCs w:val="32"/>
          <w:highlight w:val="none"/>
          <w:lang w:eastAsia="zh-CN"/>
        </w:rPr>
      </w:pPr>
    </w:p>
    <w:p w14:paraId="727C863F">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default" w:ascii="Times New Roman" w:hAnsi="Times New Roman" w:eastAsia="仿宋_GB2312" w:cs="Times New Roman"/>
          <w:color w:val="auto"/>
          <w:sz w:val="32"/>
          <w:szCs w:val="32"/>
          <w:highlight w:val="none"/>
          <w:lang w:eastAsia="zh-CN"/>
        </w:rPr>
      </w:pPr>
    </w:p>
    <w:p w14:paraId="1E0AD11B">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default" w:ascii="Times New Roman" w:hAnsi="Times New Roman" w:eastAsia="仿宋_GB2312" w:cs="Times New Roman"/>
          <w:color w:val="auto"/>
          <w:sz w:val="32"/>
          <w:szCs w:val="32"/>
          <w:highlight w:val="none"/>
          <w:lang w:eastAsia="zh-CN"/>
        </w:rPr>
      </w:pPr>
    </w:p>
    <w:p w14:paraId="5CD22238">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default" w:ascii="Times New Roman" w:hAnsi="Times New Roman" w:eastAsia="仿宋_GB2312" w:cs="Times New Roman"/>
          <w:color w:val="auto"/>
          <w:sz w:val="32"/>
          <w:szCs w:val="32"/>
          <w:highlight w:val="none"/>
          <w:lang w:eastAsia="zh-CN"/>
        </w:rPr>
      </w:pPr>
    </w:p>
    <w:p w14:paraId="7397FBBB">
      <w:pPr>
        <w:jc w:val="center"/>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（图3：支出决算结构图）</w:t>
      </w:r>
    </w:p>
    <w:p w14:paraId="2EDF2502">
      <w:pPr>
        <w:spacing w:line="600" w:lineRule="exact"/>
        <w:ind w:firstLine="640" w:firstLineChars="200"/>
        <w:outlineLvl w:val="0"/>
        <w:rPr>
          <w:rStyle w:val="29"/>
          <w:rFonts w:hint="default" w:ascii="Times New Roman" w:hAnsi="Times New Roman" w:eastAsia="黑体" w:cs="Times New Roman"/>
          <w:b w:val="0"/>
          <w:color w:val="auto"/>
          <w:highlight w:val="none"/>
        </w:rPr>
      </w:pPr>
      <w:bookmarkStart w:id="24" w:name="_Toc15377208"/>
      <w:bookmarkStart w:id="25" w:name="_Toc15396606"/>
      <w:r>
        <w:rPr>
          <w:rFonts w:hint="default" w:ascii="Times New Roman" w:hAnsi="Times New Roman" w:eastAsia="黑体" w:cs="Times New Roman"/>
          <w:color w:val="auto"/>
          <w:sz w:val="32"/>
          <w:szCs w:val="32"/>
          <w:highlight w:val="none"/>
        </w:rPr>
        <w:t>四、财</w:t>
      </w:r>
      <w:r>
        <w:rPr>
          <w:rStyle w:val="29"/>
          <w:rFonts w:hint="default" w:ascii="Times New Roman" w:hAnsi="Times New Roman" w:eastAsia="黑体" w:cs="Times New Roman"/>
          <w:b w:val="0"/>
          <w:color w:val="auto"/>
          <w:highlight w:val="none"/>
        </w:rPr>
        <w:t>政拨款收入支出决算总体情况说明</w:t>
      </w:r>
      <w:bookmarkEnd w:id="24"/>
      <w:bookmarkEnd w:id="25"/>
    </w:p>
    <w:p w14:paraId="4A146AD4">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2024年度财政拨款收入、支出总计均为</w:t>
      </w:r>
      <w:r>
        <w:rPr>
          <w:rFonts w:hint="default" w:ascii="Times New Roman" w:hAnsi="Times New Roman" w:eastAsia="仿宋_GB2312" w:cs="Times New Roman"/>
          <w:sz w:val="32"/>
          <w:szCs w:val="32"/>
        </w:rPr>
        <w:t>442.39</w:t>
      </w:r>
      <w:r>
        <w:rPr>
          <w:rFonts w:hint="default" w:ascii="Times New Roman" w:hAnsi="Times New Roman" w:eastAsia="仿宋_GB2312" w:cs="Times New Roman"/>
          <w:color w:val="auto"/>
          <w:kern w:val="2"/>
          <w:sz w:val="32"/>
          <w:szCs w:val="32"/>
          <w:highlight w:val="none"/>
          <w:lang w:val="en-US" w:eastAsia="zh-CN" w:bidi="ar-SA"/>
        </w:rPr>
        <w:t>万元。与2023年度相比，财政拨款收入总计、支出总计各增加51.21万元，增长13.09%。主要变动原因是</w:t>
      </w:r>
      <w:r>
        <w:rPr>
          <w:rFonts w:hint="default" w:ascii="Times New Roman" w:hAnsi="Times New Roman" w:eastAsia="仿宋" w:cs="Times New Roman"/>
          <w:color w:val="000000"/>
          <w:sz w:val="32"/>
          <w:szCs w:val="32"/>
        </w:rPr>
        <w:t>财政拨款收入增加。</w:t>
      </w:r>
    </w:p>
    <w:p w14:paraId="4B617BBD">
      <w:pPr>
        <w:pStyle w:val="19"/>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cs="Times New Roman"/>
          <w:sz w:val="32"/>
        </w:rPr>
        <mc:AlternateContent>
          <mc:Choice Requires="wps">
            <w:drawing>
              <wp:anchor distT="0" distB="0" distL="114300" distR="114300" simplePos="0" relativeHeight="251665408" behindDoc="0" locked="0" layoutInCell="1" allowOverlap="1">
                <wp:simplePos x="0" y="0"/>
                <wp:positionH relativeFrom="column">
                  <wp:posOffset>4447540</wp:posOffset>
                </wp:positionH>
                <wp:positionV relativeFrom="paragraph">
                  <wp:posOffset>8965565</wp:posOffset>
                </wp:positionV>
                <wp:extent cx="475615" cy="290195"/>
                <wp:effectExtent l="4445" t="4445" r="15240" b="10160"/>
                <wp:wrapNone/>
                <wp:docPr id="11" name="文本框 11"/>
                <wp:cNvGraphicFramePr/>
                <a:graphic xmlns:a="http://schemas.openxmlformats.org/drawingml/2006/main">
                  <a:graphicData uri="http://schemas.microsoft.com/office/word/2010/wordprocessingShape">
                    <wps:wsp>
                      <wps:cNvSpPr txBox="1"/>
                      <wps:spPr>
                        <a:xfrm>
                          <a:off x="0" y="0"/>
                          <a:ext cx="475615" cy="29019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7BE425FD">
                            <w:pPr>
                              <w:rPr>
                                <w:sz w:val="18"/>
                                <w:szCs w:val="18"/>
                              </w:rPr>
                            </w:pPr>
                            <w:r>
                              <w:rPr>
                                <w:rFonts w:hint="eastAsia"/>
                                <w:sz w:val="18"/>
                                <w:szCs w:val="18"/>
                              </w:rPr>
                              <w:t>支出</w:t>
                            </w:r>
                          </w:p>
                        </w:txbxContent>
                      </wps:txbx>
                      <wps:bodyPr upright="1"/>
                    </wps:wsp>
                  </a:graphicData>
                </a:graphic>
              </wp:anchor>
            </w:drawing>
          </mc:Choice>
          <mc:Fallback>
            <w:pict>
              <v:shape id="_x0000_s1026" o:spid="_x0000_s1026" o:spt="202" type="#_x0000_t202" style="position:absolute;left:0pt;margin-left:350.2pt;margin-top:705.95pt;height:22.85pt;width:37.45pt;z-index:251665408;mso-width-relative:page;mso-height-relative:page;" fillcolor="#FFFFFF" filled="t" stroked="t" coordsize="21600,21600" o:gfxdata="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OjAl9oAAAANAQAADwAAAAAAAAABACAAAAAiAAAA&#10;ZHJzL2Rvd25yZXYueG1sUEsBAhQAFAAAAAgAh07iQOnSZaMFAgAANwQAAA4AAAAAAAAAAQAgAAAA&#10;KQEAAGRycy9lMm9Eb2MueG1sUEsFBgAAAAAGAAYAWQEAAKAFAAAAAA==&#10;">
                <v:fill on="t" focussize="0,0"/>
                <v:stroke color="#FFFFFF" joinstyle="miter"/>
                <v:imagedata o:title=""/>
                <o:lock v:ext="edit" aspectratio="f"/>
                <v:textbox>
                  <w:txbxContent>
                    <w:p w14:paraId="7BE425FD">
                      <w:pPr>
                        <w:rPr>
                          <w:sz w:val="18"/>
                          <w:szCs w:val="18"/>
                        </w:rPr>
                      </w:pPr>
                      <w:r>
                        <w:rPr>
                          <w:rFonts w:hint="eastAsia"/>
                          <w:sz w:val="18"/>
                          <w:szCs w:val="18"/>
                        </w:rPr>
                        <w:t>支出</w:t>
                      </w:r>
                    </w:p>
                  </w:txbxContent>
                </v:textbox>
              </v:shape>
            </w:pict>
          </mc:Fallback>
        </mc:AlternateContent>
      </w:r>
      <w:r>
        <w:rPr>
          <w:rFonts w:hint="default" w:ascii="Times New Roman" w:hAnsi="Times New Roman" w:eastAsia="仿宋" w:cs="Times New Roman"/>
          <w:b/>
          <w:color w:val="FF0000"/>
          <w:sz w:val="32"/>
          <w:szCs w:val="32"/>
        </w:rPr>
        <w:drawing>
          <wp:anchor distT="0" distB="0" distL="114300" distR="114300" simplePos="0" relativeHeight="251663360" behindDoc="0" locked="0" layoutInCell="1" allowOverlap="1">
            <wp:simplePos x="0" y="0"/>
            <wp:positionH relativeFrom="column">
              <wp:posOffset>536575</wp:posOffset>
            </wp:positionH>
            <wp:positionV relativeFrom="page">
              <wp:posOffset>6053455</wp:posOffset>
            </wp:positionV>
            <wp:extent cx="4156710" cy="3387725"/>
            <wp:effectExtent l="4445" t="4445" r="10795" b="17780"/>
            <wp:wrapSquare wrapText="bothSides"/>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30B9B45F">
      <w:pPr>
        <w:rPr>
          <w:rFonts w:hint="default" w:ascii="Times New Roman" w:hAnsi="Times New Roman" w:eastAsia="仿宋_GB2312" w:cs="Times New Roman"/>
          <w:color w:val="auto"/>
          <w:kern w:val="2"/>
          <w:sz w:val="32"/>
          <w:szCs w:val="32"/>
          <w:highlight w:val="none"/>
          <w:lang w:val="en-US" w:eastAsia="zh-CN" w:bidi="ar-SA"/>
        </w:rPr>
      </w:pPr>
    </w:p>
    <w:p w14:paraId="0B5DD86A">
      <w:pPr>
        <w:pStyle w:val="19"/>
        <w:outlineLvl w:val="9"/>
        <w:rPr>
          <w:rFonts w:hint="default" w:ascii="Times New Roman" w:hAnsi="Times New Roman" w:eastAsia="仿宋_GB2312" w:cs="Times New Roman"/>
          <w:color w:val="auto"/>
          <w:kern w:val="2"/>
          <w:sz w:val="32"/>
          <w:szCs w:val="32"/>
          <w:highlight w:val="none"/>
          <w:lang w:val="en-US" w:eastAsia="zh-CN" w:bidi="ar-SA"/>
        </w:rPr>
      </w:pPr>
    </w:p>
    <w:p w14:paraId="49AEA934">
      <w:pPr>
        <w:rPr>
          <w:rFonts w:hint="default" w:ascii="Times New Roman" w:hAnsi="Times New Roman" w:eastAsia="仿宋_GB2312" w:cs="Times New Roman"/>
          <w:color w:val="auto"/>
          <w:kern w:val="2"/>
          <w:sz w:val="32"/>
          <w:szCs w:val="32"/>
          <w:highlight w:val="none"/>
          <w:lang w:val="en-US" w:eastAsia="zh-CN" w:bidi="ar-SA"/>
        </w:rPr>
      </w:pPr>
    </w:p>
    <w:p w14:paraId="48ACFD8C">
      <w:pPr>
        <w:pStyle w:val="19"/>
        <w:outlineLvl w:val="9"/>
        <w:rPr>
          <w:rFonts w:hint="default" w:ascii="Times New Roman" w:hAnsi="Times New Roman" w:cs="Times New Roman"/>
          <w:lang w:val="en-US" w:eastAsia="zh-CN"/>
        </w:rPr>
      </w:pPr>
    </w:p>
    <w:p w14:paraId="1671376C">
      <w:pPr>
        <w:spacing w:line="600" w:lineRule="exact"/>
        <w:jc w:val="center"/>
        <w:rPr>
          <w:rFonts w:hint="default" w:ascii="Times New Roman" w:hAnsi="Times New Roman" w:eastAsia="仿宋_GB2312" w:cs="Times New Roman"/>
          <w:color w:val="auto"/>
          <w:kern w:val="2"/>
          <w:sz w:val="32"/>
          <w:szCs w:val="32"/>
          <w:highlight w:val="none"/>
          <w:lang w:val="en-US" w:eastAsia="zh-CN" w:bidi="ar-SA"/>
        </w:rPr>
      </w:pPr>
    </w:p>
    <w:p w14:paraId="3EEC2981">
      <w:pPr>
        <w:spacing w:line="600" w:lineRule="exact"/>
        <w:jc w:val="center"/>
        <w:rPr>
          <w:rFonts w:hint="default" w:ascii="Times New Roman" w:hAnsi="Times New Roman" w:eastAsia="仿宋_GB2312" w:cs="Times New Roman"/>
          <w:color w:val="auto"/>
          <w:kern w:val="2"/>
          <w:sz w:val="32"/>
          <w:szCs w:val="32"/>
          <w:highlight w:val="none"/>
          <w:lang w:val="en-US" w:eastAsia="zh-CN" w:bidi="ar-SA"/>
        </w:rPr>
      </w:pPr>
    </w:p>
    <w:p w14:paraId="2FC2286A">
      <w:pPr>
        <w:spacing w:line="600" w:lineRule="exact"/>
        <w:jc w:val="center"/>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（图4：财政拨款收、支决算总计变动情况）</w:t>
      </w:r>
    </w:p>
    <w:p w14:paraId="2E220157">
      <w:pPr>
        <w:spacing w:line="600" w:lineRule="exact"/>
        <w:ind w:firstLine="640" w:firstLineChars="200"/>
        <w:outlineLvl w:val="0"/>
        <w:rPr>
          <w:rStyle w:val="29"/>
          <w:rFonts w:hint="default" w:ascii="Times New Roman" w:hAnsi="Times New Roman" w:eastAsia="黑体" w:cs="Times New Roman"/>
          <w:b w:val="0"/>
          <w:color w:val="auto"/>
          <w:highlight w:val="none"/>
        </w:rPr>
      </w:pPr>
      <w:bookmarkStart w:id="26" w:name="_Toc15396607"/>
      <w:bookmarkStart w:id="27" w:name="_Toc15377209"/>
      <w:r>
        <w:rPr>
          <w:rFonts w:hint="default" w:ascii="Times New Roman" w:hAnsi="Times New Roman" w:eastAsia="黑体" w:cs="Times New Roman"/>
          <w:color w:val="auto"/>
          <w:sz w:val="32"/>
          <w:szCs w:val="32"/>
          <w:highlight w:val="none"/>
        </w:rPr>
        <w:t>五、</w:t>
      </w:r>
      <w:r>
        <w:rPr>
          <w:rFonts w:hint="default" w:ascii="Times New Roman" w:hAnsi="Times New Roman" w:eastAsia="黑体" w:cs="Times New Roman"/>
          <w:b/>
          <w:color w:val="auto"/>
          <w:sz w:val="32"/>
          <w:szCs w:val="32"/>
          <w:highlight w:val="none"/>
        </w:rPr>
        <w:t>一</w:t>
      </w:r>
      <w:r>
        <w:rPr>
          <w:rStyle w:val="29"/>
          <w:rFonts w:hint="default" w:ascii="Times New Roman" w:hAnsi="Times New Roman" w:eastAsia="黑体" w:cs="Times New Roman"/>
          <w:b w:val="0"/>
          <w:color w:val="auto"/>
          <w:highlight w:val="none"/>
        </w:rPr>
        <w:t>般公共预算财政拨款支出决算情况说明</w:t>
      </w:r>
      <w:bookmarkEnd w:id="26"/>
      <w:bookmarkEnd w:id="27"/>
    </w:p>
    <w:p w14:paraId="4B659212">
      <w:pPr>
        <w:spacing w:line="600" w:lineRule="exact"/>
        <w:ind w:firstLine="643" w:firstLineChars="200"/>
        <w:outlineLvl w:val="1"/>
        <w:rPr>
          <w:rFonts w:hint="default" w:ascii="Times New Roman" w:hAnsi="Times New Roman" w:eastAsia="楷体_GB2312" w:cs="Times New Roman"/>
          <w:b/>
          <w:color w:val="auto"/>
          <w:sz w:val="32"/>
          <w:szCs w:val="32"/>
          <w:highlight w:val="none"/>
        </w:rPr>
      </w:pPr>
      <w:bookmarkStart w:id="28" w:name="_Toc15377210"/>
      <w:r>
        <w:rPr>
          <w:rFonts w:hint="default" w:ascii="Times New Roman" w:hAnsi="Times New Roman" w:eastAsia="楷体_GB2312" w:cs="Times New Roman"/>
          <w:b/>
          <w:color w:val="auto"/>
          <w:sz w:val="32"/>
          <w:szCs w:val="32"/>
          <w:highlight w:val="none"/>
        </w:rPr>
        <w:t>（一）一般公共预算财政拨款支出决算总体情况</w:t>
      </w:r>
      <w:bookmarkEnd w:id="28"/>
    </w:p>
    <w:p w14:paraId="3ABBDFF4">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w:t>
      </w:r>
      <w:r>
        <w:rPr>
          <w:rFonts w:hint="default" w:ascii="Times New Roman" w:hAnsi="Times New Roman" w:eastAsia="仿宋_GB2312" w:cs="Times New Roman"/>
          <w:sz w:val="32"/>
          <w:szCs w:val="32"/>
        </w:rPr>
        <w:t>427.16</w:t>
      </w:r>
      <w:r>
        <w:rPr>
          <w:rFonts w:hint="default" w:ascii="Times New Roman" w:hAnsi="Times New Roman" w:eastAsia="仿宋_GB2312" w:cs="Times New Roman"/>
          <w:color w:val="auto"/>
          <w:kern w:val="2"/>
          <w:sz w:val="32"/>
          <w:szCs w:val="32"/>
          <w:highlight w:val="none"/>
          <w:lang w:val="en-US" w:eastAsia="zh-CN" w:bidi="ar-SA"/>
        </w:rPr>
        <w:t>万元，占本年支出合计的</w:t>
      </w:r>
      <w:r>
        <w:rPr>
          <w:rFonts w:hint="default" w:ascii="Times New Roman" w:hAnsi="Times New Roman" w:eastAsia="仿宋_GB2312" w:cs="Times New Roman"/>
          <w:sz w:val="32"/>
          <w:szCs w:val="32"/>
        </w:rPr>
        <w:t>96.55</w:t>
      </w:r>
      <w:r>
        <w:rPr>
          <w:rFonts w:hint="default" w:ascii="Times New Roman" w:hAnsi="Times New Roman" w:eastAsia="仿宋_GB2312" w:cs="Times New Roman"/>
          <w:color w:val="auto"/>
          <w:kern w:val="2"/>
          <w:sz w:val="32"/>
          <w:szCs w:val="32"/>
          <w:highlight w:val="none"/>
          <w:lang w:val="en-US" w:eastAsia="zh-CN" w:bidi="ar-SA"/>
        </w:rPr>
        <w:t>%。与2023年度相比，一般公共预算财政拨款支出增加43.59万元，增长11.36%。主要变动原因是</w:t>
      </w:r>
      <w:r>
        <w:rPr>
          <w:rFonts w:hint="default" w:ascii="Times New Roman" w:hAnsi="Times New Roman" w:eastAsia="仿宋" w:cs="Times New Roman"/>
          <w:color w:val="000000"/>
          <w:sz w:val="32"/>
          <w:szCs w:val="32"/>
        </w:rPr>
        <w:t>财政拨款收入增加。</w:t>
      </w:r>
    </w:p>
    <w:p w14:paraId="3D0C019C">
      <w:pPr>
        <w:spacing w:line="600" w:lineRule="exact"/>
        <w:jc w:val="center"/>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drawing>
          <wp:anchor distT="0" distB="0" distL="114300" distR="114300" simplePos="0" relativeHeight="251664384" behindDoc="0" locked="0" layoutInCell="1" allowOverlap="1">
            <wp:simplePos x="0" y="0"/>
            <wp:positionH relativeFrom="column">
              <wp:posOffset>812165</wp:posOffset>
            </wp:positionH>
            <wp:positionV relativeFrom="paragraph">
              <wp:posOffset>245745</wp:posOffset>
            </wp:positionV>
            <wp:extent cx="3699510" cy="2872740"/>
            <wp:effectExtent l="4445" t="4445" r="10795" b="18415"/>
            <wp:wrapTopAndBottom/>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hint="default" w:ascii="Times New Roman" w:hAnsi="Times New Roman" w:eastAsia="仿宋_GB2312" w:cs="Times New Roman"/>
          <w:color w:val="auto"/>
          <w:kern w:val="2"/>
          <w:sz w:val="32"/>
          <w:szCs w:val="32"/>
          <w:highlight w:val="none"/>
          <w:lang w:val="en-US" w:eastAsia="zh-CN" w:bidi="ar-SA"/>
        </w:rPr>
        <w:t>（图5：一般公共预算财政拨款支出决算变动情况）</w:t>
      </w:r>
      <w:bookmarkStart w:id="29" w:name="_Toc15377211"/>
    </w:p>
    <w:p w14:paraId="4C7359E3">
      <w:pPr>
        <w:spacing w:line="600" w:lineRule="exact"/>
        <w:ind w:firstLine="643" w:firstLineChars="200"/>
        <w:outlineLvl w:val="1"/>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（二）一般公共预算财政拨款支出决算结构情况</w:t>
      </w:r>
      <w:bookmarkEnd w:id="29"/>
    </w:p>
    <w:p w14:paraId="0BDB2EF1">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427.16万元，主要用于以下方面：社会保障和就业（类）支出49.28万元，占16.41%；卫生健康支出（类）支出17.91万元，占4.19%；城乡社区支出（类）支出89.52万元，占20.96%；自然资源海洋气象等支出（类）支出248.55万元，占58.19%；住房保障支出（类）支出21.9万元，占5.13%。</w:t>
      </w:r>
    </w:p>
    <w:p w14:paraId="63D6E735">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 w:cs="Times New Roman"/>
          <w:sz w:val="32"/>
          <w:szCs w:val="32"/>
        </w:rPr>
        <w:drawing>
          <wp:anchor distT="0" distB="0" distL="114300" distR="114300" simplePos="0" relativeHeight="251666432" behindDoc="0" locked="0" layoutInCell="1" allowOverlap="1">
            <wp:simplePos x="0" y="0"/>
            <wp:positionH relativeFrom="column">
              <wp:posOffset>494030</wp:posOffset>
            </wp:positionH>
            <wp:positionV relativeFrom="paragraph">
              <wp:posOffset>360680</wp:posOffset>
            </wp:positionV>
            <wp:extent cx="4050030" cy="3265805"/>
            <wp:effectExtent l="4445" t="4445" r="22225" b="6350"/>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hint="default" w:ascii="Times New Roman" w:hAnsi="Times New Roman" w:eastAsia="仿宋_GB2312" w:cs="Times New Roman"/>
          <w:color w:val="auto"/>
          <w:kern w:val="2"/>
          <w:sz w:val="32"/>
          <w:szCs w:val="32"/>
          <w:highlight w:val="none"/>
          <w:lang w:val="en-US" w:eastAsia="zh-CN" w:bidi="ar-SA"/>
        </w:rPr>
        <w:t>（图6：一般公共预算财政拨款支出决算结构）</w:t>
      </w:r>
    </w:p>
    <w:p w14:paraId="54DB343C">
      <w:pPr>
        <w:spacing w:line="600" w:lineRule="exact"/>
        <w:ind w:firstLine="643" w:firstLineChars="200"/>
        <w:outlineLvl w:val="1"/>
        <w:rPr>
          <w:rFonts w:hint="default" w:ascii="Times New Roman" w:hAnsi="Times New Roman" w:eastAsia="楷体_GB2312" w:cs="Times New Roman"/>
          <w:b/>
          <w:color w:val="auto"/>
          <w:sz w:val="32"/>
          <w:szCs w:val="32"/>
          <w:highlight w:val="none"/>
        </w:rPr>
      </w:pPr>
      <w:bookmarkStart w:id="30" w:name="_Toc15377212"/>
      <w:r>
        <w:rPr>
          <w:rFonts w:hint="default" w:ascii="Times New Roman" w:hAnsi="Times New Roman" w:eastAsia="楷体_GB2312" w:cs="Times New Roman"/>
          <w:b/>
          <w:color w:val="auto"/>
          <w:sz w:val="32"/>
          <w:szCs w:val="32"/>
          <w:highlight w:val="none"/>
        </w:rPr>
        <w:t>（三）一般公共预算财政拨款支出决算具体情况</w:t>
      </w:r>
      <w:bookmarkEnd w:id="30"/>
    </w:p>
    <w:p w14:paraId="24AA69EC">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bookmarkStart w:id="31" w:name="_Toc15378460"/>
      <w:bookmarkStart w:id="32" w:name="_Toc15377213"/>
      <w:bookmarkStart w:id="33" w:name="_Toc15377444"/>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2024年度一般公共预算财政拨款支出决算数为</w:t>
      </w:r>
      <w:r>
        <w:rPr>
          <w:rFonts w:hint="default" w:ascii="Times New Roman" w:hAnsi="Times New Roman" w:eastAsia="仿宋_GB2312" w:cs="Times New Roman"/>
          <w:sz w:val="32"/>
          <w:szCs w:val="32"/>
        </w:rPr>
        <w:t>427.16</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color w:val="auto"/>
          <w:kern w:val="2"/>
          <w:sz w:val="32"/>
          <w:szCs w:val="32"/>
          <w:highlight w:val="none"/>
          <w:lang w:val="en-US" w:eastAsia="zh-CN" w:bidi="ar-SA"/>
        </w:rPr>
        <w:t>，完成预算100%。其中：</w:t>
      </w:r>
      <w:bookmarkEnd w:id="31"/>
      <w:bookmarkEnd w:id="32"/>
      <w:bookmarkEnd w:id="33"/>
    </w:p>
    <w:p w14:paraId="7CCF0F9F">
      <w:pPr>
        <w:spacing w:line="600" w:lineRule="exact"/>
        <w:ind w:firstLine="640" w:firstLineChars="200"/>
        <w:rPr>
          <w:rStyle w:val="17"/>
          <w:rFonts w:hint="default" w:ascii="Times New Roman" w:hAnsi="Times New Roman" w:eastAsia="仿宋" w:cs="Times New Roman"/>
          <w:bCs/>
          <w:color w:val="000000"/>
          <w:sz w:val="32"/>
          <w:szCs w:val="32"/>
        </w:rPr>
      </w:pPr>
      <w:r>
        <w:rPr>
          <w:rFonts w:hint="default" w:ascii="Times New Roman" w:hAnsi="Times New Roman" w:eastAsia="仿宋_GB2312" w:cs="Times New Roman"/>
          <w:color w:val="auto"/>
          <w:kern w:val="2"/>
          <w:sz w:val="32"/>
          <w:szCs w:val="32"/>
          <w:highlight w:val="none"/>
          <w:lang w:val="en-US" w:eastAsia="zh-CN" w:bidi="ar-SA"/>
        </w:rPr>
        <w:t>1.</w:t>
      </w:r>
      <w:r>
        <w:rPr>
          <w:rStyle w:val="17"/>
          <w:rFonts w:hint="default" w:ascii="Times New Roman" w:hAnsi="Times New Roman" w:eastAsia="仿宋" w:cs="Times New Roman"/>
          <w:bCs/>
          <w:sz w:val="32"/>
          <w:szCs w:val="32"/>
        </w:rPr>
        <w:t>社会保障和就业（类）</w:t>
      </w:r>
      <w:r>
        <w:rPr>
          <w:rStyle w:val="17"/>
          <w:rFonts w:hint="default" w:ascii="Times New Roman" w:hAnsi="Times New Roman" w:eastAsia="仿宋" w:cs="Times New Roman"/>
          <w:bCs/>
          <w:color w:val="000000"/>
          <w:sz w:val="32"/>
          <w:szCs w:val="32"/>
        </w:rPr>
        <w:t>行政事业单位养老支出</w:t>
      </w:r>
      <w:r>
        <w:rPr>
          <w:rStyle w:val="17"/>
          <w:rFonts w:hint="default" w:ascii="Times New Roman" w:hAnsi="Times New Roman" w:eastAsia="仿宋" w:cs="Times New Roman"/>
          <w:bCs/>
          <w:sz w:val="32"/>
          <w:szCs w:val="32"/>
        </w:rPr>
        <w:t>（款）</w:t>
      </w:r>
      <w:r>
        <w:rPr>
          <w:rStyle w:val="17"/>
          <w:rFonts w:hint="default" w:ascii="Times New Roman" w:hAnsi="Times New Roman" w:eastAsia="仿宋" w:cs="Times New Roman"/>
          <w:bCs/>
          <w:color w:val="000000"/>
          <w:sz w:val="32"/>
          <w:szCs w:val="32"/>
        </w:rPr>
        <w:t>事业单位离退休支出</w:t>
      </w:r>
      <w:r>
        <w:rPr>
          <w:rStyle w:val="17"/>
          <w:rFonts w:hint="default" w:ascii="Times New Roman" w:hAnsi="Times New Roman" w:eastAsia="仿宋" w:cs="Times New Roman"/>
          <w:bCs/>
          <w:sz w:val="32"/>
          <w:szCs w:val="32"/>
        </w:rPr>
        <w:t>（项）：</w:t>
      </w:r>
      <w:r>
        <w:rPr>
          <w:rStyle w:val="17"/>
          <w:rFonts w:hint="default" w:ascii="Times New Roman" w:hAnsi="Times New Roman" w:eastAsia="仿宋" w:cs="Times New Roman"/>
          <w:b w:val="0"/>
          <w:bCs/>
          <w:sz w:val="32"/>
          <w:szCs w:val="32"/>
        </w:rPr>
        <w:t>支出决算为</w:t>
      </w:r>
      <w:r>
        <w:rPr>
          <w:rStyle w:val="17"/>
          <w:rFonts w:hint="default" w:ascii="Times New Roman" w:hAnsi="Times New Roman" w:eastAsia="仿宋" w:cs="Times New Roman"/>
          <w:b w:val="0"/>
          <w:bCs/>
          <w:sz w:val="32"/>
          <w:szCs w:val="32"/>
          <w:lang w:val="en-US" w:eastAsia="zh-CN"/>
        </w:rPr>
        <w:t>20.92</w:t>
      </w:r>
      <w:r>
        <w:rPr>
          <w:rStyle w:val="17"/>
          <w:rFonts w:hint="default" w:ascii="Times New Roman" w:hAnsi="Times New Roman" w:eastAsia="仿宋" w:cs="Times New Roman"/>
          <w:b w:val="0"/>
          <w:bCs/>
          <w:sz w:val="32"/>
          <w:szCs w:val="32"/>
        </w:rPr>
        <w:t>万元，完成预算100%，决算数等于预算数</w:t>
      </w:r>
      <w:r>
        <w:rPr>
          <w:rStyle w:val="17"/>
          <w:rFonts w:hint="default" w:ascii="Times New Roman" w:hAnsi="Times New Roman" w:eastAsia="仿宋" w:cs="Times New Roman"/>
          <w:b w:val="0"/>
          <w:bCs/>
          <w:color w:val="000000"/>
          <w:sz w:val="32"/>
          <w:szCs w:val="32"/>
        </w:rPr>
        <w:t>。</w:t>
      </w:r>
    </w:p>
    <w:p w14:paraId="6D23B408">
      <w:pPr>
        <w:spacing w:line="600" w:lineRule="exact"/>
        <w:ind w:firstLine="643" w:firstLineChars="200"/>
        <w:rPr>
          <w:rStyle w:val="17"/>
          <w:rFonts w:hint="default" w:ascii="Times New Roman" w:hAnsi="Times New Roman" w:eastAsia="仿宋" w:cs="Times New Roman"/>
          <w:b w:val="0"/>
          <w:bCs/>
          <w:color w:val="000000"/>
          <w:sz w:val="32"/>
          <w:szCs w:val="32"/>
        </w:rPr>
      </w:pPr>
      <w:r>
        <w:rPr>
          <w:rStyle w:val="17"/>
          <w:rFonts w:hint="default" w:ascii="Times New Roman" w:hAnsi="Times New Roman" w:eastAsia="仿宋" w:cs="Times New Roman"/>
          <w:bCs/>
          <w:sz w:val="32"/>
          <w:szCs w:val="32"/>
          <w:lang w:val="en-US" w:eastAsia="zh-CN"/>
        </w:rPr>
        <w:t>2</w:t>
      </w:r>
      <w:r>
        <w:rPr>
          <w:rStyle w:val="17"/>
          <w:rFonts w:hint="default" w:ascii="Times New Roman" w:hAnsi="Times New Roman" w:eastAsia="仿宋" w:cs="Times New Roman"/>
          <w:bCs/>
          <w:sz w:val="32"/>
          <w:szCs w:val="32"/>
        </w:rPr>
        <w:t>.社会保障和就业（类）</w:t>
      </w:r>
      <w:r>
        <w:rPr>
          <w:rStyle w:val="17"/>
          <w:rFonts w:hint="default" w:ascii="Times New Roman" w:hAnsi="Times New Roman" w:eastAsia="仿宋" w:cs="Times New Roman"/>
          <w:bCs/>
          <w:color w:val="000000"/>
          <w:sz w:val="32"/>
          <w:szCs w:val="32"/>
        </w:rPr>
        <w:t>行政事业单位养老支出</w:t>
      </w:r>
      <w:r>
        <w:rPr>
          <w:rStyle w:val="17"/>
          <w:rFonts w:hint="default" w:ascii="Times New Roman" w:hAnsi="Times New Roman" w:eastAsia="仿宋" w:cs="Times New Roman"/>
          <w:bCs/>
          <w:sz w:val="32"/>
          <w:szCs w:val="32"/>
        </w:rPr>
        <w:t>（款）</w:t>
      </w:r>
      <w:r>
        <w:rPr>
          <w:rStyle w:val="17"/>
          <w:rFonts w:hint="default" w:ascii="Times New Roman" w:hAnsi="Times New Roman" w:eastAsia="仿宋" w:cs="Times New Roman"/>
          <w:bCs/>
          <w:color w:val="000000"/>
          <w:sz w:val="32"/>
          <w:szCs w:val="32"/>
        </w:rPr>
        <w:t>机关事业单位基本养老保险缴费支出</w:t>
      </w:r>
      <w:r>
        <w:rPr>
          <w:rStyle w:val="17"/>
          <w:rFonts w:hint="default" w:ascii="Times New Roman" w:hAnsi="Times New Roman" w:eastAsia="仿宋" w:cs="Times New Roman"/>
          <w:bCs/>
          <w:sz w:val="32"/>
          <w:szCs w:val="32"/>
        </w:rPr>
        <w:t>（项）：</w:t>
      </w:r>
      <w:r>
        <w:rPr>
          <w:rStyle w:val="17"/>
          <w:rFonts w:hint="default" w:ascii="Times New Roman" w:hAnsi="Times New Roman" w:eastAsia="仿宋" w:cs="Times New Roman"/>
          <w:b w:val="0"/>
          <w:bCs/>
          <w:sz w:val="32"/>
          <w:szCs w:val="32"/>
        </w:rPr>
        <w:t>支出决算为2</w:t>
      </w:r>
      <w:r>
        <w:rPr>
          <w:rStyle w:val="17"/>
          <w:rFonts w:hint="default" w:ascii="Times New Roman" w:hAnsi="Times New Roman" w:eastAsia="仿宋" w:cs="Times New Roman"/>
          <w:b w:val="0"/>
          <w:bCs/>
          <w:sz w:val="32"/>
          <w:szCs w:val="32"/>
          <w:lang w:val="en-US" w:eastAsia="zh-CN"/>
        </w:rPr>
        <w:t>8.36</w:t>
      </w:r>
      <w:r>
        <w:rPr>
          <w:rStyle w:val="17"/>
          <w:rFonts w:hint="default" w:ascii="Times New Roman" w:hAnsi="Times New Roman" w:eastAsia="仿宋" w:cs="Times New Roman"/>
          <w:b w:val="0"/>
          <w:bCs/>
          <w:sz w:val="32"/>
          <w:szCs w:val="32"/>
        </w:rPr>
        <w:t>万元，完成预算100%，决算数等于预算数</w:t>
      </w:r>
      <w:r>
        <w:rPr>
          <w:rStyle w:val="17"/>
          <w:rFonts w:hint="default" w:ascii="Times New Roman" w:hAnsi="Times New Roman" w:eastAsia="仿宋" w:cs="Times New Roman"/>
          <w:b w:val="0"/>
          <w:bCs/>
          <w:color w:val="000000"/>
          <w:sz w:val="32"/>
          <w:szCs w:val="32"/>
        </w:rPr>
        <w:t>。</w:t>
      </w:r>
    </w:p>
    <w:p w14:paraId="354C818C">
      <w:pPr>
        <w:spacing w:line="600" w:lineRule="exact"/>
        <w:ind w:firstLine="643" w:firstLineChars="200"/>
        <w:rPr>
          <w:rStyle w:val="17"/>
          <w:rFonts w:hint="default" w:ascii="Times New Roman" w:hAnsi="Times New Roman" w:eastAsia="仿宋" w:cs="Times New Roman"/>
          <w:b w:val="0"/>
          <w:bCs/>
          <w:color w:val="000000"/>
          <w:sz w:val="32"/>
          <w:szCs w:val="32"/>
        </w:rPr>
      </w:pPr>
      <w:r>
        <w:rPr>
          <w:rStyle w:val="17"/>
          <w:rFonts w:hint="default" w:ascii="Times New Roman" w:hAnsi="Times New Roman" w:eastAsia="仿宋" w:cs="Times New Roman"/>
          <w:bCs/>
          <w:sz w:val="32"/>
          <w:szCs w:val="32"/>
          <w:lang w:val="en-US" w:eastAsia="zh-CN"/>
        </w:rPr>
        <w:t>3</w:t>
      </w:r>
      <w:r>
        <w:rPr>
          <w:rStyle w:val="17"/>
          <w:rFonts w:hint="default" w:ascii="Times New Roman" w:hAnsi="Times New Roman" w:eastAsia="仿宋" w:cs="Times New Roman"/>
          <w:bCs/>
          <w:sz w:val="32"/>
          <w:szCs w:val="32"/>
        </w:rPr>
        <w:t>.</w:t>
      </w:r>
      <w:r>
        <w:rPr>
          <w:rFonts w:hint="default" w:ascii="Times New Roman" w:hAnsi="Times New Roman" w:eastAsia="仿宋" w:cs="Times New Roman"/>
          <w:b/>
          <w:sz w:val="32"/>
          <w:szCs w:val="32"/>
        </w:rPr>
        <w:t>卫生健康支出（类）</w:t>
      </w:r>
      <w:r>
        <w:rPr>
          <w:rStyle w:val="17"/>
          <w:rFonts w:hint="default" w:ascii="Times New Roman" w:hAnsi="Times New Roman" w:eastAsia="仿宋" w:cs="Times New Roman"/>
          <w:bCs/>
          <w:color w:val="000000"/>
          <w:sz w:val="32"/>
          <w:szCs w:val="32"/>
        </w:rPr>
        <w:t>行政事业单位医疗</w:t>
      </w:r>
      <w:r>
        <w:rPr>
          <w:rStyle w:val="17"/>
          <w:rFonts w:hint="default" w:ascii="Times New Roman" w:hAnsi="Times New Roman" w:eastAsia="仿宋" w:cs="Times New Roman"/>
          <w:bCs/>
          <w:sz w:val="32"/>
          <w:szCs w:val="32"/>
        </w:rPr>
        <w:t>（款）</w:t>
      </w:r>
      <w:r>
        <w:rPr>
          <w:rStyle w:val="17"/>
          <w:rFonts w:hint="default" w:ascii="Times New Roman" w:hAnsi="Times New Roman" w:eastAsia="仿宋" w:cs="Times New Roman"/>
          <w:bCs/>
          <w:color w:val="000000"/>
          <w:sz w:val="32"/>
          <w:szCs w:val="32"/>
        </w:rPr>
        <w:t>事业单位医疗</w:t>
      </w:r>
      <w:r>
        <w:rPr>
          <w:rStyle w:val="17"/>
          <w:rFonts w:hint="default" w:ascii="Times New Roman" w:hAnsi="Times New Roman" w:eastAsia="仿宋" w:cs="Times New Roman"/>
          <w:bCs/>
          <w:sz w:val="32"/>
          <w:szCs w:val="32"/>
        </w:rPr>
        <w:t>（项）：</w:t>
      </w:r>
      <w:r>
        <w:rPr>
          <w:rStyle w:val="17"/>
          <w:rFonts w:hint="default" w:ascii="Times New Roman" w:hAnsi="Times New Roman" w:eastAsia="仿宋" w:cs="Times New Roman"/>
          <w:b w:val="0"/>
          <w:bCs/>
          <w:sz w:val="32"/>
          <w:szCs w:val="32"/>
        </w:rPr>
        <w:t>支出决算为14.</w:t>
      </w:r>
      <w:r>
        <w:rPr>
          <w:rStyle w:val="17"/>
          <w:rFonts w:hint="default" w:ascii="Times New Roman" w:hAnsi="Times New Roman" w:eastAsia="仿宋" w:cs="Times New Roman"/>
          <w:b w:val="0"/>
          <w:bCs/>
          <w:sz w:val="32"/>
          <w:szCs w:val="32"/>
          <w:lang w:val="en-US" w:eastAsia="zh-CN"/>
        </w:rPr>
        <w:t>05</w:t>
      </w:r>
      <w:r>
        <w:rPr>
          <w:rStyle w:val="17"/>
          <w:rFonts w:hint="default" w:ascii="Times New Roman" w:hAnsi="Times New Roman" w:eastAsia="仿宋" w:cs="Times New Roman"/>
          <w:b w:val="0"/>
          <w:bCs/>
          <w:sz w:val="32"/>
          <w:szCs w:val="32"/>
        </w:rPr>
        <w:t>万元，完成预算100%，决算数等于预算数</w:t>
      </w:r>
      <w:r>
        <w:rPr>
          <w:rStyle w:val="17"/>
          <w:rFonts w:hint="default" w:ascii="Times New Roman" w:hAnsi="Times New Roman" w:eastAsia="仿宋" w:cs="Times New Roman"/>
          <w:b w:val="0"/>
          <w:bCs/>
          <w:color w:val="000000"/>
          <w:sz w:val="32"/>
          <w:szCs w:val="32"/>
        </w:rPr>
        <w:t>。</w:t>
      </w:r>
    </w:p>
    <w:p w14:paraId="1D91AE27">
      <w:pPr>
        <w:spacing w:line="600" w:lineRule="exact"/>
        <w:ind w:firstLine="643" w:firstLineChars="200"/>
        <w:rPr>
          <w:rFonts w:hint="default" w:ascii="Times New Roman" w:hAnsi="Times New Roman" w:eastAsia="仿宋" w:cs="Times New Roman"/>
        </w:rPr>
      </w:pPr>
      <w:r>
        <w:rPr>
          <w:rStyle w:val="17"/>
          <w:rFonts w:hint="default" w:ascii="Times New Roman" w:hAnsi="Times New Roman" w:eastAsia="仿宋" w:cs="Times New Roman"/>
          <w:bCs/>
          <w:sz w:val="32"/>
          <w:szCs w:val="32"/>
          <w:lang w:val="en-US" w:eastAsia="zh-CN"/>
        </w:rPr>
        <w:t>4</w:t>
      </w:r>
      <w:r>
        <w:rPr>
          <w:rStyle w:val="17"/>
          <w:rFonts w:hint="default" w:ascii="Times New Roman" w:hAnsi="Times New Roman" w:eastAsia="仿宋" w:cs="Times New Roman"/>
          <w:bCs/>
          <w:sz w:val="32"/>
          <w:szCs w:val="32"/>
        </w:rPr>
        <w:t>.</w:t>
      </w:r>
      <w:r>
        <w:rPr>
          <w:rFonts w:hint="default" w:ascii="Times New Roman" w:hAnsi="Times New Roman" w:eastAsia="仿宋" w:cs="Times New Roman"/>
          <w:b/>
          <w:sz w:val="32"/>
          <w:szCs w:val="32"/>
        </w:rPr>
        <w:t>卫生健康支出（类）</w:t>
      </w:r>
      <w:r>
        <w:rPr>
          <w:rStyle w:val="17"/>
          <w:rFonts w:hint="default" w:ascii="Times New Roman" w:hAnsi="Times New Roman" w:eastAsia="仿宋" w:cs="Times New Roman"/>
          <w:bCs/>
          <w:color w:val="000000"/>
          <w:sz w:val="32"/>
          <w:szCs w:val="32"/>
        </w:rPr>
        <w:t>行政事业单位医疗</w:t>
      </w:r>
      <w:r>
        <w:rPr>
          <w:rStyle w:val="17"/>
          <w:rFonts w:hint="default" w:ascii="Times New Roman" w:hAnsi="Times New Roman" w:eastAsia="仿宋" w:cs="Times New Roman"/>
          <w:bCs/>
          <w:sz w:val="32"/>
          <w:szCs w:val="32"/>
        </w:rPr>
        <w:t>（款）</w:t>
      </w:r>
      <w:r>
        <w:rPr>
          <w:rStyle w:val="17"/>
          <w:rFonts w:hint="default" w:ascii="Times New Roman" w:hAnsi="Times New Roman" w:eastAsia="仿宋" w:cs="Times New Roman"/>
          <w:bCs/>
          <w:color w:val="000000"/>
          <w:sz w:val="32"/>
          <w:szCs w:val="32"/>
        </w:rPr>
        <w:t>公务员医疗补助</w:t>
      </w:r>
      <w:r>
        <w:rPr>
          <w:rStyle w:val="17"/>
          <w:rFonts w:hint="default" w:ascii="Times New Roman" w:hAnsi="Times New Roman" w:eastAsia="仿宋" w:cs="Times New Roman"/>
          <w:bCs/>
          <w:sz w:val="32"/>
          <w:szCs w:val="32"/>
        </w:rPr>
        <w:t>（项）：</w:t>
      </w:r>
      <w:r>
        <w:rPr>
          <w:rStyle w:val="17"/>
          <w:rFonts w:hint="default" w:ascii="Times New Roman" w:hAnsi="Times New Roman" w:eastAsia="仿宋" w:cs="Times New Roman"/>
          <w:b w:val="0"/>
          <w:bCs/>
          <w:sz w:val="32"/>
          <w:szCs w:val="32"/>
        </w:rPr>
        <w:t>支出决算为</w:t>
      </w:r>
      <w:r>
        <w:rPr>
          <w:rStyle w:val="17"/>
          <w:rFonts w:hint="default" w:ascii="Times New Roman" w:hAnsi="Times New Roman" w:eastAsia="仿宋" w:cs="Times New Roman"/>
          <w:b w:val="0"/>
          <w:bCs/>
          <w:sz w:val="32"/>
          <w:szCs w:val="32"/>
          <w:lang w:val="en-US" w:eastAsia="zh-CN"/>
        </w:rPr>
        <w:t>2.03</w:t>
      </w:r>
      <w:r>
        <w:rPr>
          <w:rStyle w:val="17"/>
          <w:rFonts w:hint="default" w:ascii="Times New Roman" w:hAnsi="Times New Roman" w:eastAsia="仿宋" w:cs="Times New Roman"/>
          <w:b w:val="0"/>
          <w:bCs/>
          <w:sz w:val="32"/>
          <w:szCs w:val="32"/>
        </w:rPr>
        <w:t>万元，完成预算100%，决算数等于预算数</w:t>
      </w:r>
      <w:r>
        <w:rPr>
          <w:rStyle w:val="17"/>
          <w:rFonts w:hint="default" w:ascii="Times New Roman" w:hAnsi="Times New Roman" w:eastAsia="仿宋" w:cs="Times New Roman"/>
          <w:b w:val="0"/>
          <w:bCs/>
          <w:color w:val="000000"/>
          <w:sz w:val="32"/>
          <w:szCs w:val="32"/>
        </w:rPr>
        <w:t>。</w:t>
      </w:r>
    </w:p>
    <w:p w14:paraId="5452FD75">
      <w:pPr>
        <w:spacing w:line="600" w:lineRule="exact"/>
        <w:ind w:firstLine="643" w:firstLineChars="200"/>
        <w:rPr>
          <w:rFonts w:hint="default" w:ascii="Times New Roman" w:hAnsi="Times New Roman" w:eastAsia="仿宋" w:cs="Times New Roman"/>
        </w:rPr>
      </w:pPr>
      <w:r>
        <w:rPr>
          <w:rStyle w:val="17"/>
          <w:rFonts w:hint="default" w:ascii="Times New Roman" w:hAnsi="Times New Roman" w:eastAsia="仿宋" w:cs="Times New Roman"/>
          <w:bCs/>
          <w:sz w:val="32"/>
          <w:szCs w:val="32"/>
          <w:lang w:val="en-US" w:eastAsia="zh-CN"/>
        </w:rPr>
        <w:t>5</w:t>
      </w:r>
      <w:r>
        <w:rPr>
          <w:rStyle w:val="17"/>
          <w:rFonts w:hint="default" w:ascii="Times New Roman" w:hAnsi="Times New Roman" w:eastAsia="仿宋" w:cs="Times New Roman"/>
          <w:bCs/>
          <w:sz w:val="32"/>
          <w:szCs w:val="32"/>
        </w:rPr>
        <w:t>.</w:t>
      </w:r>
      <w:r>
        <w:rPr>
          <w:rFonts w:hint="default" w:ascii="Times New Roman" w:hAnsi="Times New Roman" w:eastAsia="仿宋" w:cs="Times New Roman"/>
          <w:b/>
          <w:sz w:val="32"/>
          <w:szCs w:val="32"/>
        </w:rPr>
        <w:t>卫生健康支出（类）</w:t>
      </w:r>
      <w:r>
        <w:rPr>
          <w:rStyle w:val="17"/>
          <w:rFonts w:hint="default" w:ascii="Times New Roman" w:hAnsi="Times New Roman" w:eastAsia="仿宋" w:cs="Times New Roman"/>
          <w:bCs/>
          <w:color w:val="000000"/>
          <w:sz w:val="32"/>
          <w:szCs w:val="32"/>
        </w:rPr>
        <w:t>行政事业单位医疗</w:t>
      </w:r>
      <w:r>
        <w:rPr>
          <w:rStyle w:val="17"/>
          <w:rFonts w:hint="default" w:ascii="Times New Roman" w:hAnsi="Times New Roman" w:eastAsia="仿宋" w:cs="Times New Roman"/>
          <w:bCs/>
          <w:sz w:val="32"/>
          <w:szCs w:val="32"/>
        </w:rPr>
        <w:t>（款）</w:t>
      </w:r>
      <w:r>
        <w:rPr>
          <w:rStyle w:val="17"/>
          <w:rFonts w:hint="default" w:ascii="Times New Roman" w:hAnsi="Times New Roman" w:eastAsia="仿宋" w:cs="Times New Roman"/>
          <w:bCs/>
          <w:color w:val="000000"/>
          <w:sz w:val="32"/>
          <w:szCs w:val="32"/>
        </w:rPr>
        <w:t>其他行政事业单位医疗支出</w:t>
      </w:r>
      <w:r>
        <w:rPr>
          <w:rStyle w:val="17"/>
          <w:rFonts w:hint="default" w:ascii="Times New Roman" w:hAnsi="Times New Roman" w:eastAsia="仿宋" w:cs="Times New Roman"/>
          <w:bCs/>
          <w:sz w:val="32"/>
          <w:szCs w:val="32"/>
        </w:rPr>
        <w:t>（项）：</w:t>
      </w:r>
      <w:r>
        <w:rPr>
          <w:rStyle w:val="17"/>
          <w:rFonts w:hint="default" w:ascii="Times New Roman" w:hAnsi="Times New Roman" w:eastAsia="仿宋" w:cs="Times New Roman"/>
          <w:b w:val="0"/>
          <w:bCs/>
          <w:sz w:val="32"/>
          <w:szCs w:val="32"/>
        </w:rPr>
        <w:t>支出决算为</w:t>
      </w:r>
      <w:r>
        <w:rPr>
          <w:rStyle w:val="17"/>
          <w:rFonts w:hint="default" w:ascii="Times New Roman" w:hAnsi="Times New Roman" w:eastAsia="仿宋" w:cs="Times New Roman"/>
          <w:b w:val="0"/>
          <w:bCs/>
          <w:sz w:val="32"/>
          <w:szCs w:val="32"/>
          <w:lang w:val="en-US" w:eastAsia="zh-CN"/>
        </w:rPr>
        <w:t>1.82</w:t>
      </w:r>
      <w:r>
        <w:rPr>
          <w:rStyle w:val="17"/>
          <w:rFonts w:hint="default" w:ascii="Times New Roman" w:hAnsi="Times New Roman" w:eastAsia="仿宋" w:cs="Times New Roman"/>
          <w:b w:val="0"/>
          <w:bCs/>
          <w:sz w:val="32"/>
          <w:szCs w:val="32"/>
        </w:rPr>
        <w:t>万元，完成预算100%，决算数等于预算数</w:t>
      </w:r>
      <w:r>
        <w:rPr>
          <w:rStyle w:val="17"/>
          <w:rFonts w:hint="default" w:ascii="Times New Roman" w:hAnsi="Times New Roman" w:eastAsia="仿宋" w:cs="Times New Roman"/>
          <w:b w:val="0"/>
          <w:bCs/>
          <w:color w:val="000000"/>
          <w:sz w:val="32"/>
          <w:szCs w:val="32"/>
        </w:rPr>
        <w:t>。</w:t>
      </w:r>
    </w:p>
    <w:p w14:paraId="66D29E08">
      <w:pPr>
        <w:spacing w:line="600" w:lineRule="exact"/>
        <w:ind w:firstLine="643" w:firstLineChars="200"/>
        <w:rPr>
          <w:rStyle w:val="17"/>
          <w:rFonts w:hint="default" w:ascii="Times New Roman" w:hAnsi="Times New Roman" w:eastAsia="仿宋" w:cs="Times New Roman"/>
          <w:b w:val="0"/>
          <w:bCs/>
          <w:color w:val="000000"/>
          <w:sz w:val="32"/>
          <w:szCs w:val="32"/>
        </w:rPr>
      </w:pPr>
      <w:r>
        <w:rPr>
          <w:rStyle w:val="17"/>
          <w:rFonts w:hint="default" w:ascii="Times New Roman" w:hAnsi="Times New Roman" w:eastAsia="仿宋" w:cs="Times New Roman"/>
          <w:bCs/>
          <w:sz w:val="32"/>
          <w:szCs w:val="32"/>
          <w:lang w:val="en-US" w:eastAsia="zh-CN"/>
        </w:rPr>
        <w:t>6</w:t>
      </w:r>
      <w:r>
        <w:rPr>
          <w:rStyle w:val="17"/>
          <w:rFonts w:hint="default" w:ascii="Times New Roman" w:hAnsi="Times New Roman" w:eastAsia="仿宋" w:cs="Times New Roman"/>
          <w:bCs/>
          <w:sz w:val="32"/>
          <w:szCs w:val="32"/>
        </w:rPr>
        <w:t>.城乡社区支出（类）城乡社区公共设施（款）其他城乡社区公共设施</w:t>
      </w:r>
      <w:r>
        <w:rPr>
          <w:rStyle w:val="17"/>
          <w:rFonts w:hint="default" w:ascii="Times New Roman" w:hAnsi="Times New Roman" w:eastAsia="仿宋" w:cs="Times New Roman"/>
          <w:bCs/>
          <w:color w:val="000000"/>
          <w:sz w:val="32"/>
          <w:szCs w:val="32"/>
        </w:rPr>
        <w:t>支出</w:t>
      </w:r>
      <w:r>
        <w:rPr>
          <w:rStyle w:val="17"/>
          <w:rFonts w:hint="default" w:ascii="Times New Roman" w:hAnsi="Times New Roman" w:eastAsia="仿宋" w:cs="Times New Roman"/>
          <w:bCs/>
          <w:sz w:val="32"/>
          <w:szCs w:val="32"/>
        </w:rPr>
        <w:t>（项）：</w:t>
      </w:r>
      <w:r>
        <w:rPr>
          <w:rStyle w:val="17"/>
          <w:rFonts w:hint="default" w:ascii="Times New Roman" w:hAnsi="Times New Roman" w:eastAsia="仿宋" w:cs="Times New Roman"/>
          <w:b w:val="0"/>
          <w:bCs/>
          <w:sz w:val="32"/>
          <w:szCs w:val="32"/>
        </w:rPr>
        <w:t>支出决算为</w:t>
      </w:r>
      <w:r>
        <w:rPr>
          <w:rStyle w:val="17"/>
          <w:rFonts w:hint="default" w:ascii="Times New Roman" w:hAnsi="Times New Roman" w:eastAsia="仿宋" w:cs="Times New Roman"/>
          <w:b w:val="0"/>
          <w:bCs/>
          <w:sz w:val="32"/>
          <w:szCs w:val="32"/>
          <w:lang w:val="en-US" w:eastAsia="zh-CN"/>
        </w:rPr>
        <w:t>56.81</w:t>
      </w:r>
      <w:r>
        <w:rPr>
          <w:rStyle w:val="17"/>
          <w:rFonts w:hint="default" w:ascii="Times New Roman" w:hAnsi="Times New Roman" w:eastAsia="仿宋" w:cs="Times New Roman"/>
          <w:b w:val="0"/>
          <w:bCs/>
          <w:sz w:val="32"/>
          <w:szCs w:val="32"/>
        </w:rPr>
        <w:t>万元，完成预算100%，决算数等于预算数</w:t>
      </w:r>
      <w:r>
        <w:rPr>
          <w:rStyle w:val="17"/>
          <w:rFonts w:hint="default" w:ascii="Times New Roman" w:hAnsi="Times New Roman" w:eastAsia="仿宋" w:cs="Times New Roman"/>
          <w:b w:val="0"/>
          <w:bCs/>
          <w:color w:val="000000"/>
          <w:sz w:val="32"/>
          <w:szCs w:val="32"/>
        </w:rPr>
        <w:t>。</w:t>
      </w:r>
    </w:p>
    <w:p w14:paraId="5CD93C02">
      <w:pPr>
        <w:spacing w:line="600" w:lineRule="exact"/>
        <w:ind w:firstLine="643" w:firstLineChars="200"/>
        <w:rPr>
          <w:rFonts w:hint="default" w:ascii="Times New Roman" w:hAnsi="Times New Roman" w:cs="Times New Roman"/>
        </w:rPr>
      </w:pPr>
      <w:r>
        <w:rPr>
          <w:rStyle w:val="17"/>
          <w:rFonts w:hint="default" w:ascii="Times New Roman" w:hAnsi="Times New Roman" w:eastAsia="仿宋" w:cs="Times New Roman"/>
          <w:bCs/>
          <w:sz w:val="32"/>
          <w:szCs w:val="32"/>
          <w:lang w:val="en-US" w:eastAsia="zh-CN"/>
        </w:rPr>
        <w:t>7</w:t>
      </w:r>
      <w:r>
        <w:rPr>
          <w:rStyle w:val="17"/>
          <w:rFonts w:hint="default" w:ascii="Times New Roman" w:hAnsi="Times New Roman" w:eastAsia="仿宋" w:cs="Times New Roman"/>
          <w:bCs/>
          <w:sz w:val="32"/>
          <w:szCs w:val="32"/>
        </w:rPr>
        <w:t>.城乡社区支出（类）其他城乡社区支出（款）其他城乡社区支出（项）：</w:t>
      </w:r>
      <w:r>
        <w:rPr>
          <w:rStyle w:val="17"/>
          <w:rFonts w:hint="default" w:ascii="Times New Roman" w:hAnsi="Times New Roman" w:eastAsia="仿宋" w:cs="Times New Roman"/>
          <w:b w:val="0"/>
          <w:bCs/>
          <w:sz w:val="32"/>
          <w:szCs w:val="32"/>
        </w:rPr>
        <w:t>支出决算为</w:t>
      </w:r>
      <w:r>
        <w:rPr>
          <w:rStyle w:val="17"/>
          <w:rFonts w:hint="default" w:ascii="Times New Roman" w:hAnsi="Times New Roman" w:eastAsia="仿宋" w:cs="Times New Roman"/>
          <w:b w:val="0"/>
          <w:bCs/>
          <w:sz w:val="32"/>
          <w:szCs w:val="32"/>
          <w:lang w:val="en-US" w:eastAsia="zh-CN"/>
        </w:rPr>
        <w:t>32.71</w:t>
      </w:r>
      <w:r>
        <w:rPr>
          <w:rStyle w:val="17"/>
          <w:rFonts w:hint="default" w:ascii="Times New Roman" w:hAnsi="Times New Roman" w:eastAsia="仿宋" w:cs="Times New Roman"/>
          <w:b w:val="0"/>
          <w:bCs/>
          <w:sz w:val="32"/>
          <w:szCs w:val="32"/>
        </w:rPr>
        <w:t>万元，完成预算100%，决算数等于预算数</w:t>
      </w:r>
      <w:r>
        <w:rPr>
          <w:rStyle w:val="17"/>
          <w:rFonts w:hint="default" w:ascii="Times New Roman" w:hAnsi="Times New Roman" w:eastAsia="仿宋" w:cs="Times New Roman"/>
          <w:b w:val="0"/>
          <w:bCs/>
          <w:color w:val="000000"/>
          <w:sz w:val="32"/>
          <w:szCs w:val="32"/>
        </w:rPr>
        <w:t>。</w:t>
      </w:r>
    </w:p>
    <w:p w14:paraId="1D251F51">
      <w:pPr>
        <w:spacing w:line="600" w:lineRule="exact"/>
        <w:ind w:firstLine="643" w:firstLineChars="200"/>
        <w:rPr>
          <w:rStyle w:val="17"/>
          <w:rFonts w:hint="default" w:ascii="Times New Roman" w:hAnsi="Times New Roman" w:eastAsia="仿宋" w:cs="Times New Roman"/>
          <w:b w:val="0"/>
          <w:bCs/>
          <w:color w:val="000000"/>
          <w:sz w:val="32"/>
          <w:szCs w:val="32"/>
        </w:rPr>
      </w:pPr>
      <w:r>
        <w:rPr>
          <w:rStyle w:val="17"/>
          <w:rFonts w:hint="default" w:ascii="Times New Roman" w:hAnsi="Times New Roman" w:eastAsia="仿宋" w:cs="Times New Roman"/>
          <w:bCs/>
          <w:sz w:val="32"/>
          <w:szCs w:val="32"/>
          <w:lang w:val="en-US" w:eastAsia="zh-CN"/>
        </w:rPr>
        <w:t>8</w:t>
      </w:r>
      <w:r>
        <w:rPr>
          <w:rStyle w:val="17"/>
          <w:rFonts w:hint="default" w:ascii="Times New Roman" w:hAnsi="Times New Roman" w:eastAsia="仿宋" w:cs="Times New Roman"/>
          <w:bCs/>
          <w:sz w:val="32"/>
          <w:szCs w:val="32"/>
        </w:rPr>
        <w:t>.</w:t>
      </w:r>
      <w:r>
        <w:rPr>
          <w:rFonts w:hint="default" w:ascii="Times New Roman" w:hAnsi="Times New Roman" w:eastAsia="仿宋" w:cs="Times New Roman"/>
          <w:b/>
          <w:bCs/>
          <w:color w:val="000000"/>
          <w:sz w:val="32"/>
          <w:szCs w:val="32"/>
        </w:rPr>
        <w:t>自然资源海洋气象等支出（类）自然资源事务</w:t>
      </w:r>
      <w:r>
        <w:rPr>
          <w:rStyle w:val="17"/>
          <w:rFonts w:hint="default" w:ascii="Times New Roman" w:hAnsi="Times New Roman" w:eastAsia="仿宋" w:cs="Times New Roman"/>
          <w:bCs/>
          <w:color w:val="000000"/>
          <w:sz w:val="32"/>
          <w:szCs w:val="32"/>
        </w:rPr>
        <w:t>（款）事业运行（项）：</w:t>
      </w:r>
      <w:r>
        <w:rPr>
          <w:rStyle w:val="17"/>
          <w:rFonts w:hint="default" w:ascii="Times New Roman" w:hAnsi="Times New Roman" w:eastAsia="仿宋" w:cs="Times New Roman"/>
          <w:b w:val="0"/>
          <w:bCs/>
          <w:sz w:val="32"/>
          <w:szCs w:val="32"/>
        </w:rPr>
        <w:t>支出决算为</w:t>
      </w:r>
      <w:r>
        <w:rPr>
          <w:rStyle w:val="17"/>
          <w:rFonts w:hint="default" w:ascii="Times New Roman" w:hAnsi="Times New Roman" w:eastAsia="仿宋" w:cs="Times New Roman"/>
          <w:b w:val="0"/>
          <w:bCs/>
          <w:sz w:val="32"/>
          <w:szCs w:val="32"/>
          <w:lang w:val="en-US" w:eastAsia="zh-CN"/>
        </w:rPr>
        <w:t>199.74</w:t>
      </w:r>
      <w:r>
        <w:rPr>
          <w:rStyle w:val="17"/>
          <w:rFonts w:hint="default" w:ascii="Times New Roman" w:hAnsi="Times New Roman" w:eastAsia="仿宋" w:cs="Times New Roman"/>
          <w:b w:val="0"/>
          <w:bCs/>
          <w:sz w:val="32"/>
          <w:szCs w:val="32"/>
        </w:rPr>
        <w:t>万元，完成预算100%，决算数等于预算数</w:t>
      </w:r>
      <w:r>
        <w:rPr>
          <w:rStyle w:val="17"/>
          <w:rFonts w:hint="default" w:ascii="Times New Roman" w:hAnsi="Times New Roman" w:eastAsia="仿宋" w:cs="Times New Roman"/>
          <w:b w:val="0"/>
          <w:bCs/>
          <w:color w:val="000000"/>
          <w:sz w:val="32"/>
          <w:szCs w:val="32"/>
        </w:rPr>
        <w:t>。</w:t>
      </w:r>
    </w:p>
    <w:p w14:paraId="2DD00182">
      <w:pPr>
        <w:spacing w:line="600" w:lineRule="exact"/>
        <w:ind w:firstLine="643" w:firstLineChars="200"/>
        <w:rPr>
          <w:rFonts w:hint="default" w:ascii="Times New Roman" w:hAnsi="Times New Roman" w:cs="Times New Roman"/>
        </w:rPr>
      </w:pPr>
      <w:r>
        <w:rPr>
          <w:rFonts w:hint="default" w:ascii="Times New Roman" w:hAnsi="Times New Roman" w:eastAsia="仿宋" w:cs="Times New Roman"/>
          <w:b/>
          <w:bCs/>
          <w:color w:val="000000"/>
          <w:sz w:val="32"/>
          <w:szCs w:val="32"/>
          <w:lang w:val="en-US" w:eastAsia="zh-CN"/>
        </w:rPr>
        <w:t>9.</w:t>
      </w:r>
      <w:r>
        <w:rPr>
          <w:rFonts w:hint="default" w:ascii="Times New Roman" w:hAnsi="Times New Roman" w:eastAsia="仿宋" w:cs="Times New Roman"/>
          <w:b/>
          <w:bCs/>
          <w:color w:val="000000"/>
          <w:sz w:val="32"/>
          <w:szCs w:val="32"/>
        </w:rPr>
        <w:t>自然资源海洋气象等支出（类）自然资源事务</w:t>
      </w:r>
      <w:r>
        <w:rPr>
          <w:rStyle w:val="17"/>
          <w:rFonts w:hint="default" w:ascii="Times New Roman" w:hAnsi="Times New Roman" w:eastAsia="仿宋" w:cs="Times New Roman"/>
          <w:bCs/>
          <w:color w:val="000000"/>
          <w:sz w:val="32"/>
          <w:szCs w:val="32"/>
        </w:rPr>
        <w:t>（款）</w:t>
      </w:r>
      <w:r>
        <w:rPr>
          <w:rStyle w:val="17"/>
          <w:rFonts w:hint="default" w:ascii="Times New Roman" w:hAnsi="Times New Roman" w:eastAsia="仿宋" w:cs="Times New Roman"/>
          <w:bCs/>
          <w:color w:val="000000"/>
          <w:sz w:val="32"/>
          <w:szCs w:val="32"/>
          <w:lang w:val="en-US" w:eastAsia="zh-CN"/>
        </w:rPr>
        <w:t>其他自然资源事务支出</w:t>
      </w:r>
      <w:r>
        <w:rPr>
          <w:rStyle w:val="17"/>
          <w:rFonts w:hint="default" w:ascii="Times New Roman" w:hAnsi="Times New Roman" w:eastAsia="仿宋" w:cs="Times New Roman"/>
          <w:bCs/>
          <w:color w:val="000000"/>
          <w:sz w:val="32"/>
          <w:szCs w:val="32"/>
        </w:rPr>
        <w:t>（项）：</w:t>
      </w:r>
      <w:r>
        <w:rPr>
          <w:rStyle w:val="17"/>
          <w:rFonts w:hint="default" w:ascii="Times New Roman" w:hAnsi="Times New Roman" w:eastAsia="仿宋" w:cs="Times New Roman"/>
          <w:b w:val="0"/>
          <w:bCs/>
          <w:sz w:val="32"/>
          <w:szCs w:val="32"/>
        </w:rPr>
        <w:t>支出决算为</w:t>
      </w:r>
      <w:r>
        <w:rPr>
          <w:rStyle w:val="17"/>
          <w:rFonts w:hint="default" w:ascii="Times New Roman" w:hAnsi="Times New Roman" w:eastAsia="仿宋" w:cs="Times New Roman"/>
          <w:b w:val="0"/>
          <w:bCs/>
          <w:sz w:val="32"/>
          <w:szCs w:val="32"/>
          <w:lang w:val="en-US" w:eastAsia="zh-CN"/>
        </w:rPr>
        <w:t>48.81</w:t>
      </w:r>
      <w:r>
        <w:rPr>
          <w:rStyle w:val="17"/>
          <w:rFonts w:hint="default" w:ascii="Times New Roman" w:hAnsi="Times New Roman" w:eastAsia="仿宋" w:cs="Times New Roman"/>
          <w:b w:val="0"/>
          <w:bCs/>
          <w:sz w:val="32"/>
          <w:szCs w:val="32"/>
        </w:rPr>
        <w:t>万元，完成预算100%，决算数等于预算数</w:t>
      </w:r>
      <w:r>
        <w:rPr>
          <w:rStyle w:val="17"/>
          <w:rFonts w:hint="default" w:ascii="Times New Roman" w:hAnsi="Times New Roman" w:eastAsia="仿宋" w:cs="Times New Roman"/>
          <w:b w:val="0"/>
          <w:bCs/>
          <w:color w:val="000000"/>
          <w:sz w:val="32"/>
          <w:szCs w:val="32"/>
        </w:rPr>
        <w:t>。</w:t>
      </w:r>
    </w:p>
    <w:p w14:paraId="50255748">
      <w:pPr>
        <w:spacing w:line="600" w:lineRule="exact"/>
        <w:ind w:firstLine="643" w:firstLineChars="200"/>
        <w:rPr>
          <w:rFonts w:hint="default" w:ascii="Times New Roman" w:hAnsi="Times New Roman" w:eastAsia="仿宋" w:cs="Times New Roman"/>
          <w:b/>
          <w:sz w:val="32"/>
          <w:szCs w:val="32"/>
        </w:rPr>
      </w:pPr>
      <w:r>
        <w:rPr>
          <w:rStyle w:val="17"/>
          <w:rFonts w:hint="default" w:ascii="Times New Roman" w:hAnsi="Times New Roman" w:eastAsia="仿宋" w:cs="Times New Roman"/>
          <w:bCs/>
          <w:sz w:val="32"/>
          <w:szCs w:val="32"/>
        </w:rPr>
        <w:t>1</w:t>
      </w:r>
      <w:r>
        <w:rPr>
          <w:rStyle w:val="17"/>
          <w:rFonts w:hint="default" w:ascii="Times New Roman" w:hAnsi="Times New Roman" w:eastAsia="仿宋" w:cs="Times New Roman"/>
          <w:bCs/>
          <w:sz w:val="32"/>
          <w:szCs w:val="32"/>
          <w:lang w:val="en-US" w:eastAsia="zh-CN"/>
        </w:rPr>
        <w:t>0</w:t>
      </w:r>
      <w:r>
        <w:rPr>
          <w:rStyle w:val="17"/>
          <w:rFonts w:hint="default" w:ascii="Times New Roman" w:hAnsi="Times New Roman" w:eastAsia="仿宋" w:cs="Times New Roman"/>
          <w:bCs/>
          <w:sz w:val="32"/>
          <w:szCs w:val="32"/>
        </w:rPr>
        <w:t>.</w:t>
      </w:r>
      <w:r>
        <w:rPr>
          <w:rStyle w:val="17"/>
          <w:rFonts w:hint="default" w:ascii="Times New Roman" w:hAnsi="Times New Roman" w:eastAsia="仿宋" w:cs="Times New Roman"/>
          <w:bCs/>
          <w:color w:val="000000"/>
          <w:sz w:val="32"/>
          <w:szCs w:val="32"/>
        </w:rPr>
        <w:t>住房保障支出（类）住房改革支出（款）住房公积金（项）：</w:t>
      </w:r>
      <w:r>
        <w:rPr>
          <w:rStyle w:val="17"/>
          <w:rFonts w:hint="default" w:ascii="Times New Roman" w:hAnsi="Times New Roman" w:eastAsia="仿宋" w:cs="Times New Roman"/>
          <w:b w:val="0"/>
          <w:bCs/>
          <w:sz w:val="32"/>
          <w:szCs w:val="32"/>
        </w:rPr>
        <w:t>支出决算为</w:t>
      </w:r>
      <w:r>
        <w:rPr>
          <w:rStyle w:val="17"/>
          <w:rFonts w:hint="default" w:ascii="Times New Roman" w:hAnsi="Times New Roman" w:eastAsia="仿宋" w:cs="Times New Roman"/>
          <w:b w:val="0"/>
          <w:bCs/>
          <w:sz w:val="32"/>
          <w:szCs w:val="32"/>
        </w:rPr>
        <w:tab/>
      </w:r>
      <w:r>
        <w:rPr>
          <w:rStyle w:val="17"/>
          <w:rFonts w:hint="default" w:ascii="Times New Roman" w:hAnsi="Times New Roman" w:eastAsia="仿宋" w:cs="Times New Roman"/>
          <w:b w:val="0"/>
          <w:bCs/>
          <w:sz w:val="32"/>
          <w:szCs w:val="32"/>
          <w:lang w:val="en-US" w:eastAsia="zh-CN"/>
        </w:rPr>
        <w:t>21.90</w:t>
      </w:r>
      <w:r>
        <w:rPr>
          <w:rStyle w:val="17"/>
          <w:rFonts w:hint="default" w:ascii="Times New Roman" w:hAnsi="Times New Roman" w:eastAsia="仿宋" w:cs="Times New Roman"/>
          <w:b w:val="0"/>
          <w:bCs/>
          <w:sz w:val="32"/>
          <w:szCs w:val="32"/>
        </w:rPr>
        <w:t>万元，完成预算100%，决算数等于预算数</w:t>
      </w:r>
      <w:r>
        <w:rPr>
          <w:rStyle w:val="17"/>
          <w:rFonts w:hint="default" w:ascii="Times New Roman" w:hAnsi="Times New Roman" w:eastAsia="仿宋" w:cs="Times New Roman"/>
          <w:b w:val="0"/>
          <w:bCs/>
          <w:color w:val="000000"/>
          <w:sz w:val="32"/>
          <w:szCs w:val="32"/>
        </w:rPr>
        <w:t>。</w:t>
      </w:r>
    </w:p>
    <w:p w14:paraId="72F2D53A">
      <w:pPr>
        <w:tabs>
          <w:tab w:val="right" w:pos="8306"/>
        </w:tabs>
        <w:spacing w:line="600" w:lineRule="exact"/>
        <w:ind w:firstLine="640" w:firstLineChars="0"/>
        <w:outlineLvl w:val="0"/>
        <w:rPr>
          <w:rStyle w:val="29"/>
          <w:rFonts w:hint="default" w:ascii="Times New Roman" w:hAnsi="Times New Roman" w:cs="Times New Roman"/>
          <w:color w:val="auto"/>
          <w:highlight w:val="none"/>
        </w:rPr>
      </w:pPr>
      <w:bookmarkStart w:id="34" w:name="_Toc15396608"/>
      <w:bookmarkStart w:id="35" w:name="_Toc15377214"/>
      <w:r>
        <w:rPr>
          <w:rFonts w:hint="default" w:ascii="Times New Roman" w:hAnsi="Times New Roman" w:eastAsia="黑体" w:cs="Times New Roman"/>
          <w:color w:val="auto"/>
          <w:sz w:val="32"/>
          <w:szCs w:val="32"/>
          <w:highlight w:val="none"/>
        </w:rPr>
        <w:t>六</w:t>
      </w:r>
      <w:r>
        <w:rPr>
          <w:rFonts w:hint="default" w:ascii="Times New Roman" w:hAnsi="Times New Roman" w:eastAsia="黑体" w:cs="Times New Roman"/>
          <w:b/>
          <w:color w:val="auto"/>
          <w:sz w:val="32"/>
          <w:szCs w:val="32"/>
          <w:highlight w:val="none"/>
        </w:rPr>
        <w:t>、一</w:t>
      </w:r>
      <w:r>
        <w:rPr>
          <w:rStyle w:val="29"/>
          <w:rFonts w:hint="default" w:ascii="Times New Roman" w:hAnsi="Times New Roman" w:eastAsia="黑体" w:cs="Times New Roman"/>
          <w:b w:val="0"/>
          <w:color w:val="auto"/>
          <w:highlight w:val="none"/>
        </w:rPr>
        <w:t>般公共预算财政拨款基本支出决算情况说明</w:t>
      </w:r>
      <w:bookmarkEnd w:id="34"/>
      <w:bookmarkEnd w:id="35"/>
      <w:r>
        <w:rPr>
          <w:rStyle w:val="29"/>
          <w:rFonts w:hint="default" w:ascii="Times New Roman" w:hAnsi="Times New Roman" w:eastAsia="黑体" w:cs="Times New Roman"/>
          <w:b w:val="0"/>
          <w:color w:val="auto"/>
          <w:highlight w:val="none"/>
        </w:rPr>
        <w:tab/>
      </w:r>
    </w:p>
    <w:p w14:paraId="098F1CF7">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2024年度一般公共预算财政拨款基本支出</w:t>
      </w:r>
      <w:r>
        <w:rPr>
          <w:rFonts w:hint="default" w:ascii="Times New Roman" w:hAnsi="Times New Roman" w:eastAsia="仿宋_GB2312" w:cs="Times New Roman"/>
          <w:sz w:val="32"/>
          <w:szCs w:val="32"/>
        </w:rPr>
        <w:t>288.83</w:t>
      </w:r>
      <w:r>
        <w:rPr>
          <w:rFonts w:hint="default" w:ascii="Times New Roman" w:hAnsi="Times New Roman" w:eastAsia="仿宋_GB2312" w:cs="Times New Roman"/>
          <w:color w:val="auto"/>
          <w:kern w:val="2"/>
          <w:sz w:val="32"/>
          <w:szCs w:val="32"/>
          <w:highlight w:val="none"/>
          <w:lang w:val="en-US" w:eastAsia="zh-CN" w:bidi="ar-SA"/>
        </w:rPr>
        <w:t>万元，其中：</w:t>
      </w:r>
    </w:p>
    <w:p w14:paraId="553C35EA">
      <w:pPr>
        <w:spacing w:line="600" w:lineRule="exact"/>
        <w:ind w:firstLine="645"/>
        <w:rPr>
          <w:rFonts w:hint="default" w:ascii="Times New Roman" w:hAnsi="Times New Roman" w:eastAsia="仿宋" w:cs="Times New Roman"/>
          <w:sz w:val="32"/>
          <w:szCs w:val="32"/>
        </w:rPr>
      </w:pPr>
      <w:r>
        <w:rPr>
          <w:rFonts w:hint="default" w:ascii="Times New Roman" w:hAnsi="Times New Roman" w:eastAsia="仿宋_GB2312" w:cs="Times New Roman"/>
          <w:color w:val="auto"/>
          <w:kern w:val="2"/>
          <w:sz w:val="32"/>
          <w:szCs w:val="32"/>
          <w:highlight w:val="none"/>
          <w:lang w:val="en-US" w:eastAsia="zh-CN" w:bidi="ar-SA"/>
        </w:rPr>
        <w:t>人员经费</w:t>
      </w:r>
      <w:r>
        <w:rPr>
          <w:rFonts w:hint="default" w:ascii="Times New Roman" w:hAnsi="Times New Roman" w:eastAsia="仿宋_GB2312" w:cs="Times New Roman"/>
          <w:sz w:val="32"/>
          <w:szCs w:val="32"/>
        </w:rPr>
        <w:t>273.78</w:t>
      </w:r>
      <w:r>
        <w:rPr>
          <w:rFonts w:hint="default" w:ascii="Times New Roman" w:hAnsi="Times New Roman" w:eastAsia="仿宋_GB2312" w:cs="Times New Roman"/>
          <w:color w:val="auto"/>
          <w:kern w:val="2"/>
          <w:sz w:val="32"/>
          <w:szCs w:val="32"/>
          <w:highlight w:val="none"/>
          <w:lang w:val="en-US" w:eastAsia="zh-CN" w:bidi="ar-SA"/>
        </w:rPr>
        <w:t>万元，主要包括：基本工资、津贴补贴、绩效工资、机关事业单位基本养老保险缴费、职业年金缴费、其他社会保障缴费、其他工资福利支出、住房公积金、其他对个人和家庭的补助支出等。</w:t>
      </w:r>
      <w:r>
        <w:rPr>
          <w:rFonts w:hint="default" w:ascii="Times New Roman" w:hAnsi="Times New Roman" w:eastAsia="仿宋_GB2312" w:cs="Times New Roman"/>
          <w:color w:val="auto"/>
          <w:kern w:val="2"/>
          <w:sz w:val="32"/>
          <w:szCs w:val="32"/>
          <w:highlight w:val="none"/>
          <w:lang w:val="en-US" w:eastAsia="zh-CN" w:bidi="ar-SA"/>
        </w:rPr>
        <w:br w:type="textWrapping"/>
      </w:r>
      <w:r>
        <w:rPr>
          <w:rFonts w:hint="default" w:ascii="Times New Roman" w:hAnsi="Times New Roman" w:eastAsia="仿宋_GB2312" w:cs="Times New Roman"/>
          <w:color w:val="auto"/>
          <w:kern w:val="2"/>
          <w:sz w:val="32"/>
          <w:szCs w:val="32"/>
          <w:highlight w:val="none"/>
          <w:lang w:val="en-US" w:eastAsia="zh-CN" w:bidi="ar-SA"/>
        </w:rPr>
        <w:t>　　公用经费</w:t>
      </w:r>
      <w:r>
        <w:rPr>
          <w:rFonts w:hint="default" w:ascii="Times New Roman" w:hAnsi="Times New Roman" w:eastAsia="仿宋_GB2312" w:cs="Times New Roman"/>
          <w:sz w:val="32"/>
          <w:szCs w:val="32"/>
        </w:rPr>
        <w:t>15.05</w:t>
      </w:r>
      <w:r>
        <w:rPr>
          <w:rFonts w:hint="default" w:ascii="Times New Roman" w:hAnsi="Times New Roman" w:eastAsia="仿宋_GB2312" w:cs="Times New Roman"/>
          <w:color w:val="auto"/>
          <w:kern w:val="2"/>
          <w:sz w:val="32"/>
          <w:szCs w:val="32"/>
          <w:highlight w:val="none"/>
          <w:lang w:val="en-US" w:eastAsia="zh-CN" w:bidi="ar-SA"/>
        </w:rPr>
        <w:t>万元，主要包括：</w:t>
      </w:r>
      <w:r>
        <w:rPr>
          <w:rFonts w:hint="default" w:ascii="Times New Roman" w:hAnsi="Times New Roman" w:eastAsia="仿宋" w:cs="Times New Roman"/>
          <w:sz w:val="32"/>
          <w:szCs w:val="32"/>
        </w:rPr>
        <w:t>办公费、水费、电费、邮电费、差旅费、委托业务费、培训费、工会经费、福利费、其他商品和服务支出等。</w:t>
      </w:r>
    </w:p>
    <w:p w14:paraId="49DDB632">
      <w:pPr>
        <w:spacing w:line="600" w:lineRule="exact"/>
        <w:ind w:firstLine="640" w:firstLineChars="0"/>
        <w:outlineLvl w:val="0"/>
        <w:rPr>
          <w:rStyle w:val="29"/>
          <w:rFonts w:hint="default" w:ascii="Times New Roman" w:hAnsi="Times New Roman" w:eastAsia="黑体" w:cs="Times New Roman"/>
          <w:b w:val="0"/>
          <w:color w:val="auto"/>
          <w:highlight w:val="none"/>
        </w:rPr>
      </w:pPr>
      <w:bookmarkStart w:id="36" w:name="_Toc15396609"/>
      <w:bookmarkStart w:id="37" w:name="_Toc15377215"/>
      <w:r>
        <w:rPr>
          <w:rFonts w:hint="default" w:ascii="Times New Roman" w:hAnsi="Times New Roman" w:eastAsia="黑体" w:cs="Times New Roman"/>
          <w:color w:val="auto"/>
          <w:sz w:val="32"/>
          <w:szCs w:val="32"/>
          <w:highlight w:val="none"/>
        </w:rPr>
        <w:t>七、</w:t>
      </w:r>
      <w:r>
        <w:rPr>
          <w:rStyle w:val="29"/>
          <w:rFonts w:hint="default" w:ascii="Times New Roman" w:hAnsi="Times New Roman" w:eastAsia="黑体" w:cs="Times New Roman"/>
          <w:b w:val="0"/>
          <w:color w:val="auto"/>
          <w:highlight w:val="none"/>
        </w:rPr>
        <w:t>财政拨款</w:t>
      </w:r>
      <w:r>
        <w:rPr>
          <w:rStyle w:val="29"/>
          <w:rFonts w:hint="default" w:ascii="Times New Roman" w:hAnsi="Times New Roman" w:eastAsia="黑体" w:cs="Times New Roman"/>
          <w:color w:val="auto"/>
          <w:highlight w:val="none"/>
        </w:rPr>
        <w:t>“</w:t>
      </w:r>
      <w:r>
        <w:rPr>
          <w:rStyle w:val="29"/>
          <w:rFonts w:hint="default" w:ascii="Times New Roman" w:hAnsi="Times New Roman" w:eastAsia="黑体" w:cs="Times New Roman"/>
          <w:b w:val="0"/>
          <w:color w:val="auto"/>
          <w:highlight w:val="none"/>
        </w:rPr>
        <w:t>三公”经费支出决算情况说明</w:t>
      </w:r>
      <w:bookmarkEnd w:id="36"/>
      <w:bookmarkEnd w:id="37"/>
    </w:p>
    <w:p w14:paraId="7968B4DD">
      <w:pPr>
        <w:spacing w:line="600" w:lineRule="exact"/>
        <w:ind w:firstLine="643" w:firstLineChars="200"/>
        <w:outlineLvl w:val="1"/>
        <w:rPr>
          <w:rFonts w:hint="default" w:ascii="Times New Roman" w:hAnsi="Times New Roman" w:eastAsia="楷体_GB2312" w:cs="Times New Roman"/>
          <w:b/>
          <w:color w:val="auto"/>
          <w:sz w:val="32"/>
          <w:szCs w:val="32"/>
          <w:highlight w:val="none"/>
        </w:rPr>
      </w:pPr>
      <w:bookmarkStart w:id="38" w:name="_Toc15377216"/>
      <w:r>
        <w:rPr>
          <w:rFonts w:hint="default" w:ascii="Times New Roman" w:hAnsi="Times New Roman" w:eastAsia="楷体_GB2312" w:cs="Times New Roman"/>
          <w:b/>
          <w:color w:val="auto"/>
          <w:sz w:val="32"/>
          <w:szCs w:val="32"/>
          <w:highlight w:val="none"/>
        </w:rPr>
        <w:t>（一）“三公”经费财政拨款支出决算总体情况说明</w:t>
      </w:r>
      <w:bookmarkEnd w:id="38"/>
    </w:p>
    <w:p w14:paraId="3B1A2FAB">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_GB2312" w:cs="Times New Roman"/>
          <w:color w:val="auto"/>
          <w:kern w:val="2"/>
          <w:sz w:val="32"/>
          <w:szCs w:val="32"/>
          <w:highlight w:val="none"/>
          <w:lang w:val="en-US" w:eastAsia="zh-CN" w:bidi="ar-SA"/>
        </w:rPr>
        <w:t>2024年度“三公”经费财政拨款支出决算为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万元，完成预算</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%，较上年度减少0万元，下降0%。决算数小于预算数的主要原因是</w:t>
      </w:r>
      <w:r>
        <w:rPr>
          <w:rFonts w:hint="default" w:ascii="Times New Roman" w:hAnsi="Times New Roman" w:eastAsia="仿宋" w:cs="Times New Roman"/>
          <w:sz w:val="32"/>
          <w:szCs w:val="32"/>
        </w:rPr>
        <w:t>严格执行“三公”经费管理制度，厉行节约减少非必要公务开支。</w:t>
      </w:r>
    </w:p>
    <w:p w14:paraId="6637AB35">
      <w:pPr>
        <w:spacing w:line="600" w:lineRule="exact"/>
        <w:ind w:firstLine="643" w:firstLineChars="200"/>
        <w:outlineLvl w:val="1"/>
        <w:rPr>
          <w:rFonts w:hint="default" w:ascii="Times New Roman" w:hAnsi="Times New Roman" w:eastAsia="楷体_GB2312" w:cs="Times New Roman"/>
          <w:b/>
          <w:color w:val="auto"/>
          <w:sz w:val="32"/>
          <w:szCs w:val="32"/>
          <w:highlight w:val="none"/>
        </w:rPr>
      </w:pPr>
      <w:bookmarkStart w:id="39" w:name="_Toc15377217"/>
      <w:r>
        <w:rPr>
          <w:rFonts w:hint="default" w:ascii="Times New Roman" w:hAnsi="Times New Roman" w:eastAsia="楷体_GB2312" w:cs="Times New Roman"/>
          <w:b/>
          <w:color w:val="auto"/>
          <w:sz w:val="32"/>
          <w:szCs w:val="32"/>
          <w:highlight w:val="none"/>
        </w:rPr>
        <w:t>（二）“三公”经费财政拨款支出决算具体情况说明</w:t>
      </w:r>
      <w:bookmarkEnd w:id="39"/>
    </w:p>
    <w:p w14:paraId="6CA239E4">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2024年度“三公”经费财政拨款支出决算中，因公出国（境）费支出决算</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万元，占0%；公务用车购置及运行维护费支出决算</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万元，占0%；公务接待费支出决算</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万元，占0%。具体情况如下：</w:t>
      </w:r>
    </w:p>
    <w:p w14:paraId="5FEA8644">
      <w:pPr>
        <w:pStyle w:val="19"/>
        <w:outlineLvl w:val="9"/>
        <w:rPr>
          <w:rFonts w:hint="default" w:ascii="Times New Roman" w:hAnsi="Times New Roman" w:eastAsia="仿宋_GB2312" w:cs="Times New Roman"/>
          <w:color w:val="auto"/>
          <w:kern w:val="2"/>
          <w:sz w:val="32"/>
          <w:szCs w:val="32"/>
          <w:highlight w:val="none"/>
          <w:lang w:val="en-US" w:eastAsia="zh-CN" w:bidi="ar-SA"/>
        </w:rPr>
      </w:pPr>
    </w:p>
    <w:p w14:paraId="6CF57450">
      <w:pPr>
        <w:jc w:val="center"/>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 w:cs="Times New Roman"/>
          <w:color w:val="000000"/>
          <w:sz w:val="32"/>
          <w:szCs w:val="32"/>
        </w:rPr>
        <w:drawing>
          <wp:anchor distT="0" distB="0" distL="114300" distR="114300" simplePos="0" relativeHeight="251667456" behindDoc="0" locked="0" layoutInCell="1" allowOverlap="1">
            <wp:simplePos x="0" y="0"/>
            <wp:positionH relativeFrom="column">
              <wp:posOffset>812165</wp:posOffset>
            </wp:positionH>
            <wp:positionV relativeFrom="paragraph">
              <wp:posOffset>8890</wp:posOffset>
            </wp:positionV>
            <wp:extent cx="3768725" cy="2966720"/>
            <wp:effectExtent l="4445" t="4445" r="17780" b="19685"/>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rFonts w:hint="default" w:ascii="Times New Roman" w:hAnsi="Times New Roman" w:eastAsia="仿宋_GB2312" w:cs="Times New Roman"/>
          <w:color w:val="auto"/>
          <w:kern w:val="2"/>
          <w:sz w:val="32"/>
          <w:szCs w:val="32"/>
          <w:highlight w:val="none"/>
          <w:lang w:val="en-US" w:eastAsia="zh-CN" w:bidi="ar-SA"/>
        </w:rPr>
        <w:t>（图7：“三公”经费财政拨款支出结构）</w:t>
      </w:r>
    </w:p>
    <w:p w14:paraId="0A0D8F05">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1.因公出国（境）经费支出0万元，完成预算0%。</w:t>
      </w:r>
      <w:r>
        <w:rPr>
          <w:rFonts w:hint="default" w:ascii="Times New Roman" w:hAnsi="Times New Roman" w:eastAsia="仿宋_GB2312" w:cs="Times New Roman"/>
          <w:color w:val="auto"/>
          <w:kern w:val="2"/>
          <w:sz w:val="32"/>
          <w:szCs w:val="32"/>
          <w:highlight w:val="none"/>
          <w:lang w:val="en-US" w:eastAsia="zh-CN" w:bidi="ar-SA"/>
        </w:rPr>
        <w:t>全年安排因公出国（境）团组</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次，出国（境）</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人。因公出国（境）支出决算比2023年增加/减少0万元，增长/下降0%。</w:t>
      </w:r>
    </w:p>
    <w:p w14:paraId="07BA6459">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2.公务用车购置及运行维护费支出0万元，完成预算0%。</w:t>
      </w:r>
      <w:r>
        <w:rPr>
          <w:rFonts w:hint="default" w:ascii="Times New Roman" w:hAnsi="Times New Roman" w:eastAsia="仿宋_GB2312" w:cs="Times New Roman"/>
          <w:color w:val="auto"/>
          <w:kern w:val="2"/>
          <w:sz w:val="32"/>
          <w:szCs w:val="32"/>
          <w:highlight w:val="none"/>
          <w:lang w:val="en-US" w:eastAsia="zh-CN" w:bidi="ar-SA"/>
        </w:rPr>
        <w:t>公务用车购置及运行维护费支出决算比2023年度增加/减少0万元，增长/下降0%。</w:t>
      </w:r>
    </w:p>
    <w:p w14:paraId="69C09529">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其中：公务用车购置支出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万元。全年按规定更新购置公务用车0辆，其中：轿车0辆、金额0万元，越野车0辆、金额0万元，载客汽车0辆、金额0万元。截至2024年12月31日，单位共有公务用车0辆，其中：轿车0辆、越野车0辆、载客汽车0辆。</w:t>
      </w:r>
    </w:p>
    <w:p w14:paraId="70FEB7EE">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公务用车运行维护费支出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w:t>
      </w:r>
    </w:p>
    <w:p w14:paraId="73FD5834">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3.公务接待费支出0万元，完成预算0%。</w:t>
      </w:r>
      <w:r>
        <w:rPr>
          <w:rFonts w:hint="default" w:ascii="Times New Roman" w:hAnsi="Times New Roman" w:eastAsia="仿宋_GB2312" w:cs="Times New Roman"/>
          <w:color w:val="auto"/>
          <w:kern w:val="2"/>
          <w:sz w:val="32"/>
          <w:szCs w:val="32"/>
          <w:highlight w:val="none"/>
          <w:lang w:val="en-US" w:eastAsia="zh-CN" w:bidi="ar-SA"/>
        </w:rPr>
        <w:t>公务接待费支出决算比2023年度增加/减少0万元，增长/下降0%。主要原因</w:t>
      </w:r>
      <w:r>
        <w:rPr>
          <w:rFonts w:hint="default" w:ascii="Times New Roman" w:hAnsi="Times New Roman" w:eastAsia="仿宋_GB2312" w:cs="Times New Roman"/>
          <w:sz w:val="32"/>
          <w:szCs w:val="32"/>
        </w:rPr>
        <w:t>是202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无</w:t>
      </w:r>
      <w:r>
        <w:rPr>
          <w:rFonts w:hint="default" w:ascii="Times New Roman" w:hAnsi="Times New Roman" w:eastAsia="仿宋_GB2312" w:cs="Times New Roman"/>
          <w:sz w:val="32"/>
          <w:szCs w:val="32"/>
        </w:rPr>
        <w:t>公务接待。</w:t>
      </w:r>
      <w:r>
        <w:rPr>
          <w:rFonts w:hint="default" w:ascii="Times New Roman" w:hAnsi="Times New Roman" w:eastAsia="仿宋_GB2312" w:cs="Times New Roman"/>
          <w:color w:val="auto"/>
          <w:kern w:val="2"/>
          <w:sz w:val="32"/>
          <w:szCs w:val="32"/>
          <w:highlight w:val="none"/>
          <w:lang w:val="en-US" w:eastAsia="zh-CN" w:bidi="ar-SA"/>
        </w:rPr>
        <w:t>其中：</w:t>
      </w:r>
    </w:p>
    <w:p w14:paraId="43A582AF">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国内公务接待支出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eastAsia="zh-CN"/>
        </w:rPr>
        <w:t>万元</w:t>
      </w:r>
      <w:r>
        <w:rPr>
          <w:rFonts w:hint="default" w:ascii="Times New Roman" w:hAnsi="Times New Roman" w:eastAsia="仿宋_GB2312" w:cs="Times New Roman"/>
          <w:color w:val="auto"/>
          <w:kern w:val="2"/>
          <w:sz w:val="32"/>
          <w:szCs w:val="32"/>
          <w:highlight w:val="none"/>
          <w:lang w:val="en-US" w:eastAsia="zh-CN" w:bidi="ar-SA"/>
        </w:rPr>
        <w:t>。国内公务接待</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批次，</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人次（不包括陪同人员），共计支出0万元。</w:t>
      </w:r>
    </w:p>
    <w:p w14:paraId="29C08021">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外事接待支出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eastAsia="zh-CN"/>
        </w:rPr>
        <w:t>万元</w:t>
      </w:r>
      <w:r>
        <w:rPr>
          <w:rFonts w:hint="default" w:ascii="Times New Roman" w:hAnsi="Times New Roman" w:eastAsia="仿宋_GB2312" w:cs="Times New Roman"/>
          <w:color w:val="auto"/>
          <w:kern w:val="2"/>
          <w:sz w:val="32"/>
          <w:szCs w:val="32"/>
          <w:highlight w:val="none"/>
          <w:lang w:val="en-US" w:eastAsia="zh-CN" w:bidi="ar-SA"/>
        </w:rPr>
        <w:t>。外事接待</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批次，</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人次（不包括陪同人员），共计支出0万元。</w:t>
      </w:r>
      <w:bookmarkStart w:id="40" w:name="_Toc15377218"/>
      <w:bookmarkStart w:id="41" w:name="_Toc15396610"/>
    </w:p>
    <w:p w14:paraId="0178AAFB">
      <w:pPr>
        <w:spacing w:line="600" w:lineRule="exact"/>
        <w:ind w:firstLine="640" w:firstLineChars="0"/>
        <w:outlineLvl w:val="0"/>
        <w:rPr>
          <w:rStyle w:val="29"/>
          <w:rFonts w:hint="default" w:ascii="Times New Roman" w:hAnsi="Times New Roman" w:eastAsia="黑体" w:cs="Times New Roman"/>
          <w:color w:val="auto"/>
          <w:highlight w:val="none"/>
        </w:rPr>
      </w:pPr>
      <w:r>
        <w:rPr>
          <w:rFonts w:hint="default" w:ascii="Times New Roman" w:hAnsi="Times New Roman" w:eastAsia="黑体" w:cs="Times New Roman"/>
          <w:color w:val="auto"/>
          <w:sz w:val="32"/>
          <w:szCs w:val="32"/>
          <w:highlight w:val="none"/>
        </w:rPr>
        <w:t>八、</w:t>
      </w:r>
      <w:r>
        <w:rPr>
          <w:rStyle w:val="29"/>
          <w:rFonts w:hint="default" w:ascii="Times New Roman" w:hAnsi="Times New Roman" w:eastAsia="黑体" w:cs="Times New Roman"/>
          <w:b w:val="0"/>
          <w:color w:val="auto"/>
          <w:highlight w:val="none"/>
        </w:rPr>
        <w:t>政府性基金预算支出决算情况说明</w:t>
      </w:r>
      <w:bookmarkEnd w:id="40"/>
      <w:bookmarkEnd w:id="41"/>
    </w:p>
    <w:p w14:paraId="57C09A23">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2024年度政府性基金预算财政拨款支出</w:t>
      </w:r>
      <w:r>
        <w:rPr>
          <w:rFonts w:hint="default" w:ascii="Times New Roman" w:hAnsi="Times New Roman" w:eastAsia="仿宋_GB2312" w:cs="Times New Roman"/>
          <w:sz w:val="32"/>
          <w:szCs w:val="32"/>
        </w:rPr>
        <w:t>15.23</w:t>
      </w:r>
      <w:r>
        <w:rPr>
          <w:rFonts w:hint="default" w:ascii="Times New Roman" w:hAnsi="Times New Roman" w:eastAsia="仿宋_GB2312" w:cs="Times New Roman"/>
          <w:color w:val="auto"/>
          <w:kern w:val="2"/>
          <w:sz w:val="32"/>
          <w:szCs w:val="32"/>
          <w:highlight w:val="none"/>
          <w:lang w:val="en-US" w:eastAsia="zh-CN" w:bidi="ar-SA"/>
        </w:rPr>
        <w:t>万元，占本年支出合计的</w:t>
      </w:r>
      <w:r>
        <w:rPr>
          <w:rFonts w:hint="default" w:ascii="Times New Roman" w:hAnsi="Times New Roman" w:eastAsia="仿宋_GB2312" w:cs="Times New Roman"/>
          <w:sz w:val="32"/>
          <w:szCs w:val="32"/>
        </w:rPr>
        <w:t>3.4</w:t>
      </w:r>
      <w:r>
        <w:rPr>
          <w:rFonts w:hint="eastAsia" w:eastAsia="仿宋_GB2312" w:cs="Times New Roman"/>
          <w:sz w:val="32"/>
          <w:szCs w:val="32"/>
          <w:lang w:val="en-US" w:eastAsia="zh-CN"/>
        </w:rPr>
        <w:t>5</w:t>
      </w:r>
      <w:r>
        <w:rPr>
          <w:rFonts w:hint="default" w:ascii="Times New Roman" w:hAnsi="Times New Roman" w:eastAsia="仿宋_GB2312" w:cs="Times New Roman"/>
          <w:color w:val="auto"/>
          <w:kern w:val="2"/>
          <w:sz w:val="32"/>
          <w:szCs w:val="32"/>
          <w:highlight w:val="none"/>
          <w:lang w:val="en-US" w:eastAsia="zh-CN" w:bidi="ar-SA"/>
        </w:rPr>
        <w:t>%。与2023年度相比，政府性基金预算财政拨款支出增加7.62万元，增长100.13%。主要变动原因是财政拨款增加。</w:t>
      </w:r>
    </w:p>
    <w:p w14:paraId="5F55C15F">
      <w:pPr>
        <w:numPr>
          <w:ilvl w:val="0"/>
          <w:numId w:val="0"/>
        </w:numPr>
        <w:spacing w:line="600" w:lineRule="exact"/>
        <w:ind w:left="630" w:leftChars="0" w:firstLine="0" w:firstLineChars="0"/>
        <w:outlineLvl w:val="0"/>
        <w:rPr>
          <w:rStyle w:val="29"/>
          <w:rFonts w:hint="default" w:ascii="Times New Roman" w:hAnsi="Times New Roman" w:eastAsia="黑体" w:cs="Times New Roman"/>
          <w:b w:val="0"/>
          <w:color w:val="auto"/>
          <w:highlight w:val="none"/>
        </w:rPr>
      </w:pPr>
      <w:bookmarkStart w:id="42" w:name="_Toc15396611"/>
      <w:bookmarkStart w:id="43" w:name="_Toc15377219"/>
      <w:r>
        <w:rPr>
          <w:rStyle w:val="29"/>
          <w:rFonts w:hint="default" w:ascii="Times New Roman" w:hAnsi="Times New Roman" w:eastAsia="黑体" w:cs="Times New Roman"/>
          <w:b w:val="0"/>
          <w:color w:val="auto"/>
          <w:highlight w:val="none"/>
          <w:lang w:eastAsia="zh-CN"/>
        </w:rPr>
        <w:t>九、</w:t>
      </w:r>
      <w:r>
        <w:rPr>
          <w:rStyle w:val="29"/>
          <w:rFonts w:hint="default" w:ascii="Times New Roman" w:hAnsi="Times New Roman" w:eastAsia="黑体" w:cs="Times New Roman"/>
          <w:b w:val="0"/>
          <w:color w:val="auto"/>
          <w:highlight w:val="none"/>
        </w:rPr>
        <w:t>国有资本经营预算支出决算情况说明</w:t>
      </w:r>
      <w:bookmarkEnd w:id="42"/>
      <w:bookmarkEnd w:id="43"/>
    </w:p>
    <w:p w14:paraId="4564CED5">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2024年度国有资本经营预算财政拨款支出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w:t>
      </w:r>
    </w:p>
    <w:p w14:paraId="12CFC8F5">
      <w:pPr>
        <w:numPr>
          <w:ilvl w:val="0"/>
          <w:numId w:val="0"/>
        </w:numPr>
        <w:spacing w:line="600" w:lineRule="exact"/>
        <w:ind w:left="630" w:leftChars="0" w:firstLine="0" w:firstLineChars="0"/>
        <w:outlineLvl w:val="0"/>
        <w:rPr>
          <w:rStyle w:val="29"/>
          <w:rFonts w:hint="default" w:ascii="Times New Roman" w:hAnsi="Times New Roman" w:eastAsia="黑体" w:cs="Times New Roman"/>
          <w:b w:val="0"/>
          <w:color w:val="auto"/>
          <w:highlight w:val="none"/>
        </w:rPr>
      </w:pPr>
      <w:bookmarkStart w:id="44" w:name="_Toc15377221"/>
      <w:bookmarkStart w:id="45" w:name="_Toc15396612"/>
      <w:r>
        <w:rPr>
          <w:rStyle w:val="29"/>
          <w:rFonts w:hint="default" w:ascii="Times New Roman" w:hAnsi="Times New Roman" w:eastAsia="黑体" w:cs="Times New Roman"/>
          <w:b w:val="0"/>
          <w:color w:val="auto"/>
          <w:highlight w:val="none"/>
          <w:lang w:eastAsia="zh-CN"/>
        </w:rPr>
        <w:t>十、</w:t>
      </w:r>
      <w:r>
        <w:rPr>
          <w:rStyle w:val="29"/>
          <w:rFonts w:hint="default" w:ascii="Times New Roman" w:hAnsi="Times New Roman" w:eastAsia="黑体" w:cs="Times New Roman"/>
          <w:b w:val="0"/>
          <w:color w:val="auto"/>
          <w:highlight w:val="none"/>
        </w:rPr>
        <w:t>其他重要事项的情况说明</w:t>
      </w:r>
      <w:bookmarkEnd w:id="44"/>
      <w:bookmarkEnd w:id="45"/>
    </w:p>
    <w:p w14:paraId="37707387">
      <w:pPr>
        <w:spacing w:line="600" w:lineRule="exact"/>
        <w:ind w:firstLine="643" w:firstLineChars="200"/>
        <w:outlineLvl w:val="1"/>
        <w:rPr>
          <w:rFonts w:hint="default" w:ascii="Times New Roman" w:hAnsi="Times New Roman" w:eastAsia="楷体_GB2312" w:cs="Times New Roman"/>
          <w:b/>
          <w:color w:val="auto"/>
          <w:sz w:val="32"/>
          <w:szCs w:val="32"/>
          <w:highlight w:val="none"/>
        </w:rPr>
      </w:pPr>
      <w:bookmarkStart w:id="46" w:name="_Toc15377222"/>
      <w:r>
        <w:rPr>
          <w:rFonts w:hint="default" w:ascii="Times New Roman" w:hAnsi="Times New Roman" w:eastAsia="楷体_GB2312" w:cs="Times New Roman"/>
          <w:b/>
          <w:color w:val="auto"/>
          <w:sz w:val="32"/>
          <w:szCs w:val="32"/>
          <w:highlight w:val="none"/>
        </w:rPr>
        <w:t>（一）机关运行经费支出情况</w:t>
      </w:r>
      <w:bookmarkEnd w:id="46"/>
    </w:p>
    <w:p w14:paraId="6AD5DC1D">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w:t>
      </w:r>
      <w:r>
        <w:rPr>
          <w:rFonts w:hint="default" w:ascii="Times New Roman" w:hAnsi="Times New Roman" w:eastAsia="仿宋_GB2312" w:cs="Times New Roman"/>
          <w:sz w:val="32"/>
          <w:szCs w:val="32"/>
        </w:rPr>
        <w:t>四川省攀枝花市土地储备中心</w:t>
      </w:r>
      <w:r>
        <w:rPr>
          <w:rFonts w:hint="default" w:ascii="Times New Roman" w:hAnsi="Times New Roman" w:eastAsia="仿宋_GB2312" w:cs="Times New Roman"/>
          <w:color w:val="auto"/>
          <w:kern w:val="2"/>
          <w:sz w:val="32"/>
          <w:szCs w:val="32"/>
          <w:highlight w:val="none"/>
          <w:lang w:val="en-US" w:eastAsia="zh-CN" w:bidi="ar-SA"/>
        </w:rPr>
        <w:t>机关运行经费支出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万元，比2023年度增加0万元，增长0%。</w:t>
      </w:r>
    </w:p>
    <w:p w14:paraId="621C46CE">
      <w:pPr>
        <w:spacing w:line="600" w:lineRule="exact"/>
        <w:ind w:firstLine="643" w:firstLineChars="200"/>
        <w:outlineLvl w:val="1"/>
        <w:rPr>
          <w:rFonts w:hint="default" w:ascii="Times New Roman" w:hAnsi="Times New Roman" w:eastAsia="楷体_GB2312" w:cs="Times New Roman"/>
          <w:b/>
          <w:color w:val="auto"/>
          <w:sz w:val="32"/>
          <w:szCs w:val="32"/>
          <w:highlight w:val="none"/>
        </w:rPr>
      </w:pPr>
      <w:bookmarkStart w:id="47" w:name="_Toc15377223"/>
      <w:r>
        <w:rPr>
          <w:rFonts w:hint="default" w:ascii="Times New Roman" w:hAnsi="Times New Roman" w:eastAsia="楷体_GB2312" w:cs="Times New Roman"/>
          <w:b/>
          <w:color w:val="auto"/>
          <w:sz w:val="32"/>
          <w:szCs w:val="32"/>
          <w:highlight w:val="none"/>
        </w:rPr>
        <w:t>（二）政府采购支出情况</w:t>
      </w:r>
      <w:bookmarkEnd w:id="47"/>
    </w:p>
    <w:p w14:paraId="219E682A">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w:t>
      </w:r>
      <w:r>
        <w:rPr>
          <w:rFonts w:hint="default" w:ascii="Times New Roman" w:hAnsi="Times New Roman" w:eastAsia="仿宋_GB2312" w:cs="Times New Roman"/>
          <w:sz w:val="32"/>
          <w:szCs w:val="32"/>
        </w:rPr>
        <w:t>四川省攀枝花市土地储备中心</w:t>
      </w:r>
      <w:r>
        <w:rPr>
          <w:rFonts w:hint="default" w:ascii="Times New Roman" w:hAnsi="Times New Roman" w:eastAsia="仿宋_GB2312" w:cs="Times New Roman"/>
          <w:color w:val="auto"/>
          <w:kern w:val="2"/>
          <w:sz w:val="32"/>
          <w:szCs w:val="32"/>
          <w:highlight w:val="none"/>
          <w:lang w:val="en-US" w:eastAsia="zh-CN" w:bidi="ar-SA"/>
        </w:rPr>
        <w:t>政府采购支出总额</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万元，其中：政府采购货物支出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万元、政府采购工程支出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万元、政府采购服务支出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万元。授予中小企业合同金额</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万元，占政府采购支出总额的</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%，其中：授予小微企业合同金额</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万元，占政府采购支出总额的</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w:t>
      </w:r>
    </w:p>
    <w:p w14:paraId="1BECFB3C">
      <w:pPr>
        <w:spacing w:line="600" w:lineRule="exact"/>
        <w:ind w:firstLine="643" w:firstLineChars="200"/>
        <w:outlineLvl w:val="1"/>
        <w:rPr>
          <w:rFonts w:hint="default" w:ascii="Times New Roman" w:hAnsi="Times New Roman" w:eastAsia="楷体_GB2312" w:cs="Times New Roman"/>
          <w:b/>
          <w:color w:val="auto"/>
          <w:sz w:val="32"/>
          <w:szCs w:val="32"/>
          <w:highlight w:val="none"/>
        </w:rPr>
      </w:pPr>
      <w:bookmarkStart w:id="48" w:name="_Toc15377224"/>
      <w:r>
        <w:rPr>
          <w:rFonts w:hint="default" w:ascii="Times New Roman" w:hAnsi="Times New Roman" w:eastAsia="楷体_GB2312" w:cs="Times New Roman"/>
          <w:b/>
          <w:color w:val="auto"/>
          <w:sz w:val="32"/>
          <w:szCs w:val="32"/>
          <w:highlight w:val="none"/>
        </w:rPr>
        <w:t>（三）国有资产占有使用情况</w:t>
      </w:r>
      <w:bookmarkEnd w:id="48"/>
    </w:p>
    <w:p w14:paraId="71D3E920">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截至2024年12月31日，</w:t>
      </w:r>
      <w:r>
        <w:rPr>
          <w:rFonts w:hint="default" w:ascii="Times New Roman" w:hAnsi="Times New Roman" w:eastAsia="仿宋_GB2312" w:cs="Times New Roman"/>
          <w:sz w:val="32"/>
          <w:szCs w:val="32"/>
        </w:rPr>
        <w:t>四川省攀枝花市土地储备中心</w:t>
      </w:r>
      <w:r>
        <w:rPr>
          <w:rFonts w:hint="default" w:ascii="Times New Roman" w:hAnsi="Times New Roman" w:eastAsia="仿宋_GB2312" w:cs="Times New Roman"/>
          <w:color w:val="auto"/>
          <w:kern w:val="2"/>
          <w:sz w:val="32"/>
          <w:szCs w:val="32"/>
          <w:highlight w:val="none"/>
          <w:lang w:val="en-US" w:eastAsia="zh-CN" w:bidi="ar-SA"/>
        </w:rPr>
        <w:t>共有车辆</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辆，其中：主要负责人用车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辆、机要通信用车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辆、应急保障用车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辆、其他用车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辆。单价100万元（含）以上设备（不含车辆）</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台（套）。</w:t>
      </w:r>
    </w:p>
    <w:p w14:paraId="65E9D9A4">
      <w:pPr>
        <w:spacing w:line="600" w:lineRule="exact"/>
        <w:ind w:firstLine="643" w:firstLineChars="200"/>
        <w:outlineLvl w:val="1"/>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（四）预算绩效管理情况</w:t>
      </w:r>
    </w:p>
    <w:p w14:paraId="2F7CA51D">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根据预算绩效管理要求，本单位在2024年度预算编制阶段，组织对储备土地及地面资产管理（非税项目）等9个项目开展了预算事前绩效评估，对9个项目编制了绩效目标，预算执行过程中，选取9个项目开展绩效监控，绩效自评表详见第四部分附件。</w:t>
      </w:r>
    </w:p>
    <w:p w14:paraId="2980462A">
      <w:pPr>
        <w:spacing w:line="600" w:lineRule="exact"/>
        <w:ind w:firstLine="640"/>
        <w:rPr>
          <w:rFonts w:hint="eastAsia"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 xml:space="preserve"> </w:t>
      </w:r>
    </w:p>
    <w:p w14:paraId="66E7FC4D">
      <w:pPr>
        <w:pStyle w:val="2"/>
        <w:rPr>
          <w:rFonts w:hint="eastAsia" w:eastAsia="仿宋_GB2312" w:cs="Times New Roman"/>
          <w:color w:val="auto"/>
          <w:kern w:val="2"/>
          <w:sz w:val="32"/>
          <w:szCs w:val="32"/>
          <w:highlight w:val="none"/>
          <w:lang w:val="en-US" w:eastAsia="zh-CN" w:bidi="ar-SA"/>
        </w:rPr>
      </w:pPr>
    </w:p>
    <w:p w14:paraId="7672F6B2">
      <w:pPr>
        <w:pStyle w:val="3"/>
        <w:rPr>
          <w:rFonts w:hint="default"/>
          <w:lang w:val="en-US" w:eastAsia="zh-CN"/>
        </w:rPr>
      </w:pPr>
    </w:p>
    <w:p w14:paraId="185E9593">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bookmarkStart w:id="49" w:name="_Toc15377225"/>
      <w:bookmarkStart w:id="50" w:name="_Toc15396613"/>
    </w:p>
    <w:p w14:paraId="5F7C9EAA">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p>
    <w:p w14:paraId="013FE207">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p>
    <w:p w14:paraId="607F1E7E">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p>
    <w:p w14:paraId="72B2CA7D">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p>
    <w:p w14:paraId="6D50DBA8">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p>
    <w:p w14:paraId="2362DDBA">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p>
    <w:p w14:paraId="3A3B1A8B">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p>
    <w:p w14:paraId="6E84C0F7">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p>
    <w:p w14:paraId="6AAF3B3E">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r>
        <w:rPr>
          <w:rFonts w:hint="default" w:ascii="Times New Roman" w:hAnsi="Times New Roman" w:eastAsia="黑体" w:cs="Times New Roman"/>
          <w:color w:val="auto"/>
          <w:sz w:val="44"/>
          <w:szCs w:val="44"/>
          <w:highlight w:val="none"/>
        </w:rPr>
        <w:t>第</w:t>
      </w:r>
      <w:r>
        <w:rPr>
          <w:rFonts w:hint="default" w:ascii="Times New Roman" w:hAnsi="Times New Roman" w:eastAsia="黑体" w:cs="Times New Roman"/>
          <w:color w:val="auto"/>
          <w:sz w:val="44"/>
          <w:szCs w:val="44"/>
          <w:highlight w:val="none"/>
          <w:lang w:eastAsia="zh-CN"/>
        </w:rPr>
        <w:t>三</w:t>
      </w:r>
      <w:r>
        <w:rPr>
          <w:rFonts w:hint="default" w:ascii="Times New Roman" w:hAnsi="Times New Roman" w:eastAsia="黑体" w:cs="Times New Roman"/>
          <w:color w:val="auto"/>
          <w:sz w:val="44"/>
          <w:szCs w:val="44"/>
          <w:highlight w:val="none"/>
        </w:rPr>
        <w:t>部分</w:t>
      </w:r>
      <w:r>
        <w:rPr>
          <w:rFonts w:hint="default" w:ascii="Times New Roman" w:hAnsi="Times New Roman" w:eastAsia="黑体" w:cs="Times New Roman"/>
          <w:color w:val="auto"/>
          <w:sz w:val="44"/>
          <w:szCs w:val="44"/>
          <w:highlight w:val="none"/>
          <w:lang w:val="en-US" w:eastAsia="zh-CN"/>
        </w:rPr>
        <w:t xml:space="preserve">  </w:t>
      </w:r>
      <w:r>
        <w:rPr>
          <w:rFonts w:hint="default" w:ascii="Times New Roman" w:hAnsi="Times New Roman" w:eastAsia="黑体" w:cs="Times New Roman"/>
          <w:color w:val="auto"/>
          <w:sz w:val="44"/>
          <w:szCs w:val="44"/>
          <w:highlight w:val="none"/>
        </w:rPr>
        <w:t>名词解释</w:t>
      </w:r>
      <w:bookmarkEnd w:id="49"/>
      <w:bookmarkEnd w:id="50"/>
    </w:p>
    <w:p w14:paraId="1FA1DF0E">
      <w:pPr>
        <w:spacing w:line="600" w:lineRule="exact"/>
        <w:jc w:val="left"/>
        <w:rPr>
          <w:rFonts w:hint="default" w:ascii="Times New Roman" w:hAnsi="Times New Roman" w:cs="Times New Roman"/>
          <w:b/>
          <w:color w:val="auto"/>
          <w:sz w:val="44"/>
          <w:szCs w:val="44"/>
          <w:highlight w:val="none"/>
        </w:rPr>
      </w:pPr>
    </w:p>
    <w:p w14:paraId="2A9FB5F7">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bookmarkStart w:id="51" w:name="_Toc15377226"/>
      <w:r>
        <w:rPr>
          <w:rFonts w:hint="default" w:ascii="Times New Roman" w:hAnsi="Times New Roman" w:eastAsia="仿宋_GB2312" w:cs="Times New Roman"/>
          <w:color w:val="auto"/>
          <w:kern w:val="2"/>
          <w:sz w:val="32"/>
          <w:szCs w:val="32"/>
          <w:highlight w:val="none"/>
          <w:lang w:val="en-US" w:eastAsia="zh-CN" w:bidi="ar-SA"/>
        </w:rPr>
        <w:t>1.财政拨款收入：指单位从同级财政部门取得的财政预算资金。</w:t>
      </w:r>
    </w:p>
    <w:p w14:paraId="6AA116A5">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2.事业收入：指事业单位开展专业业务活动及辅助活动取得的收入。</w:t>
      </w:r>
    </w:p>
    <w:p w14:paraId="628827C0">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3.经营收入：指事业单位在专业业务活动及其辅助活动之外开展非独立核算经营活动取得的收入。</w:t>
      </w:r>
    </w:p>
    <w:p w14:paraId="3F53D0CB">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xml:space="preserve">4.其他收入：指单位取得的除上述收入以外的各项收入。 </w:t>
      </w:r>
    </w:p>
    <w:p w14:paraId="29C291BA">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xml:space="preserve">5.使用非财政拨款结余：指事业单位使用以前年度积累的非财政拨款结余弥补当年收支差额的金额。 </w:t>
      </w:r>
    </w:p>
    <w:p w14:paraId="3CE70CD0">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xml:space="preserve">6.年初结转和结余：指以前年度尚未完成、结转到本年按有关规定继续使用的资金。 </w:t>
      </w:r>
    </w:p>
    <w:p w14:paraId="733F6682">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7.结余分配：指事业单位按照会计制度规定缴纳的所得税、提取的专用结余以及转入非财政拨款结余的金额等。</w:t>
      </w:r>
    </w:p>
    <w:p w14:paraId="053545C2">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8.年末结转和结余：指单位按有关规定结转到下年或以后年度继续使用的资金。</w:t>
      </w:r>
    </w:p>
    <w:p w14:paraId="7A2747C4">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9.社会保障和就业（类）行政事业单位养老支出（款）机关事业单位基本养老保险缴费支出（项）：指机关事业单位实施养老保险制度由单位缴纳的基本养老保险费支出。</w:t>
      </w:r>
    </w:p>
    <w:p w14:paraId="125CA315">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10.社会保障和就业（类）行政事业单位养老支出（款）事业单位离退休支出（项）：指事业单位开支的离退休经费。</w:t>
      </w:r>
    </w:p>
    <w:p w14:paraId="15DAE7FC">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11.社会保障和就业（类）人力资源和社会保障管理事务（款）其他人力资源和社会保障管理事务支出（项）：指其他用于人力资源和社会保障管理事务方面的支出。</w:t>
      </w:r>
    </w:p>
    <w:p w14:paraId="280FE56A">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12.社会保障和就业（类）行政事业单位养老支出（款）机关事业单位职业年金缴费支出（项）：指由单位实际缴纳的职业年金支出。</w:t>
      </w:r>
    </w:p>
    <w:p w14:paraId="5551F9E9">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13.卫生健康支出（类）行政事业单位医疗（款）事业单位医疗（项）：指事业单位基本医疗保险缴费经费，未参加医疗保险的事业单位的公费医疗经费，按国家规定享受离休人员待遇的医疗经费。</w:t>
      </w:r>
    </w:p>
    <w:p w14:paraId="0E20B7C7">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14.卫生健康支出（类）行政事业单位医疗（款）公务员医疗补助（项）：指财政部门安排的公务员医疗补助经费。</w:t>
      </w:r>
    </w:p>
    <w:p w14:paraId="129FA402">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15.卫生健康支出（类）行政事业单位医疗（款）其他行政事业单位医疗支出（项）：指其他用于行政事业单位医疗方面的支出。</w:t>
      </w:r>
    </w:p>
    <w:p w14:paraId="46228759">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16.城乡社区支出（类）城乡社区公共设施（款）其他城乡社区公共设施支出（项）：指其他用于城乡社区公共设施方面的支出。</w:t>
      </w:r>
    </w:p>
    <w:p w14:paraId="552CD68D">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17.城乡社区支出（类）其他城乡社区支出（款）其他城乡社区支出（项）：其他用于城乡社区方面的支出。</w:t>
      </w:r>
    </w:p>
    <w:p w14:paraId="1EAEB450">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18.自然资源海洋气象等支出（类）自然资源事务（款）事业运行（项）：指事业单位的基本支出，不包括行政单位（包括实行公务员管理的事业单位）后勤服务中心、医务室等附属事业单位。</w:t>
      </w:r>
    </w:p>
    <w:p w14:paraId="4E87C32D">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19.自然资源海洋气象等支出（类）自然资源事务（款）其他自然资源事务支出（项）：其他用于自然资源事务方面的支出。</w:t>
      </w:r>
    </w:p>
    <w:p w14:paraId="15966160">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20.住房保障支出（类）住房改革支出（款）住房公积金（项）：指行政事业单位按人力资源和社会保障部、财政部规定的基本工资和津贴补贴以及规定比例为职工缴纳的住房公积金。</w:t>
      </w:r>
    </w:p>
    <w:p w14:paraId="6C5BFC72">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21.基本支出：指为保障机构正常运转、完成日常工作任务而发生的人员支出和公用支出。</w:t>
      </w:r>
    </w:p>
    <w:p w14:paraId="62112EC0">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xml:space="preserve">22.项目支出：指在基本支出之外为完成特定行政任务和事业发展目标所发生的支出。 </w:t>
      </w:r>
    </w:p>
    <w:p w14:paraId="6791C300">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23.经营支出：指事业单位在专业业务活动及其辅助活动之外开展非独立核算经营活动发生的支出。</w:t>
      </w:r>
    </w:p>
    <w:p w14:paraId="166E29E2">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24.“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000BDB3">
      <w:pPr>
        <w:spacing w:line="600" w:lineRule="exact"/>
        <w:ind w:firstLine="640"/>
        <w:jc w:val="both"/>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default" w:ascii="Times New Roman" w:hAnsi="Times New Roman" w:eastAsia="仿宋_GB2312" w:cs="Times New Roman"/>
          <w:color w:val="auto"/>
          <w:kern w:val="2"/>
          <w:sz w:val="32"/>
          <w:szCs w:val="32"/>
          <w:highlight w:val="none"/>
          <w:lang w:val="en-US" w:eastAsia="zh-CN" w:bidi="ar-SA"/>
        </w:rPr>
        <w:br w:type="page"/>
      </w:r>
      <w:bookmarkStart w:id="52" w:name="_Toc15396614"/>
    </w:p>
    <w:p w14:paraId="07CF29DE">
      <w:pPr>
        <w:spacing w:line="600" w:lineRule="exact"/>
        <w:jc w:val="center"/>
        <w:rPr>
          <w:rStyle w:val="28"/>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color w:val="auto"/>
          <w:sz w:val="44"/>
          <w:szCs w:val="44"/>
          <w:highlight w:val="none"/>
        </w:rPr>
        <w:t>第四部分</w:t>
      </w:r>
      <w:r>
        <w:rPr>
          <w:rFonts w:hint="default" w:ascii="Times New Roman" w:hAnsi="Times New Roman" w:eastAsia="黑体" w:cs="Times New Roman"/>
          <w:color w:val="auto"/>
          <w:sz w:val="44"/>
          <w:szCs w:val="44"/>
          <w:highlight w:val="none"/>
          <w:lang w:val="en-US" w:eastAsia="zh-CN"/>
        </w:rPr>
        <w:t xml:space="preserve"> </w:t>
      </w:r>
      <w:r>
        <w:rPr>
          <w:rFonts w:hint="default" w:ascii="Times New Roman" w:hAnsi="Times New Roman" w:eastAsia="黑体" w:cs="Times New Roman"/>
          <w:color w:val="auto"/>
          <w:sz w:val="44"/>
          <w:szCs w:val="44"/>
          <w:highlight w:val="none"/>
        </w:rPr>
        <w:t xml:space="preserve"> 附件</w:t>
      </w:r>
      <w:bookmarkEnd w:id="52"/>
    </w:p>
    <w:p w14:paraId="55A88EC3">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0F8FE4B1">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攀枝花市土地储备中心</w:t>
      </w:r>
      <w:r>
        <w:rPr>
          <w:rFonts w:hint="default" w:ascii="Times New Roman" w:hAnsi="Times New Roman" w:eastAsia="仿宋_GB2312" w:cs="Times New Roman"/>
          <w:color w:val="auto"/>
          <w:kern w:val="2"/>
          <w:sz w:val="32"/>
          <w:szCs w:val="32"/>
          <w:highlight w:val="none"/>
          <w:lang w:val="en-US" w:eastAsia="zh-CN" w:bidi="ar-SA"/>
        </w:rPr>
        <w:t>部门预算项目支出绩效自评表（2024年度）</w:t>
      </w:r>
      <w:r>
        <w:rPr>
          <w:rFonts w:hint="eastAsia" w:eastAsia="仿宋_GB2312" w:cs="Times New Roman"/>
          <w:color w:val="auto"/>
          <w:kern w:val="2"/>
          <w:sz w:val="32"/>
          <w:szCs w:val="32"/>
          <w:highlight w:val="none"/>
          <w:lang w:val="en-US" w:eastAsia="zh-CN" w:bidi="ar-SA"/>
        </w:rPr>
        <w:t xml:space="preserve"> </w:t>
      </w:r>
    </w:p>
    <w:p w14:paraId="64206960">
      <w:pPr>
        <w:pStyle w:val="2"/>
        <w:rPr>
          <w:rFonts w:hint="default" w:ascii="Times New Roman" w:hAnsi="Times New Roman" w:cs="Times New Roman"/>
          <w:color w:val="FF0000"/>
          <w:kern w:val="0"/>
          <w:sz w:val="32"/>
          <w:szCs w:val="32"/>
          <w:highlight w:val="yellow"/>
          <w:shd w:val="clear" w:color="auto" w:fill="FFFFFF"/>
          <w:lang w:val="zh-CN"/>
        </w:rPr>
      </w:pPr>
    </w:p>
    <w:p w14:paraId="21EEBB05">
      <w:pPr>
        <w:rPr>
          <w:rFonts w:hint="default" w:ascii="Times New Roman" w:hAnsi="Times New Roman" w:eastAsia="黑体" w:cs="Times New Roman"/>
          <w:color w:val="auto"/>
          <w:kern w:val="0"/>
          <w:sz w:val="32"/>
          <w:szCs w:val="32"/>
          <w:highlight w:val="none"/>
          <w:shd w:val="clear" w:color="auto" w:fill="FFFFFF"/>
          <w:lang w:val="zh-CN"/>
        </w:rPr>
      </w:pPr>
      <w:r>
        <w:rPr>
          <w:rFonts w:hint="default" w:ascii="Times New Roman" w:hAnsi="Times New Roman" w:eastAsia="黑体" w:cs="Times New Roman"/>
          <w:color w:val="auto"/>
          <w:kern w:val="0"/>
          <w:sz w:val="32"/>
          <w:szCs w:val="32"/>
          <w:highlight w:val="none"/>
          <w:shd w:val="clear" w:color="auto" w:fill="FFFFFF"/>
          <w:lang w:val="zh-CN"/>
        </w:rPr>
        <w:br w:type="page"/>
      </w:r>
    </w:p>
    <w:p w14:paraId="0FB1C135">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仿宋_GB2312" w:cs="Times New Roman"/>
          <w:b w:val="0"/>
          <w:bCs w:val="0"/>
          <w:kern w:val="0"/>
          <w:position w:val="0"/>
          <w:sz w:val="32"/>
          <w:szCs w:val="32"/>
          <w:highlight w:val="none"/>
          <w:lang w:val="en-US" w:eastAsia="zh-CN" w:bidi="ar-SA"/>
        </w:rPr>
      </w:pPr>
      <w:bookmarkStart w:id="53" w:name="_Toc15396618"/>
    </w:p>
    <w:p w14:paraId="7525AFB0">
      <w:pPr>
        <w:widowControl/>
        <w:jc w:val="center"/>
        <w:outlineLvl w:val="0"/>
        <w:rPr>
          <w:rFonts w:hint="default" w:ascii="Times New Roman" w:hAnsi="Times New Roman" w:eastAsia="仿宋" w:cs="Times New Roman"/>
          <w:b w:val="0"/>
          <w:color w:val="auto"/>
          <w:highlight w:val="none"/>
        </w:rPr>
      </w:pPr>
      <w:r>
        <w:rPr>
          <w:rFonts w:hint="default" w:ascii="Times New Roman" w:hAnsi="Times New Roman" w:eastAsia="黑体" w:cs="Times New Roman"/>
          <w:color w:val="auto"/>
          <w:sz w:val="44"/>
          <w:szCs w:val="44"/>
          <w:highlight w:val="none"/>
        </w:rPr>
        <w:t>第</w:t>
      </w:r>
      <w:r>
        <w:rPr>
          <w:rStyle w:val="28"/>
          <w:rFonts w:hint="default" w:ascii="Times New Roman" w:hAnsi="Times New Roman" w:eastAsia="黑体" w:cs="Times New Roman"/>
          <w:b w:val="0"/>
          <w:color w:val="auto"/>
          <w:highlight w:val="none"/>
        </w:rPr>
        <w:t>五部分 附表</w:t>
      </w:r>
      <w:bookmarkEnd w:id="51"/>
      <w:bookmarkEnd w:id="53"/>
      <w:bookmarkStart w:id="54" w:name="_Toc15396619"/>
    </w:p>
    <w:p w14:paraId="13599D16">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p>
    <w:p w14:paraId="30F3129F">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一、收入支出决算总表</w:t>
      </w:r>
      <w:bookmarkEnd w:id="54"/>
    </w:p>
    <w:p w14:paraId="5E8C85F8">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5" w:name="_Toc15396620"/>
      <w:r>
        <w:rPr>
          <w:rFonts w:hint="default" w:ascii="Times New Roman" w:hAnsi="Times New Roman" w:eastAsia="仿宋_GB2312" w:cs="Times New Roman"/>
          <w:color w:val="auto"/>
          <w:sz w:val="32"/>
          <w:szCs w:val="32"/>
          <w:highlight w:val="none"/>
        </w:rPr>
        <w:t>二、收入决算表</w:t>
      </w:r>
      <w:bookmarkEnd w:id="55"/>
    </w:p>
    <w:p w14:paraId="04965115">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6" w:name="_Toc15396621"/>
      <w:r>
        <w:rPr>
          <w:rFonts w:hint="default" w:ascii="Times New Roman" w:hAnsi="Times New Roman" w:eastAsia="仿宋_GB2312" w:cs="Times New Roman"/>
          <w:color w:val="auto"/>
          <w:sz w:val="32"/>
          <w:szCs w:val="32"/>
          <w:highlight w:val="none"/>
        </w:rPr>
        <w:t>三、支出决算表</w:t>
      </w:r>
      <w:bookmarkEnd w:id="56"/>
    </w:p>
    <w:p w14:paraId="4BA356F0">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7" w:name="_Toc15396622"/>
      <w:r>
        <w:rPr>
          <w:rFonts w:hint="default" w:ascii="Times New Roman" w:hAnsi="Times New Roman" w:eastAsia="仿宋_GB2312" w:cs="Times New Roman"/>
          <w:color w:val="auto"/>
          <w:sz w:val="32"/>
          <w:szCs w:val="32"/>
          <w:highlight w:val="none"/>
        </w:rPr>
        <w:t>四、财政拨款收入支出决算总表</w:t>
      </w:r>
      <w:bookmarkEnd w:id="57"/>
    </w:p>
    <w:p w14:paraId="5C25DDE1">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8" w:name="_Toc15396623"/>
      <w:r>
        <w:rPr>
          <w:rFonts w:hint="default" w:ascii="Times New Roman" w:hAnsi="Times New Roman" w:eastAsia="仿宋_GB2312" w:cs="Times New Roman"/>
          <w:color w:val="auto"/>
          <w:sz w:val="32"/>
          <w:szCs w:val="32"/>
          <w:highlight w:val="none"/>
        </w:rPr>
        <w:t>五、财政拨款支出决算明细表</w:t>
      </w:r>
      <w:bookmarkEnd w:id="58"/>
      <w:bookmarkStart w:id="59" w:name="_Toc15396624"/>
    </w:p>
    <w:p w14:paraId="4891791F">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六、一般公共预算财政拨款支出决算表</w:t>
      </w:r>
      <w:bookmarkEnd w:id="59"/>
    </w:p>
    <w:p w14:paraId="01C76EBB">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0" w:name="_Toc15396625"/>
      <w:r>
        <w:rPr>
          <w:rFonts w:hint="default" w:ascii="Times New Roman" w:hAnsi="Times New Roman" w:eastAsia="仿宋_GB2312" w:cs="Times New Roman"/>
          <w:color w:val="auto"/>
          <w:sz w:val="32"/>
          <w:szCs w:val="32"/>
          <w:highlight w:val="none"/>
        </w:rPr>
        <w:t>七、一般公共预算财政拨款支出决算明细表</w:t>
      </w:r>
      <w:bookmarkEnd w:id="60"/>
    </w:p>
    <w:p w14:paraId="6F0437B1">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1" w:name="_Toc15396626"/>
      <w:r>
        <w:rPr>
          <w:rFonts w:hint="default" w:ascii="Times New Roman" w:hAnsi="Times New Roman" w:eastAsia="仿宋_GB2312" w:cs="Times New Roman"/>
          <w:color w:val="auto"/>
          <w:sz w:val="32"/>
          <w:szCs w:val="32"/>
          <w:highlight w:val="none"/>
        </w:rPr>
        <w:t>八、一般公共预算财政拨款基本支出决算表</w:t>
      </w:r>
      <w:bookmarkEnd w:id="61"/>
    </w:p>
    <w:p w14:paraId="2E9233ED">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2" w:name="_Toc15396627"/>
      <w:r>
        <w:rPr>
          <w:rFonts w:hint="default" w:ascii="Times New Roman" w:hAnsi="Times New Roman" w:eastAsia="仿宋_GB2312" w:cs="Times New Roman"/>
          <w:color w:val="auto"/>
          <w:sz w:val="32"/>
          <w:szCs w:val="32"/>
          <w:highlight w:val="none"/>
        </w:rPr>
        <w:t>九、一般公共预算财政拨款项目支出决算表</w:t>
      </w:r>
      <w:bookmarkEnd w:id="62"/>
    </w:p>
    <w:p w14:paraId="5BB1D872">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3" w:name="_Toc15396628"/>
      <w:r>
        <w:rPr>
          <w:rFonts w:hint="default" w:ascii="Times New Roman" w:hAnsi="Times New Roman" w:eastAsia="仿宋_GB2312" w:cs="Times New Roman"/>
          <w:color w:val="auto"/>
          <w:sz w:val="32"/>
          <w:szCs w:val="32"/>
          <w:highlight w:val="none"/>
        </w:rPr>
        <w:t>十、</w:t>
      </w:r>
      <w:bookmarkEnd w:id="63"/>
      <w:r>
        <w:rPr>
          <w:rFonts w:hint="default" w:ascii="Times New Roman" w:hAnsi="Times New Roman" w:eastAsia="仿宋_GB2312" w:cs="Times New Roman"/>
          <w:color w:val="auto"/>
          <w:sz w:val="32"/>
          <w:szCs w:val="32"/>
          <w:highlight w:val="none"/>
        </w:rPr>
        <w:t>政府性基金预算财政拨款收入支出决算表</w:t>
      </w:r>
    </w:p>
    <w:p w14:paraId="1A5D689C">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4" w:name="_Toc15396629"/>
      <w:r>
        <w:rPr>
          <w:rFonts w:hint="default" w:ascii="Times New Roman" w:hAnsi="Times New Roman" w:eastAsia="仿宋_GB2312" w:cs="Times New Roman"/>
          <w:color w:val="auto"/>
          <w:sz w:val="32"/>
          <w:szCs w:val="32"/>
          <w:highlight w:val="none"/>
        </w:rPr>
        <w:t>十一、</w:t>
      </w:r>
      <w:bookmarkEnd w:id="64"/>
      <w:r>
        <w:rPr>
          <w:rFonts w:hint="default" w:ascii="Times New Roman" w:hAnsi="Times New Roman" w:eastAsia="仿宋_GB2312" w:cs="Times New Roman"/>
          <w:color w:val="auto"/>
          <w:sz w:val="32"/>
          <w:szCs w:val="32"/>
          <w:highlight w:val="none"/>
        </w:rPr>
        <w:t>国有资本经营预算</w:t>
      </w:r>
      <w:r>
        <w:rPr>
          <w:rFonts w:hint="default" w:ascii="Times New Roman" w:hAnsi="Times New Roman" w:eastAsia="仿宋_GB2312" w:cs="Times New Roman"/>
          <w:color w:val="auto"/>
          <w:sz w:val="32"/>
          <w:szCs w:val="32"/>
          <w:highlight w:val="none"/>
          <w:lang w:eastAsia="zh-CN"/>
        </w:rPr>
        <w:t>财政拨款收入</w:t>
      </w:r>
      <w:r>
        <w:rPr>
          <w:rFonts w:hint="default" w:ascii="Times New Roman" w:hAnsi="Times New Roman" w:eastAsia="仿宋_GB2312" w:cs="Times New Roman"/>
          <w:color w:val="auto"/>
          <w:sz w:val="32"/>
          <w:szCs w:val="32"/>
          <w:highlight w:val="none"/>
        </w:rPr>
        <w:t>支出决算表</w:t>
      </w:r>
    </w:p>
    <w:p w14:paraId="06F40020">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5" w:name="_Toc15396630"/>
      <w:r>
        <w:rPr>
          <w:rFonts w:hint="default" w:ascii="Times New Roman" w:hAnsi="Times New Roman" w:eastAsia="仿宋_GB2312" w:cs="Times New Roman"/>
          <w:color w:val="auto"/>
          <w:sz w:val="32"/>
          <w:szCs w:val="32"/>
          <w:highlight w:val="none"/>
        </w:rPr>
        <w:t>十二、</w:t>
      </w:r>
      <w:bookmarkEnd w:id="65"/>
      <w:r>
        <w:rPr>
          <w:rFonts w:hint="default" w:ascii="Times New Roman" w:hAnsi="Times New Roman" w:eastAsia="仿宋_GB2312" w:cs="Times New Roman"/>
          <w:color w:val="auto"/>
          <w:sz w:val="32"/>
          <w:szCs w:val="32"/>
          <w:highlight w:val="none"/>
          <w:lang w:eastAsia="zh-CN"/>
        </w:rPr>
        <w:t>国有资本经营预算财政拨款支出决算表</w:t>
      </w:r>
    </w:p>
    <w:p w14:paraId="0BD67FA4">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lang w:eastAsia="zh-CN"/>
        </w:rPr>
      </w:pPr>
      <w:bookmarkStart w:id="66" w:name="_Toc15396631"/>
      <w:r>
        <w:rPr>
          <w:rFonts w:hint="default" w:ascii="Times New Roman" w:hAnsi="Times New Roman" w:eastAsia="仿宋_GB2312" w:cs="Times New Roman"/>
          <w:color w:val="auto"/>
          <w:sz w:val="32"/>
          <w:szCs w:val="32"/>
          <w:highlight w:val="none"/>
        </w:rPr>
        <w:t>十三、</w:t>
      </w:r>
      <w:bookmarkEnd w:id="66"/>
      <w:r>
        <w:rPr>
          <w:rFonts w:hint="default" w:ascii="Times New Roman" w:hAnsi="Times New Roman" w:eastAsia="仿宋_GB2312" w:cs="Times New Roman"/>
          <w:color w:val="auto"/>
          <w:sz w:val="32"/>
          <w:szCs w:val="32"/>
          <w:highlight w:val="none"/>
          <w:lang w:eastAsia="zh-CN"/>
        </w:rPr>
        <w:t>财政拨款“三公”经费支出决算表</w:t>
      </w:r>
    </w:p>
    <w:p w14:paraId="2BB172C1">
      <w:pPr>
        <w:rPr>
          <w:rFonts w:hint="default" w:ascii="Times New Roman" w:hAnsi="Times New Roman" w:cs="Times New Roman"/>
          <w:lang w:eastAsia="zh-CN"/>
        </w:rPr>
      </w:pPr>
    </w:p>
    <w:sectPr>
      <w:footerReference r:id="rId10" w:type="first"/>
      <w:footerReference r:id="rId9" w:type="default"/>
      <w:pgSz w:w="11906" w:h="16838"/>
      <w:pgMar w:top="1440" w:right="1800" w:bottom="1440" w:left="1800"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04564">
    <w:pPr>
      <w:pStyle w:val="3"/>
      <w:jc w:val="center"/>
    </w:pPr>
  </w:p>
  <w:p w14:paraId="0E7C1E59">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55B4E">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82648">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9480FC">
                          <w:pPr>
                            <w:pStyle w:val="3"/>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A9480FC">
                    <w:pPr>
                      <w:pStyle w:val="3"/>
                    </w:pPr>
                    <w:r>
                      <w:fldChar w:fldCharType="begin"/>
                    </w:r>
                    <w:r>
                      <w:instrText xml:space="preserve"> PAGE  \* MERGEFORMAT </w:instrText>
                    </w:r>
                    <w:r>
                      <w:fldChar w:fldCharType="separate"/>
                    </w:r>
                    <w:r>
                      <w:t>- 2 -</w:t>
                    </w:r>
                    <w:r>
                      <w:fldChar w:fldCharType="end"/>
                    </w:r>
                  </w:p>
                </w:txbxContent>
              </v:textbox>
            </v:shape>
          </w:pict>
        </mc:Fallback>
      </mc:AlternateContent>
    </w:r>
  </w:p>
  <w:p w14:paraId="0F5160FB">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F5AD5">
    <w:pPr>
      <w:pStyle w:val="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B2E939">
                          <w:pPr>
                            <w:pStyle w:val="3"/>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8B2E939">
                    <w:pPr>
                      <w:pStyle w:val="3"/>
                    </w:pPr>
                    <w:r>
                      <w:fldChar w:fldCharType="begin"/>
                    </w:r>
                    <w:r>
                      <w:instrText xml:space="preserve"> PAGE  \* MERGEFORMAT </w:instrText>
                    </w:r>
                    <w:r>
                      <w:fldChar w:fldCharType="separate"/>
                    </w:r>
                    <w:r>
                      <w:t>- 2 -</w:t>
                    </w:r>
                    <w:r>
                      <w:fldChar w:fldCharType="end"/>
                    </w:r>
                  </w:p>
                </w:txbxContent>
              </v:textbox>
            </v:shape>
          </w:pict>
        </mc:Fallback>
      </mc:AlternateContent>
    </w:r>
  </w:p>
  <w:p w14:paraId="4C7E5B48">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88CC4">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D54977">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BD54977">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01927">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B2BDA">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FBD41">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966B0E"/>
    <w:multiLevelType w:val="singleLevel"/>
    <w:tmpl w:val="69966B0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101675"/>
    <w:rsid w:val="012A5EC2"/>
    <w:rsid w:val="015975B8"/>
    <w:rsid w:val="02077F54"/>
    <w:rsid w:val="02FEBE30"/>
    <w:rsid w:val="04916F1E"/>
    <w:rsid w:val="04D04473"/>
    <w:rsid w:val="04EC4C75"/>
    <w:rsid w:val="05BB24F7"/>
    <w:rsid w:val="061E35DE"/>
    <w:rsid w:val="066E0107"/>
    <w:rsid w:val="06742F72"/>
    <w:rsid w:val="06D53145"/>
    <w:rsid w:val="077211C3"/>
    <w:rsid w:val="07996F6E"/>
    <w:rsid w:val="07DFD8BA"/>
    <w:rsid w:val="0806773B"/>
    <w:rsid w:val="08232E32"/>
    <w:rsid w:val="097F3A10"/>
    <w:rsid w:val="09867E8F"/>
    <w:rsid w:val="09A9423C"/>
    <w:rsid w:val="0A2032A3"/>
    <w:rsid w:val="0CA8290A"/>
    <w:rsid w:val="0D35B1ED"/>
    <w:rsid w:val="0E254B6B"/>
    <w:rsid w:val="0F98263C"/>
    <w:rsid w:val="101860EC"/>
    <w:rsid w:val="101F47CC"/>
    <w:rsid w:val="10C055FF"/>
    <w:rsid w:val="10FC06C6"/>
    <w:rsid w:val="11694EBD"/>
    <w:rsid w:val="11772AA4"/>
    <w:rsid w:val="118107EC"/>
    <w:rsid w:val="12E24EE2"/>
    <w:rsid w:val="13D50BC4"/>
    <w:rsid w:val="14B17F78"/>
    <w:rsid w:val="165E0673"/>
    <w:rsid w:val="16B831D5"/>
    <w:rsid w:val="16BB723D"/>
    <w:rsid w:val="17E50567"/>
    <w:rsid w:val="186504BB"/>
    <w:rsid w:val="19A445FC"/>
    <w:rsid w:val="1BD16179"/>
    <w:rsid w:val="1BE8440E"/>
    <w:rsid w:val="1C8A7423"/>
    <w:rsid w:val="1D155CEE"/>
    <w:rsid w:val="1D1638FE"/>
    <w:rsid w:val="1E312DEB"/>
    <w:rsid w:val="1E740ACF"/>
    <w:rsid w:val="1FF35744"/>
    <w:rsid w:val="1FF6BC77"/>
    <w:rsid w:val="208244E5"/>
    <w:rsid w:val="2186353C"/>
    <w:rsid w:val="22FD59B9"/>
    <w:rsid w:val="23860B96"/>
    <w:rsid w:val="240371BF"/>
    <w:rsid w:val="244F3473"/>
    <w:rsid w:val="24590C78"/>
    <w:rsid w:val="249C05E8"/>
    <w:rsid w:val="24C97D99"/>
    <w:rsid w:val="25A718F0"/>
    <w:rsid w:val="25BB59F6"/>
    <w:rsid w:val="25D6584F"/>
    <w:rsid w:val="260F557C"/>
    <w:rsid w:val="26970054"/>
    <w:rsid w:val="276B7AD6"/>
    <w:rsid w:val="281408E2"/>
    <w:rsid w:val="282F7BEE"/>
    <w:rsid w:val="28652699"/>
    <w:rsid w:val="28D82C63"/>
    <w:rsid w:val="29FD04D3"/>
    <w:rsid w:val="2A7A723E"/>
    <w:rsid w:val="2BFF7BC6"/>
    <w:rsid w:val="2C8A61B5"/>
    <w:rsid w:val="2D0143E4"/>
    <w:rsid w:val="2DD066CC"/>
    <w:rsid w:val="2DF04E50"/>
    <w:rsid w:val="2E586DFA"/>
    <w:rsid w:val="2F040D46"/>
    <w:rsid w:val="2F50024D"/>
    <w:rsid w:val="2F6B035B"/>
    <w:rsid w:val="2FAE5751"/>
    <w:rsid w:val="2FB1A395"/>
    <w:rsid w:val="2FD9A7D8"/>
    <w:rsid w:val="2FDBF714"/>
    <w:rsid w:val="30AB6865"/>
    <w:rsid w:val="319F7F4E"/>
    <w:rsid w:val="32506E1A"/>
    <w:rsid w:val="32BD1EF1"/>
    <w:rsid w:val="3304709D"/>
    <w:rsid w:val="33A773CB"/>
    <w:rsid w:val="33D4357B"/>
    <w:rsid w:val="33F85ED1"/>
    <w:rsid w:val="349D6851"/>
    <w:rsid w:val="36AA5135"/>
    <w:rsid w:val="36BE0DA7"/>
    <w:rsid w:val="375546D0"/>
    <w:rsid w:val="376B6AA6"/>
    <w:rsid w:val="376D39B2"/>
    <w:rsid w:val="37E16F03"/>
    <w:rsid w:val="37F53A3B"/>
    <w:rsid w:val="383A6F30"/>
    <w:rsid w:val="389B6C89"/>
    <w:rsid w:val="38D469F0"/>
    <w:rsid w:val="39627CCD"/>
    <w:rsid w:val="397BAF1F"/>
    <w:rsid w:val="3AB79AF3"/>
    <w:rsid w:val="3AE834C0"/>
    <w:rsid w:val="3B7EF35A"/>
    <w:rsid w:val="3B9FDB6C"/>
    <w:rsid w:val="3BF5BC2F"/>
    <w:rsid w:val="3CB22BCD"/>
    <w:rsid w:val="3CEBA265"/>
    <w:rsid w:val="3D98207C"/>
    <w:rsid w:val="3DEE7CF3"/>
    <w:rsid w:val="3E740A63"/>
    <w:rsid w:val="3E78745D"/>
    <w:rsid w:val="3EE17838"/>
    <w:rsid w:val="3EE55BC4"/>
    <w:rsid w:val="3F55381A"/>
    <w:rsid w:val="3F7F7599"/>
    <w:rsid w:val="3FF4CAE0"/>
    <w:rsid w:val="3FF7B227"/>
    <w:rsid w:val="41F25A6B"/>
    <w:rsid w:val="42424D84"/>
    <w:rsid w:val="440C5A4E"/>
    <w:rsid w:val="44E268DA"/>
    <w:rsid w:val="450D13D7"/>
    <w:rsid w:val="45506656"/>
    <w:rsid w:val="459947CA"/>
    <w:rsid w:val="464F1832"/>
    <w:rsid w:val="477A02EF"/>
    <w:rsid w:val="486A6C7A"/>
    <w:rsid w:val="49B22D26"/>
    <w:rsid w:val="4A454E67"/>
    <w:rsid w:val="4A477482"/>
    <w:rsid w:val="4A627F82"/>
    <w:rsid w:val="4B0E749A"/>
    <w:rsid w:val="4B2477C4"/>
    <w:rsid w:val="4B4F25DA"/>
    <w:rsid w:val="4BE068DB"/>
    <w:rsid w:val="4D577224"/>
    <w:rsid w:val="4D922EE6"/>
    <w:rsid w:val="4DBF1CEB"/>
    <w:rsid w:val="4DF0007C"/>
    <w:rsid w:val="4EAB630A"/>
    <w:rsid w:val="4ECE2238"/>
    <w:rsid w:val="4F833267"/>
    <w:rsid w:val="4FE9BD67"/>
    <w:rsid w:val="4FFB052F"/>
    <w:rsid w:val="50024581"/>
    <w:rsid w:val="50750E8F"/>
    <w:rsid w:val="51885200"/>
    <w:rsid w:val="51E2098C"/>
    <w:rsid w:val="537E6D0A"/>
    <w:rsid w:val="53F705D4"/>
    <w:rsid w:val="53F74C96"/>
    <w:rsid w:val="55170BA8"/>
    <w:rsid w:val="553218C9"/>
    <w:rsid w:val="567E1AA5"/>
    <w:rsid w:val="56E47B74"/>
    <w:rsid w:val="57175D52"/>
    <w:rsid w:val="57BD3DD4"/>
    <w:rsid w:val="5A2D7B6F"/>
    <w:rsid w:val="5AF92295"/>
    <w:rsid w:val="5B250254"/>
    <w:rsid w:val="5BDD79E6"/>
    <w:rsid w:val="5BEC78DC"/>
    <w:rsid w:val="5BF561CA"/>
    <w:rsid w:val="5BFF5DFC"/>
    <w:rsid w:val="5CD71FC4"/>
    <w:rsid w:val="5D1F11B5"/>
    <w:rsid w:val="5D695134"/>
    <w:rsid w:val="5DAE1B18"/>
    <w:rsid w:val="5DE7D9E5"/>
    <w:rsid w:val="5ECEC941"/>
    <w:rsid w:val="5FBF9FF3"/>
    <w:rsid w:val="5FCD4E2C"/>
    <w:rsid w:val="5FEF394A"/>
    <w:rsid w:val="5FF67715"/>
    <w:rsid w:val="62BF3928"/>
    <w:rsid w:val="639C7278"/>
    <w:rsid w:val="63B3701E"/>
    <w:rsid w:val="647F5392"/>
    <w:rsid w:val="65E66580"/>
    <w:rsid w:val="65F62AAE"/>
    <w:rsid w:val="664B1D71"/>
    <w:rsid w:val="664B4E8E"/>
    <w:rsid w:val="67277B67"/>
    <w:rsid w:val="675730FE"/>
    <w:rsid w:val="67AA3209"/>
    <w:rsid w:val="68D84F91"/>
    <w:rsid w:val="696E32B3"/>
    <w:rsid w:val="698D0931"/>
    <w:rsid w:val="6A7FE5F3"/>
    <w:rsid w:val="6B053271"/>
    <w:rsid w:val="6BDD78B3"/>
    <w:rsid w:val="6C4A05C8"/>
    <w:rsid w:val="6C8742B8"/>
    <w:rsid w:val="6DBF5E93"/>
    <w:rsid w:val="6DFF077E"/>
    <w:rsid w:val="6E3365CF"/>
    <w:rsid w:val="6E714EF0"/>
    <w:rsid w:val="6E7E3605"/>
    <w:rsid w:val="6E7FDCC7"/>
    <w:rsid w:val="6ED6A62E"/>
    <w:rsid w:val="6EE00B15"/>
    <w:rsid w:val="6EE43C9C"/>
    <w:rsid w:val="6F6FB3EB"/>
    <w:rsid w:val="6F8731EA"/>
    <w:rsid w:val="6FCE6052"/>
    <w:rsid w:val="6FD57C00"/>
    <w:rsid w:val="6FEFFFD8"/>
    <w:rsid w:val="6FF5CC65"/>
    <w:rsid w:val="6FFB47EC"/>
    <w:rsid w:val="6FFF034A"/>
    <w:rsid w:val="70484440"/>
    <w:rsid w:val="712A28F1"/>
    <w:rsid w:val="715C0E4B"/>
    <w:rsid w:val="71992E7C"/>
    <w:rsid w:val="720638F9"/>
    <w:rsid w:val="72233669"/>
    <w:rsid w:val="725E6AB2"/>
    <w:rsid w:val="72734D90"/>
    <w:rsid w:val="73160E6D"/>
    <w:rsid w:val="7332FE48"/>
    <w:rsid w:val="73AB61DA"/>
    <w:rsid w:val="73AD73D5"/>
    <w:rsid w:val="73B6EB34"/>
    <w:rsid w:val="73FA497D"/>
    <w:rsid w:val="744731E5"/>
    <w:rsid w:val="7481024A"/>
    <w:rsid w:val="74BBD01D"/>
    <w:rsid w:val="74ED5379"/>
    <w:rsid w:val="75DEEEC2"/>
    <w:rsid w:val="75E32345"/>
    <w:rsid w:val="76E3355F"/>
    <w:rsid w:val="76FF5125"/>
    <w:rsid w:val="7757075A"/>
    <w:rsid w:val="776F6FFA"/>
    <w:rsid w:val="778769C8"/>
    <w:rsid w:val="77A75DCA"/>
    <w:rsid w:val="77DC22F5"/>
    <w:rsid w:val="783E271A"/>
    <w:rsid w:val="78616DE9"/>
    <w:rsid w:val="78736567"/>
    <w:rsid w:val="78E875D7"/>
    <w:rsid w:val="79086DAD"/>
    <w:rsid w:val="790C2170"/>
    <w:rsid w:val="799E6C98"/>
    <w:rsid w:val="79D7FD79"/>
    <w:rsid w:val="79EE5BA4"/>
    <w:rsid w:val="7A66105B"/>
    <w:rsid w:val="7A894339"/>
    <w:rsid w:val="7AD284E8"/>
    <w:rsid w:val="7AFF7572"/>
    <w:rsid w:val="7B6C7DFB"/>
    <w:rsid w:val="7BBFBED0"/>
    <w:rsid w:val="7BC3E394"/>
    <w:rsid w:val="7C1F3737"/>
    <w:rsid w:val="7CBFC87B"/>
    <w:rsid w:val="7CFE0F48"/>
    <w:rsid w:val="7D1F0192"/>
    <w:rsid w:val="7D272ABC"/>
    <w:rsid w:val="7D7EC23E"/>
    <w:rsid w:val="7E8ADEBF"/>
    <w:rsid w:val="7EEF11D3"/>
    <w:rsid w:val="7EFE4840"/>
    <w:rsid w:val="7F0971A6"/>
    <w:rsid w:val="7F1D62E7"/>
    <w:rsid w:val="7F3F679B"/>
    <w:rsid w:val="7F4FC4EF"/>
    <w:rsid w:val="7F5E4D54"/>
    <w:rsid w:val="7F6E0135"/>
    <w:rsid w:val="7F79F205"/>
    <w:rsid w:val="7F8F4278"/>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5"/>
    <w:qFormat/>
    <w:uiPriority w:val="99"/>
    <w:pPr>
      <w:spacing w:beforeLines="30"/>
    </w:pPr>
    <w:rPr>
      <w:rFonts w:ascii="仿宋_GB2312" w:eastAsia="仿宋_GB2312"/>
      <w:kern w:val="0"/>
      <w:sz w:val="30"/>
    </w:rPr>
  </w:style>
  <w:style w:type="paragraph" w:styleId="3">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7">
    <w:name w:val="Body Text Indent"/>
    <w:basedOn w:val="1"/>
    <w:next w:val="8"/>
    <w:qFormat/>
    <w:uiPriority w:val="0"/>
    <w:pPr>
      <w:spacing w:after="120"/>
      <w:ind w:leftChars="200"/>
    </w:pPr>
    <w:rPr>
      <w:rFonts w:ascii="仿宋_GB2312"/>
      <w:szCs w:val="32"/>
    </w:rPr>
  </w:style>
  <w:style w:type="paragraph" w:styleId="8">
    <w:name w:val="Body Text First Indent 2"/>
    <w:basedOn w:val="7"/>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8"/>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3"/>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4"/>
    <w:qFormat/>
    <w:uiPriority w:val="9"/>
    <w:rPr>
      <w:rFonts w:ascii="Times New Roman" w:hAnsi="Times New Roman"/>
      <w:b/>
      <w:bCs/>
      <w:kern w:val="44"/>
      <w:sz w:val="44"/>
      <w:szCs w:val="44"/>
    </w:rPr>
  </w:style>
  <w:style w:type="character" w:customStyle="1" w:styleId="29">
    <w:name w:val="标题 2 Char"/>
    <w:basedOn w:val="16"/>
    <w:link w:val="5"/>
    <w:qFormat/>
    <w:uiPriority w:val="9"/>
    <w:rPr>
      <w:rFonts w:asciiTheme="majorHAnsi" w:hAnsiTheme="majorHAnsi" w:eastAsiaTheme="majorEastAsia" w:cstheme="majorBidi"/>
      <w:b/>
      <w:bCs/>
      <w:kern w:val="2"/>
      <w:sz w:val="32"/>
      <w:szCs w:val="32"/>
    </w:rPr>
  </w:style>
  <w:style w:type="paragraph" w:customStyle="1" w:styleId="30">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10"/>
    <w:semiHidden/>
    <w:qFormat/>
    <w:uiPriority w:val="99"/>
    <w:rPr>
      <w:rFonts w:ascii="Times New Roman" w:hAnsi="Times New Roman"/>
      <w:kern w:val="2"/>
      <w:sz w:val="18"/>
      <w:szCs w:val="18"/>
    </w:rPr>
  </w:style>
  <w:style w:type="character" w:customStyle="1" w:styleId="32">
    <w:name w:val="标题 3 Char"/>
    <w:basedOn w:val="16"/>
    <w:link w:val="6"/>
    <w:qFormat/>
    <w:uiPriority w:val="9"/>
    <w:rPr>
      <w:rFonts w:ascii="Times New Roman" w:hAnsi="Times New Roman"/>
      <w:b/>
      <w:bCs/>
      <w:kern w:val="2"/>
      <w:sz w:val="32"/>
      <w:szCs w:val="32"/>
    </w:rPr>
  </w:style>
  <w:style w:type="paragraph" w:customStyle="1" w:styleId="33">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manualLayout>
          <c:layoutTarget val="inner"/>
          <c:xMode val="edge"/>
          <c:yMode val="edge"/>
          <c:x val="0.0999539099708096"/>
          <c:y val="0.0988292011019284"/>
          <c:w val="0.895437087110155"/>
          <c:h val="0.786694778040142"/>
        </c:manualLayout>
      </c:layout>
      <c:barChart>
        <c:barDir val="col"/>
        <c:grouping val="clustered"/>
        <c:varyColors val="0"/>
        <c:ser>
          <c:idx val="0"/>
          <c:order val="0"/>
          <c:tx>
            <c:strRef>
              <c:f>Sheet1!$C$1</c:f>
              <c:strCache>
                <c:ptCount val="1"/>
                <c:pt idx="0">
                  <c:v>2024年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Sheet1!$C$2:$C$3</c:f>
              <c:numCache>
                <c:formatCode>General</c:formatCode>
                <c:ptCount val="2"/>
                <c:pt idx="0">
                  <c:v>28332.99</c:v>
                </c:pt>
                <c:pt idx="1">
                  <c:v>28332.99</c:v>
                </c:pt>
              </c:numCache>
            </c:numRef>
          </c:val>
        </c:ser>
        <c:ser>
          <c:idx val="1"/>
          <c:order val="1"/>
          <c:tx>
            <c:strRef>
              <c:f>Sheet1!$D$1</c:f>
              <c:strCache>
                <c:ptCount val="1"/>
                <c:pt idx="0">
                  <c:v>2023年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Sheet1!$D$2:$D$3</c:f>
              <c:numCache>
                <c:formatCode>General</c:formatCode>
                <c:ptCount val="2"/>
                <c:pt idx="0">
                  <c:v>28281.78</c:v>
                </c:pt>
                <c:pt idx="1">
                  <c:v>28281.78</c:v>
                </c:pt>
              </c:numCache>
            </c:numRef>
          </c:val>
        </c:ser>
        <c:dLbls>
          <c:showLegendKey val="0"/>
          <c:showVal val="1"/>
          <c:showCatName val="0"/>
          <c:showSerName val="0"/>
          <c:showPercent val="0"/>
          <c:showBubbleSize val="0"/>
        </c:dLbls>
        <c:gapWidth val="219"/>
        <c:overlap val="-27"/>
        <c:axId val="125815808"/>
        <c:axId val="192204160"/>
      </c:barChart>
      <c:catAx>
        <c:axId val="125815808"/>
        <c:scaling>
          <c:orientation val="minMax"/>
        </c:scaling>
        <c:delete val="1"/>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2204160"/>
        <c:crosses val="autoZero"/>
        <c:auto val="1"/>
        <c:lblAlgn val="ctr"/>
        <c:lblOffset val="100"/>
        <c:noMultiLvlLbl val="0"/>
      </c:catAx>
      <c:valAx>
        <c:axId val="192204160"/>
        <c:scaling>
          <c:orientation val="minMax"/>
          <c:max val="35000"/>
          <c:min val="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5815808"/>
        <c:crosses val="autoZero"/>
        <c:crossBetween val="between"/>
        <c:majorUnit val="2000"/>
        <c:minorUnit val="50"/>
      </c:valAx>
      <c:spPr>
        <a:noFill/>
        <a:ln>
          <a:noFill/>
        </a:ln>
        <a:effectLst/>
      </c:spPr>
    </c:plotArea>
    <c:legend>
      <c:legendPos val="b"/>
      <c:layout>
        <c:manualLayout>
          <c:xMode val="edge"/>
          <c:yMode val="edge"/>
          <c:x val="0.409998411586565"/>
          <c:y val="0.02673408075858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129e4ce-5b1d-4958-8f41-d84eb65a6eaa}"/>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96000000000001"/>
          <c:y val="0.0336666666666667"/>
        </c:manualLayout>
      </c:layout>
      <c:overlay val="0"/>
      <c:spPr>
        <a:noFill/>
        <a:ln>
          <a:noFill/>
        </a:ln>
        <a:effectLst/>
      </c:spPr>
      <c:tx>
        <c:rich>
          <a:bodyPr/>
          <a:lstStyle/>
          <a:p>
            <a:pPr>
              <a:defRPr/>
            </a:pPr>
          </a:p>
        </c:rich>
      </c:tx>
    </c:title>
    <c:autoTitleDeleted val="0"/>
    <c:plotArea>
      <c:layout/>
      <c:pieChart>
        <c:varyColors val="1"/>
        <c:ser>
          <c:idx val="0"/>
          <c:order val="0"/>
          <c:tx>
            <c:strRef>
              <c:f>Sheet1!$B$1</c:f>
              <c:strCache>
                <c:ptCount val="1"/>
                <c:pt idx="0">
                  <c:v>图2：收入决算结构图</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一般公共预算财政拨款收入</c:v>
                </c:pt>
                <c:pt idx="1">
                  <c:v>政府性基金预算收入</c:v>
                </c:pt>
              </c:strCache>
            </c:strRef>
          </c:cat>
          <c:val>
            <c:numRef>
              <c:f>Sheet1!$B$2:$B$3</c:f>
              <c:numCache>
                <c:formatCode>0.00%</c:formatCode>
                <c:ptCount val="2"/>
                <c:pt idx="0">
                  <c:v>0.965573362869866</c:v>
                </c:pt>
                <c:pt idx="1">
                  <c:v>0.034426637130134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b6d4b785-d7f8-4731-ba7f-a766013b69ea}"/>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Sheet1!$C$1</c:f>
              <c:strCache>
                <c:ptCount val="1"/>
                <c:pt idx="0">
                  <c:v>列1</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Sheet1!$C$2:$C$3</c:f>
              <c:numCache>
                <c:formatCode>0.00%</c:formatCode>
                <c:ptCount val="2"/>
                <c:pt idx="0">
                  <c:v>0.738355744158699</c:v>
                </c:pt>
                <c:pt idx="1">
                  <c:v>0.392555856638887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e109a1b4-57e3-4a23-83f6-26bac48f33d2}"/>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07516040329972"/>
          <c:y val="0.129788897576231"/>
          <c:w val="0.884112435074855"/>
          <c:h val="0.773534010946052"/>
        </c:manualLayout>
      </c:layout>
      <c:barChart>
        <c:barDir val="col"/>
        <c:grouping val="clustered"/>
        <c:varyColors val="0"/>
        <c:ser>
          <c:idx val="0"/>
          <c:order val="0"/>
          <c:tx>
            <c:strRef>
              <c:f>Sheet1!$B$1</c:f>
              <c:strCache>
                <c:ptCount val="1"/>
                <c:pt idx="0">
                  <c:v>2024年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Sheet1!$E$2:$E$3</c:f>
              <c:strCache>
                <c:ptCount val="2"/>
                <c:pt idx="0">
                  <c:v>收入</c:v>
                </c:pt>
                <c:pt idx="1">
                  <c:v>支出</c:v>
                </c:pt>
              </c:strCache>
            </c:strRef>
          </c:cat>
          <c:val>
            <c:numRef>
              <c:f>Sheet1!$B$2:$B$3</c:f>
              <c:numCache>
                <c:formatCode>General</c:formatCode>
                <c:ptCount val="2"/>
                <c:pt idx="0">
                  <c:v>442.39</c:v>
                </c:pt>
                <c:pt idx="1">
                  <c:v>442.39</c:v>
                </c:pt>
              </c:numCache>
            </c:numRef>
          </c:val>
        </c:ser>
        <c:ser>
          <c:idx val="1"/>
          <c:order val="1"/>
          <c:tx>
            <c:strRef>
              <c:f>Sheet1!$C$1</c:f>
              <c:strCache>
                <c:ptCount val="1"/>
                <c:pt idx="0">
                  <c:v>2023年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Sheet1!$E$2:$E$3</c:f>
              <c:strCache>
                <c:ptCount val="2"/>
                <c:pt idx="0">
                  <c:v>收入</c:v>
                </c:pt>
                <c:pt idx="1">
                  <c:v>支出</c:v>
                </c:pt>
              </c:strCache>
            </c:strRef>
          </c:cat>
          <c:val>
            <c:numRef>
              <c:f>Sheet1!$C$2:$C$3</c:f>
              <c:numCache>
                <c:formatCode>General</c:formatCode>
                <c:ptCount val="2"/>
                <c:pt idx="0">
                  <c:v>391.18</c:v>
                </c:pt>
                <c:pt idx="1">
                  <c:v>391.18</c:v>
                </c:pt>
              </c:numCache>
            </c:numRef>
          </c:val>
        </c:ser>
        <c:dLbls>
          <c:showLegendKey val="0"/>
          <c:showVal val="1"/>
          <c:showCatName val="0"/>
          <c:showSerName val="0"/>
          <c:showPercent val="0"/>
          <c:showBubbleSize val="0"/>
        </c:dLbls>
        <c:gapWidth val="219"/>
        <c:overlap val="-27"/>
        <c:axId val="193025152"/>
        <c:axId val="246272768"/>
      </c:barChart>
      <c:catAx>
        <c:axId val="19302515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6272768"/>
        <c:crosses val="autoZero"/>
        <c:auto val="1"/>
        <c:lblAlgn val="ctr"/>
        <c:lblOffset val="100"/>
        <c:noMultiLvlLbl val="0"/>
      </c:catAx>
      <c:valAx>
        <c:axId val="246272768"/>
        <c:scaling>
          <c:orientation val="minMax"/>
          <c:min val="30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3025152"/>
        <c:crossesAt val="1"/>
        <c:crossBetween val="between"/>
      </c:valAx>
      <c:spPr>
        <a:noFill/>
        <a:ln>
          <a:noFill/>
        </a:ln>
        <a:effectLst/>
      </c:spPr>
    </c:plotArea>
    <c:legend>
      <c:legendPos val="b"/>
      <c:layout>
        <c:manualLayout>
          <c:xMode val="edge"/>
          <c:yMode val="edge"/>
          <c:x val="0.402153987167736"/>
          <c:y val="0.027087191038570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85c7740-d40f-4aec-920a-59fb93bae3b4}"/>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92"/>
          <c:y val="0.1245"/>
          <c:w val="0.905175000000001"/>
          <c:h val="0.716900000000001"/>
        </c:manualLayout>
      </c:layout>
      <c:barChart>
        <c:barDir val="col"/>
        <c:grouping val="clustered"/>
        <c:varyColors val="0"/>
        <c:ser>
          <c:idx val="0"/>
          <c:order val="0"/>
          <c:tx>
            <c:strRef>
              <c:f>Sheet1!$B$1</c:f>
              <c:strCache>
                <c:ptCount val="1"/>
                <c:pt idx="0">
                  <c:v>2024年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一般公共预算财政拨款支出（万元）</c:v>
                </c:pt>
              </c:strCache>
            </c:strRef>
          </c:cat>
          <c:val>
            <c:numRef>
              <c:f>Sheet1!$B$2</c:f>
              <c:numCache>
                <c:formatCode>General</c:formatCode>
                <c:ptCount val="1"/>
                <c:pt idx="0">
                  <c:v>427.16</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一般公共预算财政拨款支出（万元）</c:v>
                </c:pt>
              </c:strCache>
            </c:strRef>
          </c:cat>
          <c:val>
            <c:numRef>
              <c:f>Sheet1!$C$2</c:f>
              <c:numCache>
                <c:formatCode>General</c:formatCode>
                <c:ptCount val="1"/>
                <c:pt idx="0">
                  <c:v>383.57</c:v>
                </c:pt>
              </c:numCache>
            </c:numRef>
          </c:val>
        </c:ser>
        <c:ser>
          <c:idx val="2"/>
          <c:order val="2"/>
          <c:tx>
            <c:strRef>
              <c:f>Sheet1!$D$1</c:f>
              <c:strCache>
                <c:ptCount val="1"/>
                <c:pt idx="0">
                  <c:v>增减值</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一般公共预算财政拨款支出（万元）</c:v>
                </c:pt>
              </c:strCache>
            </c:strRef>
          </c:cat>
          <c:val>
            <c:numRef>
              <c:f>Sheet1!$D$2</c:f>
              <c:numCache>
                <c:formatCode>General</c:formatCode>
                <c:ptCount val="1"/>
                <c:pt idx="0">
                  <c:v>43.59</c:v>
                </c:pt>
              </c:numCache>
            </c:numRef>
          </c:val>
        </c:ser>
        <c:dLbls>
          <c:showLegendKey val="0"/>
          <c:showVal val="1"/>
          <c:showCatName val="0"/>
          <c:showSerName val="0"/>
          <c:showPercent val="0"/>
          <c:showBubbleSize val="0"/>
        </c:dLbls>
        <c:gapWidth val="219"/>
        <c:overlap val="-27"/>
        <c:axId val="324294912"/>
        <c:axId val="336667392"/>
      </c:barChart>
      <c:catAx>
        <c:axId val="32429491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t" anchorCtr="0"/>
          <a:lstStyle/>
          <a:p>
            <a:pPr>
              <a:defRPr lang="zh-CN" sz="900" b="0" i="0" u="none" strike="noStrike" kern="1200" baseline="0">
                <a:solidFill>
                  <a:schemeClr val="tx1">
                    <a:lumMod val="65000"/>
                    <a:lumOff val="35000"/>
                  </a:schemeClr>
                </a:solidFill>
                <a:latin typeface="+mn-lt"/>
                <a:ea typeface="+mn-ea"/>
                <a:cs typeface="+mn-cs"/>
              </a:defRPr>
            </a:pPr>
          </a:p>
        </c:txPr>
        <c:crossAx val="336667392"/>
        <c:crosses val="autoZero"/>
        <c:auto val="1"/>
        <c:lblAlgn val="ctr"/>
        <c:lblOffset val="100"/>
        <c:noMultiLvlLbl val="0"/>
      </c:catAx>
      <c:valAx>
        <c:axId val="3366673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4294912"/>
        <c:crosses val="autoZero"/>
        <c:crossBetween val="between"/>
      </c:valAx>
      <c:spPr>
        <a:noFill/>
        <a:ln>
          <a:noFill/>
        </a:ln>
        <a:effectLst/>
      </c:spPr>
    </c:plotArea>
    <c:legend>
      <c:legendPos val="b"/>
      <c:layout>
        <c:manualLayout>
          <c:xMode val="edge"/>
          <c:yMode val="edge"/>
          <c:x val="0.270964313386638"/>
          <c:y val="0.925413842606691"/>
          <c:w val="0.458071373226724"/>
          <c:h val="0.074586157393309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de80f29-c29d-4dad-8c1c-2927b9cedd83}"/>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占比</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社会保障和就业</c:v>
                </c:pt>
                <c:pt idx="1">
                  <c:v>卫生健康支出（类）</c:v>
                </c:pt>
                <c:pt idx="2">
                  <c:v>城乡社区支出</c:v>
                </c:pt>
                <c:pt idx="3">
                  <c:v>自然资源海洋气象等支出</c:v>
                </c:pt>
                <c:pt idx="4">
                  <c:v>住房保障支出</c:v>
                </c:pt>
              </c:strCache>
            </c:strRef>
          </c:cat>
          <c:val>
            <c:numRef>
              <c:f>Sheet1!$B$2:$B$6</c:f>
              <c:numCache>
                <c:formatCode>0.00%</c:formatCode>
                <c:ptCount val="5"/>
                <c:pt idx="0">
                  <c:v>0.1641</c:v>
                </c:pt>
                <c:pt idx="1">
                  <c:v>0.0419280831538534</c:v>
                </c:pt>
                <c:pt idx="2">
                  <c:v>0.209570184474202</c:v>
                </c:pt>
                <c:pt idx="3">
                  <c:v>0.581866279614196</c:v>
                </c:pt>
                <c:pt idx="4">
                  <c:v>0.0512688453975091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1522ad7b-072e-48bd-add5-2052348c648d}"/>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因公出国（境）支出</c:v>
                </c:pt>
                <c:pt idx="1">
                  <c:v>公务用车购置及运行维护费支出</c:v>
                </c:pt>
                <c:pt idx="2">
                  <c:v>公务接待费支出</c:v>
                </c:pt>
              </c:strCache>
            </c:strRef>
          </c:cat>
          <c:val>
            <c:numRef>
              <c:f>Sheet1!$B$2:$B$4</c:f>
              <c:numCache>
                <c:formatCode>0.00%</c:formatCode>
                <c:ptCount val="3"/>
                <c:pt idx="0">
                  <c:v>0</c:v>
                </c:pt>
                <c:pt idx="1">
                  <c:v>0</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d08ecddc-ff27-4771-9580-85eb2fe34055}"/>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21</Pages>
  <Words>5556</Words>
  <Characters>6014</Characters>
  <Lines>61</Lines>
  <Paragraphs>17</Paragraphs>
  <TotalTime>0</TotalTime>
  <ScaleCrop>false</ScaleCrop>
  <LinksUpToDate>false</LinksUpToDate>
  <CharactersWithSpaces>6071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leelyeel</cp:lastModifiedBy>
  <cp:lastPrinted>2025-08-06T17:34:00Z</cp:lastPrinted>
  <dcterms:modified xsi:type="dcterms:W3CDTF">2025-09-12T00:28:55Z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04787F2533EB45DC91BCDE4AB213247F</vt:lpwstr>
  </property>
  <property fmtid="{D5CDD505-2E9C-101B-9397-08002B2CF9AE}" pid="4" name="KSOTemplateDocerSaveRecord">
    <vt:lpwstr>eyJoZGlkIjoiYjIzN2QyMWFmODZmNTg4YTI0NmUxYTE4YzFiMTY0NGUiLCJ1c2VySWQiOiI4NzkyNzA0NjIifQ==</vt:lpwstr>
  </property>
</Properties>
</file>