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攀枝花市自然资源和规划局</w:t>
      </w:r>
    </w:p>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关于征求《</w:t>
      </w:r>
      <w:r>
        <w:rPr>
          <w:rFonts w:ascii="微软雅黑" w:hAnsi="微软雅黑" w:eastAsia="微软雅黑" w:cs="微软雅黑"/>
          <w:spacing w:val="9"/>
          <w:sz w:val="43"/>
          <w:szCs w:val="43"/>
        </w:rPr>
        <w:t>攀枝花市工业用地供应差别化管理的意见</w:t>
      </w:r>
      <w:r>
        <w:rPr>
          <w:rFonts w:hint="eastAsia" w:ascii="微软雅黑" w:hAnsi="微软雅黑" w:eastAsia="微软雅黑" w:cs="微软雅黑"/>
          <w:spacing w:val="9"/>
          <w:sz w:val="43"/>
          <w:szCs w:val="43"/>
          <w:lang w:eastAsia="zh-CN"/>
        </w:rPr>
        <w:t>（</w:t>
      </w:r>
      <w:r>
        <w:rPr>
          <w:rFonts w:hint="eastAsia" w:ascii="微软雅黑" w:hAnsi="微软雅黑" w:eastAsia="微软雅黑" w:cs="微软雅黑"/>
          <w:spacing w:val="9"/>
          <w:sz w:val="43"/>
          <w:szCs w:val="43"/>
          <w:lang w:val="en-US" w:eastAsia="zh-CN"/>
        </w:rPr>
        <w:t>征求意见稿</w:t>
      </w:r>
      <w:r>
        <w:rPr>
          <w:rFonts w:hint="eastAsia" w:ascii="微软雅黑" w:hAnsi="微软雅黑" w:eastAsia="微软雅黑" w:cs="微软雅黑"/>
          <w:spacing w:val="9"/>
          <w:sz w:val="43"/>
          <w:szCs w:val="43"/>
          <w:lang w:eastAsia="zh-CN"/>
        </w:rPr>
        <w:t>）</w:t>
      </w:r>
      <w:r>
        <w:rPr>
          <w:rFonts w:hint="eastAsia" w:ascii="方正小标宋_GBK" w:eastAsia="方正小标宋_GBK"/>
          <w:sz w:val="44"/>
          <w:szCs w:val="44"/>
        </w:rPr>
        <w:t>》意见的函</w:t>
      </w:r>
    </w:p>
    <w:p>
      <w:pPr>
        <w:spacing w:line="560" w:lineRule="exact"/>
        <w:jc w:val="center"/>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各县（区）人民政府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钒钛高新区管委会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市级有关部门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市政府办公室</w:t>
      </w:r>
      <w:r>
        <w:rPr>
          <w:rFonts w:hint="default" w:ascii="Times New Roman" w:hAnsi="Times New Roman" w:eastAsia="仿宋_GB2312" w:cs="Times New Roman"/>
          <w:sz w:val="32"/>
          <w:lang w:val="en-US" w:eastAsia="zh-CN"/>
        </w:rPr>
        <w:t>于2018年9月12日</w:t>
      </w:r>
      <w:r>
        <w:rPr>
          <w:rFonts w:hint="default" w:ascii="Times New Roman" w:hAnsi="Times New Roman" w:eastAsia="仿宋_GB2312" w:cs="Times New Roman"/>
          <w:sz w:val="32"/>
        </w:rPr>
        <w:t>印发</w:t>
      </w:r>
      <w:r>
        <w:rPr>
          <w:rFonts w:hint="default" w:ascii="Times New Roman" w:hAnsi="Times New Roman" w:eastAsia="仿宋_GB2312" w:cs="Times New Roman"/>
          <w:sz w:val="32"/>
          <w:lang w:val="en-US" w:eastAsia="zh-CN"/>
        </w:rPr>
        <w:t>了</w:t>
      </w:r>
      <w:r>
        <w:rPr>
          <w:rFonts w:hint="default" w:ascii="Times New Roman" w:hAnsi="Times New Roman" w:eastAsia="仿宋_GB2312" w:cs="Times New Roman"/>
          <w:sz w:val="32"/>
        </w:rPr>
        <w:t>《攀枝花市工业用地供应差别化管理的意见》，该文件有效期五年，现已到期失效。为进一步优化我市工业用地供应制度，发挥市场在土地资源配置中的决定性作用，减少企业一次性投资成本，促进工业用地集约节约利用</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我局根据现行法律法规，对原《攀枝花市工业用地供应差别化管理的意见》进行了修改完善，形成</w:t>
      </w:r>
      <w:r>
        <w:rPr>
          <w:rFonts w:hint="eastAsia" w:ascii="Times New Roman" w:hAnsi="Times New Roman" w:eastAsia="仿宋_GB2312" w:cs="Times New Roman"/>
          <w:sz w:val="32"/>
          <w:lang w:val="en-US" w:eastAsia="zh-CN"/>
        </w:rPr>
        <w:t>了</w:t>
      </w:r>
      <w:r>
        <w:rPr>
          <w:rFonts w:hint="default" w:ascii="Times New Roman" w:hAnsi="Times New Roman" w:eastAsia="仿宋_GB2312" w:cs="Times New Roman"/>
          <w:sz w:val="32"/>
        </w:rPr>
        <w:t>《攀枝花市工业用地供应差别化管理的意见（</w:t>
      </w:r>
      <w:r>
        <w:rPr>
          <w:rFonts w:hint="default" w:ascii="Times New Roman" w:hAnsi="Times New Roman" w:eastAsia="仿宋_GB2312" w:cs="Times New Roman"/>
          <w:sz w:val="32"/>
          <w:lang w:val="en-US" w:eastAsia="zh-CN"/>
        </w:rPr>
        <w:t>征求意见稿</w:t>
      </w:r>
      <w:r>
        <w:rPr>
          <w:rFonts w:hint="default" w:ascii="Times New Roman" w:hAnsi="Times New Roman" w:eastAsia="仿宋_GB2312" w:cs="Times New Roman"/>
          <w:sz w:val="32"/>
        </w:rPr>
        <w:t>）》，</w:t>
      </w:r>
      <w:r>
        <w:rPr>
          <w:rFonts w:hint="default" w:ascii="Times New Roman" w:hAnsi="Times New Roman" w:eastAsia="仿宋_GB2312" w:cs="Times New Roman"/>
          <w:sz w:val="32"/>
          <w:lang w:val="en-US" w:eastAsia="zh-CN"/>
        </w:rPr>
        <w:t>现征求</w:t>
      </w:r>
      <w:r>
        <w:rPr>
          <w:rFonts w:hint="eastAsia" w:ascii="Times New Roman" w:hAnsi="Times New Roman" w:eastAsia="仿宋_GB2312" w:cs="Times New Roman"/>
          <w:sz w:val="32"/>
          <w:lang w:val="en-US" w:eastAsia="zh-CN"/>
        </w:rPr>
        <w:t>贵</w:t>
      </w:r>
      <w:r>
        <w:rPr>
          <w:rFonts w:hint="default" w:ascii="Times New Roman" w:hAnsi="Times New Roman" w:eastAsia="仿宋_GB2312" w:cs="Times New Roman"/>
          <w:sz w:val="32"/>
        </w:rPr>
        <w:t>单位意见，有无意见</w:t>
      </w:r>
      <w:r>
        <w:rPr>
          <w:rFonts w:hint="eastAsia" w:ascii="Times New Roman" w:hAnsi="Times New Roman" w:eastAsia="仿宋_GB2312" w:cs="Times New Roman"/>
          <w:sz w:val="32"/>
          <w:lang w:val="en-US" w:eastAsia="zh-CN"/>
        </w:rPr>
        <w:t>均需反馈</w:t>
      </w:r>
      <w:r>
        <w:rPr>
          <w:rFonts w:hint="default" w:ascii="Times New Roman" w:hAnsi="Times New Roman" w:eastAsia="仿宋_GB2312" w:cs="Times New Roman"/>
          <w:sz w:val="32"/>
        </w:rPr>
        <w:t>，请于</w:t>
      </w:r>
      <w:r>
        <w:rPr>
          <w:rFonts w:hint="default" w:ascii="Times New Roman" w:hAnsi="Times New Roman" w:eastAsia="仿宋_GB2312" w:cs="Times New Roman"/>
          <w:sz w:val="32"/>
          <w:lang w:val="en-US" w:eastAsia="zh-CN"/>
        </w:rPr>
        <w:t>12</w:t>
      </w:r>
      <w:r>
        <w:rPr>
          <w:rFonts w:hint="default" w:ascii="Times New Roman" w:hAnsi="Times New Roman" w:eastAsia="仿宋_GB2312" w:cs="Times New Roman"/>
          <w:sz w:val="32"/>
        </w:rPr>
        <w:t>月</w:t>
      </w:r>
      <w:r>
        <w:rPr>
          <w:rFonts w:hint="eastAsia" w:ascii="Times New Roman" w:hAnsi="Times New Roman" w:eastAsia="仿宋_GB2312" w:cs="Times New Roman"/>
          <w:sz w:val="32"/>
          <w:lang w:val="en-US" w:eastAsia="zh-CN"/>
        </w:rPr>
        <w:t>8</w:t>
      </w:r>
      <w:r>
        <w:rPr>
          <w:rFonts w:hint="default" w:ascii="Times New Roman" w:hAnsi="Times New Roman" w:eastAsia="仿宋_GB2312" w:cs="Times New Roman"/>
          <w:sz w:val="32"/>
        </w:rPr>
        <w:t>日前通过协同平台反馈我局。</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left="1471" w:leftChars="303" w:hanging="835" w:hangingChars="26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附件：攀枝花市工业用地供应差别化管理的意见（征求意见稿）</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righ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right"/>
        <w:textAlignment w:val="auto"/>
        <w:rPr>
          <w:rFonts w:hint="eastAsia" w:ascii="仿宋_GB2312" w:eastAsia="仿宋_GB2312"/>
          <w:sz w:val="32"/>
          <w:szCs w:val="32"/>
        </w:rPr>
      </w:pPr>
      <w:r>
        <w:rPr>
          <w:rFonts w:hint="eastAsia" w:ascii="仿宋_GB2312" w:eastAsia="仿宋_GB2312"/>
          <w:sz w:val="32"/>
          <w:szCs w:val="32"/>
        </w:rPr>
        <w:t>攀枝花市自然资源和规划局</w:t>
      </w:r>
    </w:p>
    <w:p>
      <w:pPr>
        <w:keepNext w:val="0"/>
        <w:keepLines w:val="0"/>
        <w:pageBreakBefore w:val="0"/>
        <w:widowControl w:val="0"/>
        <w:kinsoku/>
        <w:wordWrap/>
        <w:overflowPunct/>
        <w:topLinePunct w:val="0"/>
        <w:autoSpaceDE/>
        <w:autoSpaceDN/>
        <w:bidi w:val="0"/>
        <w:adjustRightInd w:val="0"/>
        <w:snapToGrid w:val="0"/>
        <w:spacing w:line="360" w:lineRule="auto"/>
        <w:ind w:firstLine="645"/>
        <w:jc w:val="center"/>
        <w:textAlignment w:val="auto"/>
        <w:rPr>
          <w:rFonts w:hint="eastAsia" w:ascii="仿宋_GB2312" w:eastAsia="仿宋_GB2312"/>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w:t>
      </w:r>
      <w:r>
        <w:rPr>
          <w:rFonts w:hint="eastAsia" w:ascii="仿宋_GB2312" w:eastAsia="仿宋_GB2312"/>
          <w:sz w:val="32"/>
          <w:szCs w:val="32"/>
        </w:rPr>
        <w:t>年</w:t>
      </w:r>
      <w:r>
        <w:rPr>
          <w:rFonts w:hint="eastAsia" w:ascii="Times New Roman" w:hAnsi="Times New Roman" w:eastAsia="仿宋_GB2312" w:cs="Times New Roman"/>
          <w:sz w:val="32"/>
          <w:szCs w:val="32"/>
          <w:lang w:val="en-US" w:eastAsia="zh-CN"/>
        </w:rPr>
        <w:t>11</w:t>
      </w:r>
      <w:r>
        <w:rPr>
          <w:rFonts w:hint="eastAsia" w:ascii="仿宋_GB2312" w:eastAsia="仿宋_GB2312"/>
          <w:sz w:val="32"/>
          <w:szCs w:val="32"/>
        </w:rPr>
        <w:t>月</w:t>
      </w:r>
      <w:r>
        <w:rPr>
          <w:rFonts w:hint="eastAsia" w:ascii="Times New Roman" w:hAnsi="Times New Roman" w:eastAsia="仿宋_GB2312" w:cs="Times New Roman"/>
          <w:sz w:val="32"/>
          <w:szCs w:val="32"/>
          <w:lang w:val="en-US" w:eastAsia="zh-CN"/>
        </w:rPr>
        <w:t>28</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val="en-US" w:eastAsia="zh-CN"/>
        </w:rPr>
        <w:t>谭杨</w:t>
      </w:r>
      <w:r>
        <w:rPr>
          <w:rFonts w:hint="eastAsia" w:ascii="仿宋_GB2312" w:eastAsia="仿宋_GB2312"/>
          <w:sz w:val="32"/>
          <w:szCs w:val="32"/>
        </w:rPr>
        <w:t>；联系电话：</w:t>
      </w:r>
      <w:r>
        <w:rPr>
          <w:rFonts w:hint="default" w:ascii="Times New Roman" w:hAnsi="Times New Roman" w:eastAsia="仿宋_GB2312" w:cs="Times New Roman"/>
          <w:sz w:val="32"/>
          <w:szCs w:val="32"/>
        </w:rPr>
        <w:t>3364707</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eastAsia="仿宋_GB2312"/>
          <w:sz w:val="32"/>
          <w:szCs w:val="32"/>
        </w:rPr>
      </w:pPr>
    </w:p>
    <w:p>
      <w:pPr>
        <w:spacing w:line="6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600" w:lineRule="exact"/>
        <w:jc w:val="center"/>
        <w:rPr>
          <w:rFonts w:hint="eastAsia" w:ascii="方正小标宋_GBK" w:eastAsia="方正小标宋_GBK"/>
          <w:sz w:val="44"/>
        </w:rPr>
      </w:pPr>
      <w:r>
        <w:rPr>
          <w:rFonts w:hint="eastAsia" w:ascii="方正小标宋_GBK" w:eastAsia="方正小标宋_GBK"/>
          <w:sz w:val="44"/>
        </w:rPr>
        <w:t>攀枝花市工业用地供应差别化管理的意见</w:t>
      </w:r>
    </w:p>
    <w:p>
      <w:pPr>
        <w:spacing w:line="600" w:lineRule="exact"/>
        <w:jc w:val="center"/>
        <w:rPr>
          <w:rFonts w:hint="eastAsia" w:ascii="方正小标宋_GBK" w:eastAsia="方正小标宋_GBK"/>
          <w:sz w:val="44"/>
        </w:rPr>
      </w:pPr>
      <w:r>
        <w:rPr>
          <w:rFonts w:hint="eastAsia" w:ascii="方正小标宋_GBK" w:eastAsia="方正小标宋_GBK"/>
          <w:sz w:val="44"/>
        </w:rPr>
        <w:t>（</w:t>
      </w:r>
      <w:r>
        <w:rPr>
          <w:rFonts w:hint="eastAsia" w:ascii="方正小标宋_GBK" w:eastAsia="方正小标宋_GBK"/>
          <w:sz w:val="44"/>
          <w:lang w:val="en-US" w:eastAsia="zh-CN"/>
        </w:rPr>
        <w:t>征求意见稿</w:t>
      </w:r>
      <w:r>
        <w:rPr>
          <w:rFonts w:hint="eastAsia" w:ascii="方正小标宋_GBK" w:eastAsia="方正小标宋_GBK"/>
          <w:sz w:val="44"/>
        </w:rPr>
        <w:t>）</w:t>
      </w:r>
    </w:p>
    <w:p>
      <w:pPr>
        <w:ind w:firstLine="640" w:firstLineChars="200"/>
        <w:rPr>
          <w:rFonts w:hint="eastAsia" w:ascii="仿宋_GB2312" w:hAnsi="Times New Roman" w:eastAsia="仿宋_GB2312" w:cs="Times New Roman"/>
          <w:sz w:val="32"/>
        </w:rPr>
      </w:pP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为进一步优化我市工业用地供应制度，发挥市场在土地资源配置中的决定性作用，减少企业一次性投资成本，促进工业用地集约节约利用</w:t>
      </w:r>
      <w:r>
        <w:rPr>
          <w:rFonts w:hint="eastAsia" w:ascii="仿宋_GB2312" w:hAnsi="Times New Roman" w:eastAsia="仿宋_GB2312" w:cs="Times New Roman"/>
          <w:sz w:val="32"/>
          <w:lang w:eastAsia="zh-CN"/>
        </w:rPr>
        <w:t>。</w:t>
      </w:r>
      <w:r>
        <w:rPr>
          <w:rFonts w:hint="eastAsia" w:ascii="仿宋_GB2312" w:hAnsi="Times New Roman" w:eastAsia="仿宋_GB2312" w:cs="Times New Roman"/>
          <w:sz w:val="32"/>
        </w:rPr>
        <w:t>根据《</w:t>
      </w:r>
      <w:r>
        <w:rPr>
          <w:rFonts w:hint="eastAsia" w:ascii="仿宋_GB2312" w:hAnsi="Times New Roman" w:eastAsia="仿宋_GB2312" w:cs="Times New Roman"/>
          <w:sz w:val="32"/>
        </w:rPr>
        <w:fldChar w:fldCharType="begin"/>
      </w:r>
      <w:r>
        <w:rPr>
          <w:rFonts w:hint="eastAsia" w:ascii="仿宋_GB2312" w:hAnsi="Times New Roman" w:eastAsia="仿宋_GB2312" w:cs="Times New Roman"/>
          <w:sz w:val="32"/>
        </w:rPr>
        <w:instrText xml:space="preserve">HYPERLINK "http://baike.baidu.com/view/277453.htm"</w:instrText>
      </w:r>
      <w:r>
        <w:rPr>
          <w:rFonts w:hint="eastAsia" w:ascii="仿宋_GB2312" w:hAnsi="Times New Roman" w:eastAsia="仿宋_GB2312" w:cs="Times New Roman"/>
          <w:sz w:val="32"/>
        </w:rPr>
        <w:fldChar w:fldCharType="separate"/>
      </w:r>
      <w:r>
        <w:rPr>
          <w:rFonts w:hint="eastAsia" w:ascii="仿宋_GB2312" w:hAnsi="Times New Roman" w:eastAsia="仿宋_GB2312" w:cs="Times New Roman"/>
          <w:sz w:val="32"/>
        </w:rPr>
        <w:t>中华人民共和国土地管理法</w:t>
      </w:r>
      <w:r>
        <w:rPr>
          <w:rFonts w:hint="eastAsia" w:ascii="仿宋_GB2312" w:hAnsi="Times New Roman" w:eastAsia="仿宋_GB2312" w:cs="Times New Roman"/>
          <w:sz w:val="32"/>
        </w:rPr>
        <w:fldChar w:fldCharType="end"/>
      </w:r>
      <w:r>
        <w:rPr>
          <w:rFonts w:hint="eastAsia" w:ascii="仿宋_GB2312" w:hAnsi="Times New Roman" w:eastAsia="仿宋_GB2312" w:cs="Times New Roman"/>
          <w:sz w:val="32"/>
        </w:rPr>
        <w:t>》《国土资源部 国家发改委关于发布实施限制用地项目目录（2012年本）和禁止用地目录（2012年本）的通知》（国土资发〔2012〕98号）、《四川省自然资源厅 四川省发展和改革委员会 四川省经济和信息化厅 四川省科学技术厅 四川省商务厅 四川省审计厅 四川省统计局 四川省经济合作局关于加强开发区土地节约集约利用推动高质量发展的通知》（川自然资规〔2023〕4号）精神，结合我市实际情况，制定本意见。</w:t>
      </w:r>
    </w:p>
    <w:p>
      <w:pPr>
        <w:ind w:firstLine="640" w:firstLineChars="200"/>
        <w:rPr>
          <w:rFonts w:hint="eastAsia" w:ascii="黑体" w:hAnsi="黑体" w:eastAsia="黑体" w:cs="黑体"/>
          <w:sz w:val="32"/>
        </w:rPr>
      </w:pPr>
      <w:r>
        <w:rPr>
          <w:rFonts w:hint="eastAsia" w:ascii="黑体" w:hAnsi="黑体" w:eastAsia="黑体" w:cs="黑体"/>
          <w:sz w:val="32"/>
        </w:rPr>
        <w:t>一、工业用地差别化供地方式</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在坚持和完善工业用地招标拍卖挂牌出让制度的基础上，对工业用地的供地方式和供地年限差别化管理。依据国家产业政策、行业特点等，在符合城乡控制性详细规划的前提下，推行弹性出让、租赁、先租后让等不同方式供地。丰富供地方式，增强供给弹性，满足产业发展差异化、多样化的用地需求。</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（一）弹性出让方式。</w:t>
      </w:r>
      <w:r>
        <w:rPr>
          <w:rFonts w:hint="eastAsia" w:ascii="仿宋_GB2312" w:hAnsi="Times New Roman" w:eastAsia="仿宋_GB2312" w:cs="Times New Roman"/>
          <w:sz w:val="32"/>
        </w:rPr>
        <w:t>严格落实工业用地招标拍卖挂牌出让制度，积极推行工业用地弹性出让。新增工业用地出让</w:t>
      </w:r>
      <w:r>
        <w:rPr>
          <w:rFonts w:hint="eastAsia" w:ascii="仿宋_GB2312" w:hAnsi="Times New Roman" w:eastAsia="仿宋_GB2312" w:cs="Times New Roman"/>
          <w:sz w:val="32"/>
          <w:lang w:val="en-US" w:eastAsia="zh-CN"/>
        </w:rPr>
        <w:t>年限</w:t>
      </w:r>
      <w:r>
        <w:rPr>
          <w:rFonts w:hint="eastAsia" w:ascii="仿宋_GB2312" w:hAnsi="Times New Roman" w:eastAsia="仿宋_GB2312" w:cs="Times New Roman"/>
          <w:sz w:val="32"/>
        </w:rPr>
        <w:t>原则控制在20年以内，根据工业用地类别、产业政策和企业生命周期等情况合理确定土地出让年限。县级以上重大工业项目，出让年限可按法定最高出让年限50年确定。</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（二）租赁方式。</w:t>
      </w:r>
      <w:r>
        <w:rPr>
          <w:rFonts w:hint="eastAsia" w:ascii="仿宋_GB2312" w:hAnsi="Times New Roman" w:eastAsia="仿宋_GB2312" w:cs="Times New Roman"/>
          <w:sz w:val="32"/>
        </w:rPr>
        <w:t>对短期产业用地，可以采取租赁方式供应土地。市、县自然资源部门作为租赁方将国有建设用地使用权在一定年限内租赁给土地使用者。租赁方和承租方共同签订国有建设用地使用权租赁合同，约定租赁年限、租金标准和使用要求。工业用地租赁期限为1至10年，由承租方一次性支付土地租金，土地租赁合同应明确约定承租方不得将承租土地使用权转租、转让或者抵押。</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（三）先租后让方式。</w:t>
      </w:r>
      <w:r>
        <w:rPr>
          <w:rFonts w:hint="eastAsia" w:ascii="仿宋_GB2312" w:hAnsi="Times New Roman" w:eastAsia="仿宋_GB2312" w:cs="Times New Roman"/>
          <w:sz w:val="32"/>
        </w:rPr>
        <w:t>先租后让是指市、县自然资源部门对供应工业用地设定一定的条件，先行以租赁方式向使用者供应土地，承租方在租赁期间开发、利用土地达到约定条件后，可申请将租赁土地转为出让土地。先租后让方式供应工业用地，租期不得超过3年，承租方在约定的租赁期间不得将租赁土地使用权转租、转让或者抵押。</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实行先租后让的工业项目，宗地成交后，应签订租赁合同，承租方使用租赁土地达到合同约定转为出让土地的条件后，经租赁方同意，可将租赁土地按协议方式办理出让手续。</w:t>
      </w:r>
    </w:p>
    <w:p>
      <w:pPr>
        <w:ind w:firstLine="640" w:firstLineChars="200"/>
        <w:rPr>
          <w:rFonts w:hint="eastAsia" w:ascii="黑体" w:hAnsi="黑体" w:eastAsia="黑体" w:cs="黑体"/>
          <w:sz w:val="32"/>
        </w:rPr>
      </w:pPr>
      <w:r>
        <w:rPr>
          <w:rFonts w:hint="eastAsia" w:ascii="黑体" w:hAnsi="黑体" w:eastAsia="黑体" w:cs="黑体"/>
          <w:sz w:val="32"/>
        </w:rPr>
        <w:t>二、差别化地价标准</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以工业用地基准地价为基础，制定体现差别化土地供应的地价控制标准，进一步规范土地出让差别化地价管理。</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（一）出让价格体系</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出让价格应当遵循市场配置土地资源的原则，市、县自然资源部门要根据原国土资源部《工业用地最低出让价标准》，通过地价修正体系予以修正，出让底价不得低于规定的工业用地最低出让价标准。</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（二）租赁价格体系</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按照工业用地市场租金标准与土地成本价格相均衡原则，依据原国土资源部《工业用地最低出让价标准》，按年折算工业用地租赁最低租金标准。工业用地租赁最低租金标准价格随着工业用地出让最低价标准调整而更新。</w:t>
      </w:r>
    </w:p>
    <w:p>
      <w:pPr>
        <w:ind w:firstLine="640" w:firstLineChars="200"/>
        <w:rPr>
          <w:rFonts w:hint="eastAsia" w:ascii="黑体" w:hAnsi="黑体" w:eastAsia="黑体" w:cs="黑体"/>
          <w:sz w:val="32"/>
        </w:rPr>
      </w:pPr>
      <w:r>
        <w:rPr>
          <w:rFonts w:hint="eastAsia" w:ascii="黑体" w:hAnsi="黑体" w:eastAsia="黑体" w:cs="黑体"/>
          <w:sz w:val="32"/>
        </w:rPr>
        <w:t>三、严格差别化用地管理</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（一）强化工业项目准入管理</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工业项目需经县（区）政府召集县（区）发展改革、自然资源、环境保护、相关产业园区等相关部门会商，研究项目用地供应方式、产业要求、投资强度、环保要求等。三区范围内的工业用地，各区政府将相关要求在供地前提交市自然资源和规划局，市自然资源和规划局将相关要求体现在土地出让方案中，按程序批准后纳入《国有建设用地使用权拍卖（挂牌）出让文件》。</w:t>
      </w:r>
    </w:p>
    <w:p>
      <w:pPr>
        <w:ind w:firstLine="640" w:firstLineChars="200"/>
        <w:rPr>
          <w:rFonts w:hint="eastAsia" w:ascii="仿宋_GB2312" w:hAnsi="Times New Roman" w:eastAsia="仿宋_GB2312" w:cs="Times New Roman"/>
          <w:sz w:val="32"/>
          <w:lang w:eastAsia="zh-CN"/>
        </w:rPr>
      </w:pPr>
      <w:r>
        <w:rPr>
          <w:rFonts w:hint="eastAsia" w:ascii="仿宋_GB2312" w:hAnsi="Times New Roman" w:eastAsia="仿宋_GB2312" w:cs="Times New Roman"/>
          <w:sz w:val="32"/>
        </w:rPr>
        <w:t>对用地面积100亩以上的工业项目，由开发区牵头，发展改革、经济和信息化、自然资源、科技、商务、经济合作、统计等相关部门参加的联席审查制度对用地规模合理性一并予以论证，防止虚报投资强度圈占土地；对用地需求面积超过500亩以上的工业项目和分期建设的项目，根据实际投资额和建设进度，实行分期供地，每期所供宗地开发建设周期不超过3年。</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（二）规范出让（租赁）合同管理</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1.工业项目用地成交后的5个工作日内，由各产业园区与土地竞得人签订工业项目建设投资协议，明确投资总额、投资强度、亩均产值、亩均税收、开竣工时间等要求及违约责任。</w:t>
      </w:r>
    </w:p>
    <w:p>
      <w:pPr>
        <w:ind w:firstLine="640" w:firstLineChars="200"/>
        <w:rPr>
          <w:rFonts w:hint="eastAsia" w:ascii="仿宋_GB2312" w:hAnsi="Times New Roman" w:eastAsia="仿宋_GB2312" w:cs="Times New Roman"/>
          <w:sz w:val="32"/>
          <w:lang w:eastAsia="zh-CN"/>
        </w:rPr>
      </w:pPr>
      <w:r>
        <w:rPr>
          <w:rFonts w:hint="eastAsia" w:ascii="仿宋_GB2312" w:hAnsi="Times New Roman" w:eastAsia="仿宋_GB2312" w:cs="Times New Roman"/>
          <w:sz w:val="32"/>
        </w:rPr>
        <w:t>2.工业项目用地成交后的10个工作日内，土地竞得人凭签订的工业项目建设投资协议与县</w:t>
      </w:r>
      <w:r>
        <w:rPr>
          <w:rFonts w:hint="eastAsia" w:ascii="仿宋_GB2312" w:hAnsi="Times New Roman" w:eastAsia="仿宋_GB2312" w:cs="Times New Roman"/>
          <w:sz w:val="32"/>
          <w:lang w:val="en-US" w:eastAsia="zh-CN"/>
        </w:rPr>
        <w:t>或市</w:t>
      </w:r>
      <w:r>
        <w:rPr>
          <w:rFonts w:hint="eastAsia" w:ascii="仿宋_GB2312" w:hAnsi="Times New Roman" w:eastAsia="仿宋_GB2312" w:cs="Times New Roman"/>
          <w:sz w:val="32"/>
        </w:rPr>
        <w:t>自然资源部门签订出让（租赁）合同，未按时签订工业项目建设投资协议和出让（租赁）合同的，终止供地、不得退还土地竞买定金。</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（三）加强工业项目考评管理</w:t>
      </w:r>
    </w:p>
    <w:p>
      <w:pPr>
        <w:ind w:firstLine="640" w:firstLineChars="200"/>
        <w:rPr>
          <w:rFonts w:hint="eastAsia" w:ascii="仿宋_GB2312" w:hAnsi="Times New Roman" w:eastAsia="仿宋_GB2312" w:cs="Times New Roman"/>
          <w:sz w:val="32"/>
          <w:lang w:eastAsia="zh-CN"/>
        </w:rPr>
      </w:pPr>
      <w:r>
        <w:rPr>
          <w:rFonts w:hint="eastAsia" w:ascii="仿宋_GB2312" w:hAnsi="Times New Roman" w:eastAsia="仿宋_GB2312" w:cs="Times New Roman"/>
          <w:sz w:val="32"/>
        </w:rPr>
        <w:t>1.</w:t>
      </w:r>
      <w:r>
        <w:rPr>
          <w:rFonts w:hint="eastAsia" w:ascii="仿宋_GB2312" w:hAnsi="Times New Roman" w:eastAsia="仿宋_GB2312" w:cs="Times New Roman"/>
          <w:sz w:val="32"/>
          <w:lang w:val="en-US" w:eastAsia="zh-CN"/>
        </w:rPr>
        <w:t>省级及以上工业园区新出让的工业用地需全面实行“标准地”供地。</w:t>
      </w:r>
      <w:r>
        <w:rPr>
          <w:rFonts w:hint="eastAsia" w:ascii="仿宋_GB2312" w:hAnsi="Times New Roman" w:eastAsia="仿宋_GB2312" w:cs="Times New Roman"/>
          <w:sz w:val="32"/>
        </w:rPr>
        <w:t>工业用地出让到期后，县（区）工业主管部门组织综合考评，经综合考评达标的，按程序报经市、县政府批准后，可以办理土地使用权出让续期。</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2.先租后让中的租赁合同约定的期限届满前60日内，承租人应书面申请县（区）工业主管部门组织综合考评达标。考评达标的，市、县自然资源部门根据县（区）工业主管部门出具的考评达标合格意见，可将项目用地转为出让手续，与承租方直接签订《国有建设用地使用权出让合同》。</w:t>
      </w:r>
    </w:p>
    <w:p>
      <w:pPr>
        <w:ind w:firstLine="640" w:firstLineChars="200"/>
        <w:rPr>
          <w:rFonts w:hint="eastAsia" w:ascii="仿宋_GB2312" w:hAnsi="Times New Roman" w:eastAsia="仿宋_GB2312" w:cs="Times New Roman"/>
          <w:sz w:val="32"/>
          <w:lang w:val="en-US" w:eastAsia="zh-CN"/>
        </w:rPr>
      </w:pPr>
      <w:r>
        <w:rPr>
          <w:rFonts w:hint="eastAsia" w:ascii="仿宋_GB2312" w:hAnsi="Times New Roman" w:eastAsia="仿宋_GB2312" w:cs="Times New Roman"/>
          <w:sz w:val="32"/>
          <w:lang w:val="en-US" w:eastAsia="zh-CN"/>
        </w:rPr>
        <w:t>3.建设用地使用权到期后，经综合考评后不达标的，自然终止合同，依法收回建设用地使用权。</w:t>
      </w:r>
    </w:p>
    <w:p>
      <w:pPr>
        <w:ind w:firstLine="640" w:firstLineChars="200"/>
        <w:rPr>
          <w:rFonts w:hint="eastAsia" w:ascii="楷体_GB2312" w:hAnsi="楷体_GB2312" w:eastAsia="楷体_GB2312" w:cs="楷体_GB2312"/>
          <w:sz w:val="32"/>
        </w:rPr>
      </w:pPr>
      <w:r>
        <w:rPr>
          <w:rFonts w:hint="eastAsia" w:ascii="楷体_GB2312" w:hAnsi="楷体_GB2312" w:eastAsia="楷体_GB2312" w:cs="楷体_GB2312"/>
          <w:sz w:val="32"/>
        </w:rPr>
        <w:t>（四）严格工业项目用地监管</w:t>
      </w:r>
    </w:p>
    <w:p>
      <w:pPr>
        <w:ind w:firstLine="640" w:firstLineChars="200"/>
        <w:rPr>
          <w:rFonts w:hint="eastAsia" w:ascii="仿宋_GB2312" w:hAnsi="Times New Roman" w:eastAsia="仿宋_GB2312" w:cs="Times New Roman"/>
          <w:sz w:val="32"/>
        </w:rPr>
      </w:pPr>
      <w:r>
        <w:rPr>
          <w:rFonts w:hint="eastAsia" w:ascii="仿宋_GB2312" w:hAnsi="Times New Roman" w:eastAsia="仿宋_GB2312" w:cs="Times New Roman"/>
          <w:sz w:val="32"/>
        </w:rPr>
        <w:t>各县（区）政府要制订工业项目投入、产出标准、退出机制、考评细则，严格把握项目准入、土地使用、综合考评、环保条件等关口，加强工业项目管理。市、县自然资源部门要做好工业项目用地监管工作，加大巡查力度，切实将工业项目纳入全过程动态监管。各产业园区要将全部低效和闲置工业用地开发利用现状纳入日常监管体系，并建立起常态化的调查统计更新和监管机制；建立健全低效和闲置</w:t>
      </w:r>
      <w:r>
        <w:rPr>
          <w:rFonts w:hint="eastAsia" w:ascii="仿宋_GB2312" w:hAnsi="Times New Roman" w:eastAsia="仿宋_GB2312" w:cs="Times New Roman"/>
          <w:sz w:val="32"/>
          <w:lang w:val="en-US" w:eastAsia="zh-CN"/>
        </w:rPr>
        <w:t>土</w:t>
      </w:r>
      <w:bookmarkStart w:id="0" w:name="_GoBack"/>
      <w:bookmarkEnd w:id="0"/>
      <w:r>
        <w:rPr>
          <w:rFonts w:hint="eastAsia" w:ascii="仿宋_GB2312" w:hAnsi="Times New Roman" w:eastAsia="仿宋_GB2312" w:cs="Times New Roman"/>
          <w:sz w:val="32"/>
        </w:rPr>
        <w:t>地盘活利用定期评估和分析报告制度，及时提出动态信息变化情况及处理的意见建议。</w:t>
      </w:r>
    </w:p>
    <w:p>
      <w:pPr>
        <w:ind w:firstLine="640" w:firstLineChars="200"/>
        <w:rPr>
          <w:rFonts w:hint="eastAsia" w:ascii="黑体" w:hAnsi="黑体" w:eastAsia="黑体" w:cs="黑体"/>
          <w:sz w:val="32"/>
        </w:rPr>
      </w:pPr>
      <w:r>
        <w:rPr>
          <w:rFonts w:hint="eastAsia" w:ascii="黑体" w:hAnsi="黑体" w:eastAsia="黑体" w:cs="黑体"/>
          <w:sz w:val="32"/>
        </w:rPr>
        <w:t>四、促进存量工业用地高效利用</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（一）提高工业用地利用强度。</w:t>
      </w:r>
      <w:r>
        <w:rPr>
          <w:rFonts w:hint="eastAsia" w:ascii="仿宋_GB2312" w:hAnsi="Times New Roman" w:eastAsia="仿宋_GB2312" w:cs="Times New Roman"/>
          <w:sz w:val="32"/>
        </w:rPr>
        <w:t>在《城市控制性详细规划》与自然资源部《工业项目建设用地控制指标》所述容积率指标不一致时，按就高不就低的原则控制容积率下限指标。</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（二）鼓励增加工业用房规模。</w:t>
      </w:r>
      <w:r>
        <w:rPr>
          <w:rFonts w:hint="eastAsia" w:ascii="仿宋_GB2312" w:hAnsi="Times New Roman" w:eastAsia="仿宋_GB2312" w:cs="Times New Roman"/>
          <w:sz w:val="32"/>
        </w:rPr>
        <w:t>已出让供地的生产性工业项目不涉及改变土地用途，增加建筑容积率的，不再增收土地价款。</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（三）引导土地用途兼容复合利用。</w:t>
      </w:r>
      <w:r>
        <w:rPr>
          <w:rFonts w:hint="eastAsia" w:ascii="仿宋_GB2312" w:hAnsi="Times New Roman" w:eastAsia="仿宋_GB2312" w:cs="Times New Roman"/>
          <w:sz w:val="32"/>
        </w:rPr>
        <w:t>在符合控制性详细规划的前提下，现有制造业企业通过提高工业用地容积率、调整用地结构增加服务型制造业设施和经营场所，其建筑面积比例不超过原总建筑面积15%的，可继续按原用途使用土地，但不得分割转让。</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（四）实行过渡期支持政策。</w:t>
      </w:r>
      <w:r>
        <w:rPr>
          <w:rFonts w:hint="eastAsia" w:ascii="仿宋_GB2312" w:hAnsi="Times New Roman" w:eastAsia="仿宋_GB2312" w:cs="Times New Roman"/>
          <w:sz w:val="32"/>
        </w:rPr>
        <w:t>利用依法取得的存量工业用地及房产，从事研发设计、检验检测认证、现代物流、勘察、科技成果转化转移、信息技术服务、软件研发、知识产权、综合科技、节能环保等服务业的，由相关行业主管部门提供证明文件，自然资源部门登记备案后，可实行继续按原用途和土地权利类型使用土地的过渡期支持政策，过渡期为5年。</w:t>
      </w:r>
    </w:p>
    <w:p>
      <w:pPr>
        <w:ind w:firstLine="640" w:firstLineChars="200"/>
        <w:rPr>
          <w:rFonts w:hint="eastAsia" w:ascii="仿宋_GB2312" w:hAnsi="Times New Roman" w:eastAsia="仿宋_GB2312" w:cs="Times New Roman"/>
          <w:sz w:val="32"/>
        </w:rPr>
      </w:pPr>
      <w:r>
        <w:rPr>
          <w:rFonts w:hint="eastAsia" w:ascii="楷体_GB2312" w:hAnsi="楷体_GB2312" w:eastAsia="楷体_GB2312" w:cs="楷体_GB2312"/>
          <w:sz w:val="32"/>
        </w:rPr>
        <w:t>（五）盘活去产能工业用地。</w:t>
      </w:r>
      <w:r>
        <w:rPr>
          <w:rFonts w:hint="eastAsia" w:ascii="仿宋_GB2312" w:hAnsi="Times New Roman" w:eastAsia="仿宋_GB2312" w:cs="Times New Roman"/>
          <w:sz w:val="32"/>
        </w:rPr>
        <w:t>市（县）政府确定需化解过剩产能退出的存量工业用地，在符合规划和转让条件的前提下，经自然资源部门审核同意，企业可申请办理工业用地分宗手续，可将工业用地整体或部分用于转产发展第三产业（商品住宅开发除外），并按市场价补缴土地出让价款。</w:t>
      </w:r>
    </w:p>
    <w:p>
      <w:pPr>
        <w:ind w:firstLine="640" w:firstLineChars="200"/>
        <w:rPr>
          <w:rFonts w:hint="eastAsia" w:ascii="仿宋_GB2312" w:hAnsi="Times New Roman" w:eastAsia="仿宋_GB2312" w:cs="Times New Roman"/>
          <w:sz w:val="32"/>
        </w:rPr>
      </w:pPr>
    </w:p>
    <w:p>
      <w:pPr>
        <w:ind w:firstLine="640" w:firstLineChars="200"/>
        <w:rPr>
          <w:rFonts w:hint="eastAsia" w:ascii="黑体" w:hAnsi="黑体" w:eastAsia="黑体" w:cs="黑体"/>
          <w:sz w:val="32"/>
        </w:rPr>
      </w:pPr>
      <w:r>
        <w:rPr>
          <w:rFonts w:hint="eastAsia" w:ascii="黑体" w:hAnsi="黑体" w:eastAsia="黑体" w:cs="黑体"/>
          <w:sz w:val="32"/>
        </w:rPr>
        <w:t>本意见自  年  月  日起实施，有效期五年，由市自然资源和规划局负责解释。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5"/>
        <w:jc w:val="both"/>
        <w:textAlignment w:val="auto"/>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98C9801-91C6-4ADE-864A-9B8974831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E0000" w:usb2="00000000" w:usb3="00000000" w:csb0="00040000" w:csb1="00000000"/>
    <w:embedRegular r:id="rId2" w:fontKey="{A7B3E622-14E8-4AB7-AC17-DF0851817C39}"/>
  </w:font>
  <w:font w:name="微软雅黑">
    <w:panose1 w:val="020B0503020204020204"/>
    <w:charset w:val="86"/>
    <w:family w:val="auto"/>
    <w:pitch w:val="default"/>
    <w:sig w:usb0="80000287" w:usb1="2ACF3C50" w:usb2="00000016" w:usb3="00000000" w:csb0="0004001F" w:csb1="00000000"/>
    <w:embedRegular r:id="rId3" w:fontKey="{27783261-61BD-482D-9242-55074FB0A15A}"/>
  </w:font>
  <w:font w:name="仿宋_GB2312">
    <w:panose1 w:val="02010609030101010101"/>
    <w:charset w:val="86"/>
    <w:family w:val="modern"/>
    <w:pitch w:val="default"/>
    <w:sig w:usb0="00000001" w:usb1="080E0000" w:usb2="00000000" w:usb3="00000000" w:csb0="00040000" w:csb1="00000000"/>
    <w:embedRegular r:id="rId4" w:fontKey="{885F16F1-2D13-4114-A4D6-3CBFA998C611}"/>
  </w:font>
  <w:font w:name="楷体_GB2312">
    <w:panose1 w:val="02010609030101010101"/>
    <w:charset w:val="86"/>
    <w:family w:val="modern"/>
    <w:pitch w:val="default"/>
    <w:sig w:usb0="00000001" w:usb1="080E0000" w:usb2="00000000" w:usb3="00000000" w:csb0="00040000" w:csb1="00000000"/>
    <w:embedRegular r:id="rId5" w:fontKey="{FC3E27E3-148F-4DEE-9401-74081C41A6EF}"/>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kOGNhZTU3NDZhODQ4ZmY3YWRiNjE1MTFmMmE3ZTAifQ=="/>
  </w:docVars>
  <w:rsids>
    <w:rsidRoot w:val="00252CCF"/>
    <w:rsid w:val="00252CCF"/>
    <w:rsid w:val="00581F0A"/>
    <w:rsid w:val="008A2514"/>
    <w:rsid w:val="00A407DF"/>
    <w:rsid w:val="00B928D8"/>
    <w:rsid w:val="00EB3E5B"/>
    <w:rsid w:val="12231E4A"/>
    <w:rsid w:val="2BEF297C"/>
    <w:rsid w:val="2DFE35C1"/>
    <w:rsid w:val="47C01183"/>
    <w:rsid w:val="480265B5"/>
    <w:rsid w:val="489662D3"/>
    <w:rsid w:val="62E66075"/>
    <w:rsid w:val="633903B1"/>
    <w:rsid w:val="74A2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Date"/>
    <w:basedOn w:val="1"/>
    <w:next w:val="1"/>
    <w:link w:val="10"/>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3"/>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Pages>
  <Words>193</Words>
  <Characters>203</Characters>
  <Lines>1</Lines>
  <Paragraphs>1</Paragraphs>
  <TotalTime>7</TotalTime>
  <ScaleCrop>false</ScaleCrop>
  <LinksUpToDate>false</LinksUpToDate>
  <CharactersWithSpaces>227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2023-05-29T07:20:00Z</dcterms:created>
  <dc:creator>李松</dc:creator>
  <cp:lastModifiedBy>半度渊月</cp:lastModifiedBy>
  <dcterms:modified xsi:type="dcterms:W3CDTF">2023-11-29T04:05:48Z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1128994F784C4721AE91761B73CEBBDD_12</vt:lpwstr>
  </property>
</Properties>
</file>