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425"/>
      <w:bookmarkStart w:id="3" w:name="_Toc15377193"/>
      <w:bookmarkStart w:id="4" w:name="_Toc1539647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不动产登记中心单位决算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公开时间：2023年9月14日</w:t>
      </w:r>
    </w:p>
    <w:p/>
    <w:p>
      <w:pPr>
        <w:pStyle w:val="10"/>
        <w:adjustRightInd w:val="0"/>
        <w:snapToGrid w:val="0"/>
        <w:spacing w:before="0" w:line="440" w:lineRule="exact"/>
        <w:jc w:val="left"/>
        <w:rPr>
          <w:rFonts w:ascii="Times New Roman" w:hAnsi="Times New Roman"/>
          <w:sz w:val="24"/>
          <w:szCs w:val="24"/>
        </w:rPr>
      </w:pPr>
      <w:r>
        <w:rPr>
          <w:rFonts w:hint="eastAsia"/>
          <w:sz w:val="24"/>
        </w:rPr>
        <w:t>第一部分单位概况</w:t>
      </w:r>
      <w:r>
        <w:rPr>
          <w:rFonts w:cstheme="minorBidi"/>
          <w:sz w:val="24"/>
          <w:szCs w:val="24"/>
        </w:rPr>
        <w:tab/>
      </w:r>
      <w:r>
        <w:rPr>
          <w:rFonts w:ascii="Times New Roman" w:hAnsi="Times New Roman"/>
          <w:sz w:val="24"/>
          <w:szCs w:val="24"/>
        </w:rPr>
        <w:t>4</w:t>
      </w:r>
    </w:p>
    <w:p>
      <w:pPr>
        <w:pStyle w:val="11"/>
        <w:adjustRightInd w:val="0"/>
        <w:snapToGrid w:val="0"/>
        <w:spacing w:line="440" w:lineRule="exact"/>
        <w:jc w:val="left"/>
        <w:rPr>
          <w:sz w:val="24"/>
        </w:rPr>
      </w:pPr>
      <w:r>
        <w:rPr>
          <w:sz w:val="24"/>
        </w:rPr>
        <w:t>一、主要职责</w:t>
      </w:r>
      <w:r>
        <w:rPr>
          <w:sz w:val="24"/>
        </w:rPr>
        <w:tab/>
      </w:r>
      <w:r>
        <w:rPr>
          <w:rFonts w:eastAsia="仿宋"/>
          <w:sz w:val="24"/>
        </w:rPr>
        <w:t>4</w:t>
      </w:r>
    </w:p>
    <w:p>
      <w:pPr>
        <w:pStyle w:val="11"/>
        <w:adjustRightInd w:val="0"/>
        <w:snapToGrid w:val="0"/>
        <w:spacing w:line="440" w:lineRule="exact"/>
        <w:jc w:val="left"/>
        <w:rPr>
          <w:sz w:val="24"/>
        </w:rPr>
      </w:pPr>
      <w:r>
        <w:rPr>
          <w:sz w:val="24"/>
        </w:rPr>
        <w:t>二、机构设置</w:t>
      </w:r>
      <w:r>
        <w:rPr>
          <w:sz w:val="24"/>
        </w:rPr>
        <w:tab/>
      </w:r>
      <w:r>
        <w:rPr>
          <w:rFonts w:eastAsia="仿宋"/>
          <w:sz w:val="24"/>
        </w:rPr>
        <w:t>4</w:t>
      </w:r>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szCs w:val="24"/>
        </w:rPr>
        <w:t>第二部分 2022年度单位决算情况说明</w:t>
      </w:r>
      <w:r>
        <w:rPr>
          <w:rFonts w:ascii="Times New Roman" w:hAnsi="Times New Roman"/>
          <w:sz w:val="24"/>
          <w:szCs w:val="24"/>
        </w:rPr>
        <w:tab/>
      </w:r>
      <w:r>
        <w:rPr>
          <w:rFonts w:ascii="Times New Roman" w:hAnsi="Times New Roman"/>
          <w:sz w:val="24"/>
          <w:szCs w:val="24"/>
        </w:rPr>
        <w:t>5</w:t>
      </w:r>
    </w:p>
    <w:p>
      <w:pPr>
        <w:pStyle w:val="11"/>
        <w:adjustRightInd w:val="0"/>
        <w:snapToGrid w:val="0"/>
        <w:spacing w:line="440" w:lineRule="exact"/>
        <w:jc w:val="left"/>
        <w:rPr>
          <w:sz w:val="24"/>
        </w:rPr>
      </w:pPr>
      <w:r>
        <w:rPr>
          <w:sz w:val="24"/>
        </w:rPr>
        <w:t>一、收入支出决算总体情况说明</w:t>
      </w:r>
      <w:r>
        <w:rPr>
          <w:sz w:val="24"/>
        </w:rPr>
        <w:tab/>
      </w:r>
      <w:r>
        <w:rPr>
          <w:sz w:val="24"/>
        </w:rPr>
        <w:t>5</w:t>
      </w:r>
    </w:p>
    <w:p>
      <w:pPr>
        <w:pStyle w:val="11"/>
        <w:adjustRightInd w:val="0"/>
        <w:snapToGrid w:val="0"/>
        <w:spacing w:line="440" w:lineRule="exact"/>
        <w:jc w:val="left"/>
        <w:rPr>
          <w:sz w:val="24"/>
        </w:rPr>
      </w:pPr>
      <w:r>
        <w:rPr>
          <w:sz w:val="24"/>
        </w:rPr>
        <w:t>二、收入决算情况说明</w:t>
      </w:r>
      <w:r>
        <w:rPr>
          <w:sz w:val="24"/>
        </w:rPr>
        <w:tab/>
      </w:r>
      <w:r>
        <w:rPr>
          <w:sz w:val="24"/>
        </w:rPr>
        <w:t>5</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8</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11</w:t>
      </w:r>
    </w:p>
    <w:p>
      <w:pPr>
        <w:pStyle w:val="11"/>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hint="eastAsia" w:cstheme="minorBidi"/>
          <w:sz w:val="24"/>
        </w:rPr>
        <w:t>11</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hint="eastAsia" w:cstheme="minorBidi"/>
          <w:sz w:val="24"/>
        </w:rPr>
        <w:t>13</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13</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13</w:t>
      </w:r>
    </w:p>
    <w:p>
      <w:pPr>
        <w:pStyle w:val="10"/>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rPr>
        <w:tab/>
      </w:r>
      <w:r>
        <w:rPr>
          <w:rFonts w:hint="eastAsia" w:cstheme="minorBidi"/>
          <w:sz w:val="24"/>
        </w:rPr>
        <w:t>15</w:t>
      </w:r>
    </w:p>
    <w:p>
      <w:pPr>
        <w:pStyle w:val="10"/>
        <w:adjustRightInd w:val="0"/>
        <w:snapToGrid w:val="0"/>
        <w:spacing w:before="0" w:line="440" w:lineRule="exact"/>
        <w:jc w:val="left"/>
        <w:rPr>
          <w:rFonts w:cstheme="minorBidi"/>
          <w:sz w:val="24"/>
          <w:szCs w:val="24"/>
        </w:rPr>
      </w:pPr>
      <w:r>
        <w:rPr>
          <w:rFonts w:hint="eastAsia"/>
          <w:sz w:val="24"/>
        </w:rPr>
        <w:t>第四部分附件</w:t>
      </w:r>
      <w:r>
        <w:rPr>
          <w:rFonts w:cstheme="minorBidi"/>
          <w:sz w:val="24"/>
        </w:rPr>
        <w:tab/>
      </w:r>
      <w:r>
        <w:rPr>
          <w:rFonts w:hint="eastAsia" w:cstheme="minorBidi"/>
          <w:sz w:val="24"/>
        </w:rPr>
        <w:t>17</w:t>
      </w:r>
    </w:p>
    <w:p>
      <w:pPr>
        <w:pStyle w:val="10"/>
        <w:adjustRightInd w:val="0"/>
        <w:snapToGrid w:val="0"/>
        <w:spacing w:before="0" w:line="440" w:lineRule="exact"/>
        <w:jc w:val="left"/>
        <w:rPr>
          <w:rFonts w:cstheme="minorBidi"/>
          <w:sz w:val="24"/>
          <w:szCs w:val="24"/>
        </w:rPr>
      </w:pPr>
      <w:r>
        <w:rPr>
          <w:rFonts w:hint="eastAsia"/>
          <w:sz w:val="24"/>
        </w:rPr>
        <w:t>第五部分附表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rPr>
        <w:t>18</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18</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spacing w:line="580" w:lineRule="exact"/>
        <w:ind w:firstLine="640" w:firstLineChars="200"/>
        <w:outlineLvl w:val="1"/>
      </w:pPr>
      <w:r>
        <w:rPr>
          <w:rFonts w:hint="eastAsia" w:ascii="仿宋" w:hAnsi="仿宋" w:eastAsia="仿宋"/>
          <w:sz w:val="32"/>
          <w:szCs w:val="32"/>
        </w:rPr>
        <w:t>攀枝花市不动产登记中心是由中共攀枝花市委机构编制委员会批准设立（攀编发</w:t>
      </w:r>
      <w:r>
        <w:rPr>
          <w:rFonts w:hint="eastAsia" w:ascii="仿宋" w:hAnsi="仿宋" w:eastAsia="仿宋" w:cs="仿宋"/>
          <w:sz w:val="32"/>
          <w:szCs w:val="32"/>
        </w:rPr>
        <w:t>〔2015〕48</w:t>
      </w:r>
      <w:r>
        <w:rPr>
          <w:rFonts w:hint="eastAsia" w:ascii="仿宋" w:hAnsi="仿宋" w:eastAsia="仿宋"/>
          <w:sz w:val="32"/>
          <w:szCs w:val="32"/>
        </w:rPr>
        <w:t>号），为攀枝花市自然资源和规划局所属公益一类事业单位。承担市自然资源和规划局职责范围内的土地、房屋、林地、草原等不动产登记具体经办工作。</w:t>
      </w:r>
    </w:p>
    <w:p>
      <w:pPr>
        <w:pStyle w:val="5"/>
        <w:rPr>
          <w:rFonts w:ascii="黑体" w:hAnsi="黑体" w:eastAsia="黑体"/>
          <w:b w:val="0"/>
        </w:rPr>
      </w:pPr>
      <w:r>
        <w:rPr>
          <w:rFonts w:hint="eastAsia" w:ascii="黑体" w:hAnsi="黑体" w:eastAsia="黑体"/>
          <w:b w:val="0"/>
        </w:rPr>
        <w:t>二、机构设置</w:t>
      </w:r>
    </w:p>
    <w:bookmarkEnd w:id="14"/>
    <w:bookmarkEnd w:id="15"/>
    <w:p>
      <w:pPr>
        <w:spacing w:line="600" w:lineRule="exact"/>
        <w:rPr>
          <w:rFonts w:ascii="仿宋" w:hAnsi="仿宋" w:eastAsia="仿宋"/>
          <w:sz w:val="32"/>
          <w:szCs w:val="32"/>
        </w:rPr>
      </w:pPr>
      <w:r>
        <w:rPr>
          <w:rFonts w:hint="eastAsia" w:ascii="仿宋" w:hAnsi="仿宋" w:eastAsia="仿宋"/>
          <w:sz w:val="32"/>
          <w:szCs w:val="32"/>
        </w:rPr>
        <w:t xml:space="preserve">    攀枝花市不动产登记中心内设6个科（综合科、登记一科、登记二科、权籍科、信息科、档案科），3个分中心（东区分中心、西区分中心、仁和区分中心），事业编制54名，除3个分中心以外，已整体入驻市政务服务中心开展工作。</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pPr>
      <w:bookmarkStart w:id="16" w:name="_Toc15396602"/>
      <w:bookmarkStart w:id="17"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2022年度收、支总计2225.24万元。与2021年相比，收入减少152.71万元，下降12.07</w:t>
      </w:r>
      <w:r>
        <w:rPr>
          <w:rFonts w:ascii="仿宋" w:hAnsi="仿宋" w:eastAsia="仿宋"/>
          <w:sz w:val="32"/>
          <w:szCs w:val="32"/>
        </w:rPr>
        <w:t>%</w:t>
      </w:r>
      <w:r>
        <w:rPr>
          <w:rFonts w:hint="eastAsia" w:ascii="仿宋" w:hAnsi="仿宋" w:eastAsia="仿宋"/>
          <w:sz w:val="32"/>
          <w:szCs w:val="32"/>
        </w:rPr>
        <w:t>，支出减少152.71万元，下降12.07%。主要变动原因是减少了不动产登记平台升级信息化建设服务项目、不动产权籍调查与测绘服务项目支出资金。</w:t>
      </w:r>
    </w:p>
    <w:p>
      <w:pPr>
        <w:pStyle w:val="2"/>
        <w:spacing w:before="93"/>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22年本年收入合计985.05万元，其中：一般公共预算财政拨款收入985.05万元，占100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4572000" cy="2755900"/>
            <wp:effectExtent l="5080" t="4445" r="13970" b="2095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22年本年支出合计1112.62万元，其中：基本支出965.84万元，占86.81</w:t>
      </w:r>
      <w:r>
        <w:rPr>
          <w:rFonts w:ascii="仿宋" w:hAnsi="仿宋" w:eastAsia="仿宋"/>
          <w:sz w:val="32"/>
          <w:szCs w:val="32"/>
        </w:rPr>
        <w:t>%</w:t>
      </w:r>
      <w:r>
        <w:rPr>
          <w:rFonts w:hint="eastAsia" w:ascii="仿宋" w:hAnsi="仿宋" w:eastAsia="仿宋"/>
          <w:sz w:val="32"/>
          <w:szCs w:val="32"/>
        </w:rPr>
        <w:t>；项目支出146.78万元，占13.19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r>
        <w:drawing>
          <wp:inline distT="0" distB="0" distL="114300" distR="114300">
            <wp:extent cx="4572000" cy="2752725"/>
            <wp:effectExtent l="4445" t="4445" r="14605" b="508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22年财政拨款收、支总计2225.24万元。与</w:t>
      </w:r>
      <w:r>
        <w:rPr>
          <w:rFonts w:ascii="仿宋" w:hAnsi="仿宋" w:eastAsia="仿宋"/>
          <w:sz w:val="32"/>
          <w:szCs w:val="32"/>
        </w:rPr>
        <w:t>20</w:t>
      </w:r>
      <w:r>
        <w:rPr>
          <w:rFonts w:hint="eastAsia" w:ascii="仿宋" w:hAnsi="仿宋" w:eastAsia="仿宋"/>
          <w:sz w:val="32"/>
          <w:szCs w:val="32"/>
        </w:rPr>
        <w:t>21年相比，财政拨款收入总计减少152.71万元，下降12.07</w:t>
      </w:r>
      <w:r>
        <w:rPr>
          <w:rFonts w:ascii="仿宋" w:hAnsi="仿宋" w:eastAsia="仿宋"/>
          <w:sz w:val="32"/>
          <w:szCs w:val="32"/>
        </w:rPr>
        <w:t>%</w:t>
      </w:r>
      <w:r>
        <w:rPr>
          <w:rFonts w:hint="eastAsia" w:ascii="仿宋" w:hAnsi="仿宋" w:eastAsia="仿宋"/>
          <w:sz w:val="32"/>
          <w:szCs w:val="32"/>
        </w:rPr>
        <w:t>，财政拨款支出总计减少152.71万元，下降12.07%。主要变动原因是减少了不动产登记平台升级信息化建设服务项目、不动产权籍调查与测绘服务项目支出资金。</w:t>
      </w:r>
    </w:p>
    <w:p>
      <w:pPr>
        <w:spacing w:line="600" w:lineRule="exact"/>
        <w:rPr>
          <w:rFonts w:ascii="仿宋" w:hAnsi="仿宋" w:eastAsia="仿宋"/>
          <w:sz w:val="32"/>
          <w:szCs w:val="32"/>
        </w:rPr>
      </w:pPr>
    </w:p>
    <w:p>
      <w:pPr>
        <w:spacing w:line="600" w:lineRule="exact"/>
        <w:rPr>
          <w:rFonts w:ascii="仿宋" w:hAnsi="仿宋" w:eastAsia="仿宋"/>
          <w:b/>
          <w:sz w:val="32"/>
          <w:szCs w:val="32"/>
        </w:rPr>
      </w:pPr>
    </w:p>
    <w:p>
      <w:pPr>
        <w:spacing w:line="600" w:lineRule="exact"/>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4572000" cy="28194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22年一般公共预算财政拨款支出1112.62万元，占本年支出合计的100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21年相比，一般公共预算财政拨款支出减少117.71万元，下降9.57</w:t>
      </w:r>
      <w:r>
        <w:rPr>
          <w:rFonts w:ascii="仿宋" w:hAnsi="仿宋" w:eastAsia="仿宋"/>
          <w:sz w:val="32"/>
          <w:szCs w:val="32"/>
        </w:rPr>
        <w:t>%</w:t>
      </w:r>
      <w:r>
        <w:rPr>
          <w:rFonts w:hint="eastAsia" w:ascii="仿宋" w:hAnsi="仿宋" w:eastAsia="仿宋"/>
          <w:sz w:val="32"/>
          <w:szCs w:val="32"/>
        </w:rPr>
        <w:t>。主要变动原因是减少了项目经费支出。</w:t>
      </w:r>
    </w:p>
    <w:p>
      <w:pPr>
        <w:spacing w:line="600" w:lineRule="exact"/>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4572000" cy="2749550"/>
            <wp:effectExtent l="4445" t="4445" r="14605" b="8255"/>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22年一般公共预算财政拨款支出1112.62万元，主要用于以下方面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支出（类）</w:t>
      </w:r>
      <w:r>
        <w:rPr>
          <w:rFonts w:hint="eastAsia" w:ascii="仿宋" w:hAnsi="仿宋" w:eastAsia="仿宋"/>
          <w:sz w:val="32"/>
          <w:szCs w:val="32"/>
        </w:rPr>
        <w:t>99.93万元，占8.98</w:t>
      </w:r>
      <w:r>
        <w:rPr>
          <w:rFonts w:ascii="仿宋" w:hAnsi="仿宋" w:eastAsia="仿宋"/>
          <w:sz w:val="32"/>
          <w:szCs w:val="32"/>
        </w:rPr>
        <w:t>%</w:t>
      </w:r>
      <w:r>
        <w:rPr>
          <w:rFonts w:hint="eastAsia" w:ascii="仿宋" w:hAnsi="仿宋" w:eastAsia="仿宋"/>
          <w:sz w:val="32"/>
          <w:szCs w:val="32"/>
        </w:rPr>
        <w:t>；</w:t>
      </w:r>
      <w:r>
        <w:rPr>
          <w:rStyle w:val="14"/>
          <w:rFonts w:hint="eastAsia" w:ascii="仿宋" w:eastAsia="仿宋"/>
          <w:bCs/>
          <w:color w:val="000000"/>
          <w:sz w:val="32"/>
          <w:szCs w:val="32"/>
        </w:rPr>
        <w:t>自然资源海洋气象等支出</w:t>
      </w:r>
      <w:r>
        <w:rPr>
          <w:rFonts w:hint="eastAsia" w:ascii="仿宋" w:hAnsi="仿宋" w:eastAsia="仿宋"/>
          <w:b/>
          <w:bCs/>
          <w:sz w:val="32"/>
          <w:szCs w:val="32"/>
        </w:rPr>
        <w:t>（类）</w:t>
      </w:r>
      <w:r>
        <w:rPr>
          <w:rFonts w:hint="eastAsia" w:ascii="仿宋" w:eastAsia="仿宋"/>
          <w:color w:val="000000"/>
          <w:sz w:val="32"/>
          <w:szCs w:val="32"/>
        </w:rPr>
        <w:t>931.79万元，占83.75</w:t>
      </w:r>
      <w:r>
        <w:rPr>
          <w:rFonts w:ascii="仿宋" w:eastAsia="仿宋"/>
          <w:color w:val="000000"/>
          <w:sz w:val="32"/>
          <w:szCs w:val="32"/>
        </w:rPr>
        <w:t>%</w:t>
      </w:r>
      <w:r>
        <w:rPr>
          <w:rFonts w:hint="eastAsia" w:ascii="仿宋" w:eastAsia="仿宋"/>
          <w:color w:val="000000"/>
          <w:sz w:val="32"/>
          <w:szCs w:val="32"/>
        </w:rPr>
        <w:t>；</w:t>
      </w:r>
      <w:r>
        <w:rPr>
          <w:rFonts w:hint="eastAsia" w:ascii="仿宋" w:hAnsi="仿宋" w:eastAsia="仿宋"/>
          <w:b/>
          <w:bCs/>
          <w:sz w:val="32"/>
          <w:szCs w:val="32"/>
        </w:rPr>
        <w:t>住房保障支出（类）</w:t>
      </w:r>
      <w:r>
        <w:rPr>
          <w:rFonts w:hint="eastAsia" w:ascii="仿宋" w:hAnsi="仿宋" w:eastAsia="仿宋"/>
          <w:sz w:val="32"/>
          <w:szCs w:val="32"/>
        </w:rPr>
        <w:t>80.9万元，占7.27</w:t>
      </w:r>
      <w:r>
        <w:rPr>
          <w:rFonts w:ascii="仿宋" w:hAnsi="仿宋" w:eastAsia="仿宋"/>
          <w:sz w:val="32"/>
          <w:szCs w:val="32"/>
        </w:rPr>
        <w:t>%</w:t>
      </w:r>
      <w:r>
        <w:rPr>
          <w:rFonts w:hint="eastAsia" w:ascii="仿宋" w:hAnsi="仿宋" w:eastAsia="仿宋"/>
          <w:sz w:val="32"/>
          <w:szCs w:val="32"/>
        </w:rPr>
        <w:t>。</w:t>
      </w:r>
    </w:p>
    <w:p>
      <w:pPr>
        <w:spacing w:line="600" w:lineRule="exact"/>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4572000" cy="2746375"/>
            <wp:effectExtent l="4445" t="4445" r="14605" b="1143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2022年一般公共预算支出决算数为1112.62万元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0" w:firstLineChars="200"/>
        <w:rPr>
          <w:rFonts w:ascii="仿宋" w:eastAsia="仿宋"/>
          <w:color w:val="000000"/>
          <w:sz w:val="32"/>
          <w:szCs w:val="32"/>
        </w:rPr>
      </w:pPr>
      <w:r>
        <w:rPr>
          <w:rStyle w:val="14"/>
          <w:rFonts w:ascii="仿宋" w:eastAsia="仿宋"/>
          <w:b w:val="0"/>
          <w:bCs/>
          <w:color w:val="000000"/>
          <w:sz w:val="32"/>
          <w:szCs w:val="32"/>
        </w:rPr>
        <w:t>1.</w:t>
      </w:r>
      <w:r>
        <w:rPr>
          <w:rStyle w:val="14"/>
          <w:rFonts w:hint="eastAsia" w:ascii="仿宋" w:hAnsi="仿宋" w:eastAsia="仿宋" w:cstheme="minorBidi"/>
          <w:bCs/>
          <w:sz w:val="32"/>
          <w:szCs w:val="32"/>
        </w:rPr>
        <w:t>社会保障和就业支出（类）行政事业单位养老支出（款）事业单位离退休（项）</w:t>
      </w:r>
      <w:r>
        <w:rPr>
          <w:rStyle w:val="14"/>
          <w:rFonts w:ascii="仿宋" w:eastAsia="仿宋"/>
          <w:b w:val="0"/>
          <w:bCs/>
          <w:color w:val="000000"/>
          <w:sz w:val="32"/>
          <w:szCs w:val="32"/>
        </w:rPr>
        <w:t>:</w:t>
      </w:r>
      <w:r>
        <w:rPr>
          <w:rStyle w:val="14"/>
          <w:rFonts w:hint="eastAsia" w:ascii="仿宋" w:eastAsia="仿宋"/>
          <w:b w:val="0"/>
          <w:bCs/>
          <w:color w:val="000000"/>
          <w:sz w:val="32"/>
          <w:szCs w:val="32"/>
        </w:rPr>
        <w:t>支出决算为28.58万元，完成预算100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Fonts w:ascii="仿宋" w:eastAsia="仿宋"/>
          <w:color w:val="000000"/>
          <w:sz w:val="32"/>
          <w:szCs w:val="32"/>
        </w:rPr>
      </w:pPr>
      <w:r>
        <w:rPr>
          <w:rStyle w:val="14"/>
          <w:rFonts w:ascii="仿宋" w:eastAsia="仿宋"/>
          <w:b w:val="0"/>
          <w:bCs/>
          <w:color w:val="000000"/>
          <w:sz w:val="32"/>
          <w:szCs w:val="32"/>
        </w:rPr>
        <w:t>2.</w:t>
      </w:r>
      <w:r>
        <w:rPr>
          <w:rStyle w:val="14"/>
          <w:rFonts w:hint="eastAsia" w:ascii="仿宋" w:hAnsi="仿宋" w:eastAsia="仿宋" w:cstheme="minorBidi"/>
          <w:bCs/>
          <w:sz w:val="32"/>
          <w:szCs w:val="32"/>
        </w:rPr>
        <w:t>社会保障和就业支出（类）行政事业单位养老支出（款）机关事业单位基本养老保险缴费支出（项）</w:t>
      </w:r>
      <w:r>
        <w:rPr>
          <w:rStyle w:val="14"/>
          <w:rFonts w:ascii="仿宋" w:eastAsia="仿宋"/>
          <w:b w:val="0"/>
          <w:bCs/>
          <w:color w:val="000000"/>
          <w:sz w:val="32"/>
          <w:szCs w:val="32"/>
        </w:rPr>
        <w:t>:</w:t>
      </w:r>
      <w:r>
        <w:rPr>
          <w:rStyle w:val="14"/>
          <w:rFonts w:hint="eastAsia" w:ascii="仿宋" w:eastAsia="仿宋"/>
          <w:b w:val="0"/>
          <w:bCs/>
          <w:color w:val="000000"/>
          <w:sz w:val="32"/>
          <w:szCs w:val="32"/>
        </w:rPr>
        <w:t>支出决算为71.35万元，完成预算100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Style w:val="14"/>
          <w:rFonts w:ascii="仿宋" w:eastAsia="仿宋"/>
          <w:b w:val="0"/>
          <w:bCs/>
          <w:color w:val="000000"/>
          <w:sz w:val="32"/>
          <w:szCs w:val="32"/>
        </w:rPr>
      </w:pPr>
      <w:r>
        <w:rPr>
          <w:rStyle w:val="14"/>
          <w:rFonts w:hint="eastAsia" w:ascii="仿宋" w:eastAsia="仿宋"/>
          <w:b w:val="0"/>
          <w:bCs/>
          <w:color w:val="000000"/>
          <w:sz w:val="32"/>
          <w:szCs w:val="32"/>
        </w:rPr>
        <w:t>3</w:t>
      </w:r>
      <w:r>
        <w:rPr>
          <w:rStyle w:val="14"/>
          <w:rFonts w:ascii="仿宋" w:eastAsia="仿宋"/>
          <w:b w:val="0"/>
          <w:bCs/>
          <w:color w:val="000000"/>
          <w:sz w:val="32"/>
          <w:szCs w:val="32"/>
        </w:rPr>
        <w:t>.</w:t>
      </w:r>
      <w:r>
        <w:rPr>
          <w:rStyle w:val="14"/>
          <w:rFonts w:hint="eastAsia" w:ascii="仿宋" w:hAnsi="仿宋" w:eastAsia="仿宋" w:cstheme="minorBidi"/>
          <w:bCs/>
          <w:sz w:val="32"/>
          <w:szCs w:val="32"/>
        </w:rPr>
        <w:t>自然资源海洋气象等支出（类）自然资源事务（款）事业运行（项）</w:t>
      </w:r>
      <w:r>
        <w:rPr>
          <w:rStyle w:val="14"/>
          <w:rFonts w:ascii="仿宋" w:eastAsia="仿宋"/>
          <w:b w:val="0"/>
          <w:bCs/>
          <w:color w:val="000000"/>
          <w:sz w:val="32"/>
          <w:szCs w:val="32"/>
        </w:rPr>
        <w:t>:</w:t>
      </w:r>
      <w:r>
        <w:rPr>
          <w:rStyle w:val="14"/>
          <w:rFonts w:hint="eastAsia" w:ascii="仿宋" w:eastAsia="仿宋"/>
          <w:b w:val="0"/>
          <w:bCs/>
          <w:color w:val="000000"/>
          <w:sz w:val="32"/>
          <w:szCs w:val="32"/>
        </w:rPr>
        <w:t>支出决算为785.01万元，完成预算100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Fonts w:ascii="仿宋" w:eastAsia="仿宋"/>
          <w:bCs/>
          <w:color w:val="000000"/>
          <w:sz w:val="32"/>
          <w:szCs w:val="32"/>
        </w:rPr>
      </w:pPr>
      <w:r>
        <w:rPr>
          <w:rStyle w:val="14"/>
          <w:rFonts w:hint="eastAsia" w:ascii="仿宋" w:eastAsia="仿宋"/>
          <w:b w:val="0"/>
          <w:bCs/>
          <w:color w:val="000000"/>
          <w:sz w:val="32"/>
          <w:szCs w:val="32"/>
        </w:rPr>
        <w:t>4</w:t>
      </w:r>
      <w:r>
        <w:rPr>
          <w:rStyle w:val="14"/>
          <w:rFonts w:ascii="仿宋" w:eastAsia="仿宋"/>
          <w:b w:val="0"/>
          <w:bCs/>
          <w:color w:val="000000"/>
          <w:sz w:val="32"/>
          <w:szCs w:val="32"/>
        </w:rPr>
        <w:t>.</w:t>
      </w:r>
      <w:r>
        <w:rPr>
          <w:rStyle w:val="14"/>
          <w:rFonts w:hint="eastAsia" w:ascii="仿宋" w:hAnsi="仿宋" w:eastAsia="仿宋" w:cstheme="minorBidi"/>
          <w:bCs/>
          <w:sz w:val="32"/>
          <w:szCs w:val="32"/>
        </w:rPr>
        <w:t>自然资源海洋气象等支出（类）自然资源事务（款）其他自然资源事务支出（项）</w:t>
      </w:r>
      <w:r>
        <w:rPr>
          <w:rStyle w:val="14"/>
          <w:rFonts w:ascii="仿宋" w:eastAsia="仿宋"/>
          <w:b w:val="0"/>
          <w:bCs/>
          <w:color w:val="000000"/>
          <w:sz w:val="32"/>
          <w:szCs w:val="32"/>
        </w:rPr>
        <w:t>:</w:t>
      </w:r>
      <w:r>
        <w:rPr>
          <w:rStyle w:val="14"/>
          <w:rFonts w:hint="eastAsia" w:ascii="仿宋" w:eastAsia="仿宋"/>
          <w:b w:val="0"/>
          <w:bCs/>
          <w:color w:val="000000"/>
          <w:sz w:val="32"/>
          <w:szCs w:val="32"/>
        </w:rPr>
        <w:t>支出决算为146.78万元，完成预算100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Fonts w:ascii="仿宋" w:hAnsi="仿宋" w:eastAsia="仿宋"/>
          <w:b/>
          <w:sz w:val="32"/>
          <w:szCs w:val="32"/>
        </w:rPr>
      </w:pPr>
      <w:r>
        <w:rPr>
          <w:rStyle w:val="14"/>
          <w:rFonts w:hint="eastAsia" w:ascii="仿宋" w:eastAsia="仿宋"/>
          <w:b w:val="0"/>
          <w:bCs/>
          <w:color w:val="000000"/>
          <w:sz w:val="32"/>
          <w:szCs w:val="32"/>
        </w:rPr>
        <w:t>5</w:t>
      </w:r>
      <w:r>
        <w:rPr>
          <w:rStyle w:val="14"/>
          <w:rFonts w:ascii="仿宋" w:eastAsia="仿宋"/>
          <w:b w:val="0"/>
          <w:bCs/>
          <w:color w:val="000000"/>
          <w:sz w:val="32"/>
          <w:szCs w:val="32"/>
        </w:rPr>
        <w:t>.</w:t>
      </w:r>
      <w:r>
        <w:rPr>
          <w:rStyle w:val="14"/>
          <w:rFonts w:hint="eastAsia" w:ascii="仿宋" w:hAnsi="仿宋" w:eastAsia="仿宋" w:cstheme="minorBidi"/>
          <w:bCs/>
          <w:sz w:val="32"/>
          <w:szCs w:val="32"/>
        </w:rPr>
        <w:t>住房保障支出（类）住房改革支出（款）住房公积金（项）:</w:t>
      </w:r>
      <w:r>
        <w:rPr>
          <w:rStyle w:val="14"/>
          <w:rFonts w:hint="eastAsia" w:ascii="仿宋" w:eastAsia="仿宋"/>
          <w:b w:val="0"/>
          <w:bCs/>
          <w:color w:val="000000"/>
          <w:sz w:val="32"/>
          <w:szCs w:val="32"/>
        </w:rPr>
        <w:t>支出决算为80.9万元，完成预算100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22年一般公共预算财政拨款基本支出965.84万元，其中：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929.49万元，主要包括：基本工资、津贴补贴、绩效工资、机关事业单位基本养老保险缴费、职工基本医疗保险缴费、公务员医疗补助缴费、其他社会保障缴费、住房公积金、其他工资福利支出、生活补助、医疗费补助等。</w:t>
      </w:r>
      <w:r>
        <w:rPr>
          <w:rFonts w:ascii="仿宋" w:hAnsi="仿宋" w:eastAsia="仿宋"/>
          <w:sz w:val="32"/>
          <w:szCs w:val="32"/>
        </w:rPr>
        <w:br w:type="textWrapping"/>
      </w:r>
      <w:r>
        <w:rPr>
          <w:rFonts w:hint="eastAsia" w:ascii="仿宋" w:hAnsi="仿宋" w:eastAsia="仿宋"/>
          <w:sz w:val="32"/>
          <w:szCs w:val="32"/>
        </w:rPr>
        <w:t>　　公用经费178.83万元，主要包括：办公费、邮电费、差旅费、培训费、劳务费、委托业务费、工会经费、福利费、公务用车运行维护费、其他交通费、其他商品和服务支出等。</w:t>
      </w:r>
    </w:p>
    <w:p>
      <w:pPr>
        <w:pStyle w:val="2"/>
        <w:spacing w:before="93"/>
        <w:rPr>
          <w:rFonts w:ascii="仿宋" w:hAnsi="仿宋" w:eastAsia="仿宋"/>
          <w:b/>
          <w:sz w:val="32"/>
          <w:szCs w:val="32"/>
        </w:rPr>
      </w:pPr>
      <w:r>
        <w:rPr>
          <w:rFonts w:hint="eastAsia" w:ascii="仿宋" w:hAnsi="仿宋" w:eastAsia="仿宋"/>
          <w:sz w:val="32"/>
          <w:szCs w:val="32"/>
        </w:rPr>
        <w:t xml:space="preserve">    资本性支出4.31万元，主要包括办公设备购置等。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22年“三公”经费财政拨款支出决算为1.47万元，完成预算100</w:t>
      </w:r>
      <w:r>
        <w:rPr>
          <w:rFonts w:ascii="仿宋" w:hAnsi="仿宋" w:eastAsia="仿宋"/>
          <w:sz w:val="32"/>
          <w:szCs w:val="32"/>
        </w:rPr>
        <w:t>%</w:t>
      </w:r>
      <w:r>
        <w:rPr>
          <w:rFonts w:hint="eastAsia" w:ascii="仿宋" w:hAnsi="仿宋" w:eastAsia="仿宋"/>
          <w:sz w:val="32"/>
          <w:szCs w:val="32"/>
        </w:rPr>
        <w:t>，较上年减少0.11万元，下降6.96%。</w:t>
      </w:r>
      <w:r>
        <w:rPr>
          <w:rFonts w:hint="eastAsia" w:ascii="仿宋" w:eastAsia="仿宋"/>
          <w:color w:val="000000"/>
          <w:sz w:val="32"/>
          <w:szCs w:val="32"/>
        </w:rPr>
        <w:t>决算数等于预算数的主要原因是严控三公经费支出。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；公务用车购置及运行维护费支出决算1.22万元，占82.99</w:t>
      </w:r>
      <w:r>
        <w:rPr>
          <w:rFonts w:ascii="仿宋" w:hAnsi="仿宋" w:eastAsia="仿宋"/>
          <w:sz w:val="32"/>
          <w:szCs w:val="32"/>
        </w:rPr>
        <w:t>%</w:t>
      </w:r>
      <w:r>
        <w:rPr>
          <w:rFonts w:hint="eastAsia" w:ascii="仿宋" w:hAnsi="仿宋" w:eastAsia="仿宋"/>
          <w:sz w:val="32"/>
          <w:szCs w:val="32"/>
        </w:rPr>
        <w:t>；公务接待费支出决算0.25万元，占17.01</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drawing>
          <wp:inline distT="0" distB="0" distL="114300" distR="114300">
            <wp:extent cx="4572000" cy="2765425"/>
            <wp:effectExtent l="4445" t="4445" r="14605" b="1143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 w:hAnsi="仿宋" w:eastAsia="仿宋" w:cs="仿宋"/>
          <w:b/>
          <w:sz w:val="32"/>
          <w:szCs w:val="32"/>
        </w:rPr>
      </w:pPr>
      <w:r>
        <w:rPr>
          <w:rFonts w:ascii="仿宋_GB2312" w:eastAsia="仿宋_GB2312"/>
          <w:b/>
          <w:sz w:val="32"/>
          <w:szCs w:val="32"/>
        </w:rPr>
        <w:t>1.</w:t>
      </w:r>
      <w:r>
        <w:rPr>
          <w:rFonts w:hint="eastAsia" w:ascii="仿宋" w:hAnsi="仿宋" w:eastAsia="仿宋" w:cs="仿宋"/>
          <w:b/>
          <w:sz w:val="32"/>
          <w:szCs w:val="32"/>
        </w:rPr>
        <w:t>因公出国（境）经费支出</w:t>
      </w:r>
      <w:r>
        <w:rPr>
          <w:rFonts w:hint="eastAsia" w:ascii="仿宋" w:hAnsi="仿宋" w:eastAsia="仿宋" w:cs="仿宋"/>
          <w:sz w:val="32"/>
          <w:szCs w:val="32"/>
        </w:rPr>
        <w:t>0万元，</w:t>
      </w:r>
      <w:r>
        <w:rPr>
          <w:rStyle w:val="14"/>
          <w:rFonts w:hint="eastAsia" w:ascii="仿宋" w:hAnsi="仿宋" w:eastAsia="仿宋" w:cs="仿宋"/>
          <w:b w:val="0"/>
          <w:bCs/>
          <w:sz w:val="32"/>
          <w:szCs w:val="32"/>
        </w:rPr>
        <w:t>完成预算0%。</w:t>
      </w:r>
      <w:r>
        <w:rPr>
          <w:rFonts w:hint="eastAsia" w:ascii="仿宋" w:hAnsi="仿宋" w:eastAsia="仿宋" w:cs="仿宋"/>
          <w:sz w:val="32"/>
          <w:szCs w:val="32"/>
        </w:rPr>
        <w:t>全年安排因公出国（境）团组0次，出国（境）0人。因公出国（境）支出决算比2021年增加/减少0万元，增长/下降0%。</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 w:hAnsi="仿宋" w:eastAsia="仿宋" w:cs="仿宋"/>
          <w:b/>
          <w:sz w:val="32"/>
          <w:szCs w:val="32"/>
        </w:rPr>
        <w:t>公务用车购置及运行维护费支出</w:t>
      </w:r>
      <w:r>
        <w:rPr>
          <w:rFonts w:hint="eastAsia" w:ascii="仿宋" w:hAnsi="仿宋" w:eastAsia="仿宋" w:cs="仿宋"/>
          <w:sz w:val="32"/>
          <w:szCs w:val="32"/>
        </w:rPr>
        <w:t>1.22万元,</w:t>
      </w:r>
      <w:r>
        <w:rPr>
          <w:rStyle w:val="14"/>
          <w:rFonts w:hint="eastAsia" w:ascii="仿宋" w:hAnsi="仿宋" w:eastAsia="仿宋" w:cs="仿宋"/>
          <w:b w:val="0"/>
          <w:bCs/>
          <w:sz w:val="32"/>
          <w:szCs w:val="32"/>
        </w:rPr>
        <w:t>完成预算100%。</w:t>
      </w:r>
      <w:r>
        <w:rPr>
          <w:rFonts w:hint="eastAsia" w:ascii="仿宋" w:hAnsi="仿宋" w:eastAsia="仿宋" w:cs="仿宋"/>
          <w:sz w:val="32"/>
          <w:szCs w:val="32"/>
        </w:rPr>
        <w:t>公务用车购置及运行维护费支出决算比2021年减少0.22万元，下降15.28%。主要原因是严控公务出行费用。</w:t>
      </w:r>
    </w:p>
    <w:p>
      <w:pPr>
        <w:spacing w:line="600" w:lineRule="exact"/>
        <w:ind w:firstLine="640" w:firstLineChars="200"/>
        <w:rPr>
          <w:rFonts w:ascii="仿宋" w:hAnsi="仿宋" w:eastAsia="仿宋" w:cs="仿宋"/>
          <w:b/>
          <w:sz w:val="32"/>
          <w:szCs w:val="32"/>
        </w:rPr>
      </w:pPr>
      <w:r>
        <w:rPr>
          <w:rFonts w:hint="eastAsia" w:ascii="仿宋" w:hAnsi="仿宋" w:eastAsia="仿宋" w:cs="仿宋"/>
          <w:sz w:val="32"/>
          <w:szCs w:val="32"/>
        </w:rPr>
        <w:t>其中：</w:t>
      </w:r>
      <w:r>
        <w:rPr>
          <w:rFonts w:hint="eastAsia" w:ascii="仿宋" w:hAnsi="仿宋" w:eastAsia="仿宋" w:cs="仿宋"/>
          <w:b/>
          <w:sz w:val="32"/>
          <w:szCs w:val="32"/>
        </w:rPr>
        <w:t>公务用车购置支出</w:t>
      </w:r>
      <w:r>
        <w:rPr>
          <w:rFonts w:hint="eastAsia" w:ascii="仿宋" w:hAnsi="仿宋" w:eastAsia="仿宋" w:cs="仿宋"/>
          <w:sz w:val="32"/>
          <w:szCs w:val="32"/>
        </w:rPr>
        <w:t>0万元。全年按规定更新购置公务用车0辆，其中：轿车0辆、金额0万元，越野车0辆、金额0万元，载客汽车0辆、金额0万元。截至2022年12月底，单位共有公务用车1辆，其中：轿车1辆、越野车0辆、载客汽车0辆。</w:t>
      </w:r>
    </w:p>
    <w:p>
      <w:pPr>
        <w:spacing w:line="600" w:lineRule="exact"/>
        <w:ind w:firstLine="640"/>
        <w:rPr>
          <w:rFonts w:ascii="仿宋" w:hAnsi="仿宋" w:eastAsia="仿宋" w:cs="仿宋"/>
          <w:sz w:val="32"/>
          <w:szCs w:val="32"/>
        </w:rPr>
      </w:pPr>
      <w:r>
        <w:rPr>
          <w:rFonts w:hint="eastAsia" w:ascii="仿宋" w:hAnsi="仿宋" w:eastAsia="仿宋" w:cs="仿宋"/>
          <w:b/>
          <w:sz w:val="32"/>
          <w:szCs w:val="32"/>
        </w:rPr>
        <w:t>公务用车运行维护费支出</w:t>
      </w:r>
      <w:r>
        <w:rPr>
          <w:rFonts w:hint="eastAsia" w:ascii="仿宋" w:hAnsi="仿宋" w:eastAsia="仿宋" w:cs="仿宋"/>
          <w:sz w:val="32"/>
          <w:szCs w:val="32"/>
        </w:rPr>
        <w:t>1.22万元。主要用于不动产登记、权籍调查等所需的公务用车燃料费、维修费、过路过桥费、保险费等支出。</w:t>
      </w:r>
    </w:p>
    <w:p>
      <w:pPr>
        <w:snapToGrid w:val="0"/>
        <w:spacing w:line="520" w:lineRule="exact"/>
        <w:ind w:firstLine="643" w:firstLineChars="200"/>
        <w:rPr>
          <w:rFonts w:ascii="仿宋_GB2312" w:eastAsia="仿宋_GB2312"/>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0.25万元，</w:t>
      </w:r>
      <w:r>
        <w:rPr>
          <w:rStyle w:val="14"/>
          <w:rFonts w:hint="eastAsia" w:ascii="仿宋" w:hAnsi="仿宋" w:eastAsia="仿宋" w:cs="仿宋"/>
          <w:b w:val="0"/>
          <w:bCs/>
          <w:sz w:val="32"/>
          <w:szCs w:val="32"/>
        </w:rPr>
        <w:t>完成预算100%。</w:t>
      </w:r>
      <w:r>
        <w:rPr>
          <w:rFonts w:hint="eastAsia" w:ascii="仿宋" w:hAnsi="仿宋" w:eastAsia="仿宋" w:cs="仿宋"/>
          <w:sz w:val="32"/>
          <w:szCs w:val="32"/>
        </w:rPr>
        <w:t>公务接待费支出决算比2021年增加0.11万元，增长78.57%。主要原因是调研中心信息化建设、营商环境工作等</w:t>
      </w:r>
      <w:r>
        <w:rPr>
          <w:rFonts w:hint="eastAsia" w:ascii="仿宋_GB2312" w:hAnsi="仿宋" w:eastAsia="仿宋_GB2312"/>
          <w:sz w:val="32"/>
          <w:szCs w:val="32"/>
        </w:rPr>
        <w:t>。</w:t>
      </w:r>
      <w:r>
        <w:rPr>
          <w:rFonts w:hint="eastAsia" w:ascii="仿宋" w:hAnsi="仿宋" w:eastAsia="仿宋" w:cs="仿宋"/>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cs="仿宋"/>
          <w:sz w:val="32"/>
          <w:szCs w:val="32"/>
        </w:rPr>
        <w:t>0.25万元，主要用于不动产登记工作检查人员用餐费。国内公务接待2批次，12人次（不包括陪同人员），共计支出0.25万元，具体内容包括：省厅到不动产登记中心对接2021年优化营商环境现场会0.0715万元；信息化建设调研接待0.1759万元。</w:t>
      </w:r>
    </w:p>
    <w:p>
      <w:pPr>
        <w:spacing w:line="600" w:lineRule="exact"/>
        <w:ind w:firstLine="643" w:firstLineChars="200"/>
        <w:rPr>
          <w:rFonts w:ascii="仿宋" w:hAnsi="仿宋" w:eastAsia="仿宋" w:cs="仿宋"/>
          <w:sz w:val="32"/>
          <w:szCs w:val="32"/>
        </w:rPr>
      </w:pPr>
      <w:r>
        <w:rPr>
          <w:rFonts w:hint="eastAsia" w:ascii="仿宋" w:hAnsi="仿宋" w:eastAsia="仿宋"/>
          <w:b/>
          <w:sz w:val="32"/>
          <w:szCs w:val="32"/>
        </w:rPr>
        <w:t>外事接待支出</w:t>
      </w:r>
      <w:r>
        <w:rPr>
          <w:rFonts w:hint="eastAsia" w:ascii="仿宋" w:hAnsi="仿宋" w:eastAsia="仿宋" w:cs="仿宋"/>
          <w:sz w:val="32"/>
          <w:szCs w:val="32"/>
        </w:rPr>
        <w:t>0万元，外事接待0批次，0人次，共计支出0万元。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 w:hAnsi="仿宋" w:eastAsia="仿宋" w:cs="仿宋"/>
          <w:sz w:val="32"/>
          <w:szCs w:val="32"/>
        </w:rPr>
      </w:pPr>
      <w:r>
        <w:rPr>
          <w:rFonts w:hint="eastAsia" w:ascii="仿宋" w:hAnsi="仿宋" w:eastAsia="仿宋" w:cs="仿宋"/>
          <w:sz w:val="32"/>
          <w:szCs w:val="32"/>
        </w:rPr>
        <w:t>2022年政府性基金预算财政拨款支出0万元。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sz w:val="32"/>
          <w:szCs w:val="32"/>
        </w:rPr>
        <w:t>2022年国有资本经营预算财政拨款支出0万元。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2022年，攀枝花市不动产登记中心机关运行经费支出0万元，与2021年决算数持平。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2022年，攀枝花市不动产登记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截至2022年12月31日，攀枝花市不动产登记中心共有车辆1辆，其中：其他用车1辆，其他用车主要是用于</w:t>
      </w:r>
      <w:r>
        <w:rPr>
          <w:rFonts w:hint="eastAsia" w:ascii="仿宋" w:hAnsi="仿宋" w:eastAsia="仿宋" w:cs="仿宋"/>
          <w:color w:val="000000"/>
          <w:sz w:val="32"/>
          <w:szCs w:val="32"/>
        </w:rPr>
        <w:t>不动产登记工作、权籍调查工作</w:t>
      </w:r>
      <w:r>
        <w:rPr>
          <w:rFonts w:hint="eastAsia" w:ascii="仿宋" w:hAnsi="仿宋" w:eastAsia="仿宋" w:cs="仿宋"/>
          <w:sz w:val="32"/>
          <w:szCs w:val="32"/>
        </w:rPr>
        <w:t>。单价100万元以上专用设备0台（套）。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rFonts w:ascii="仿宋" w:hAnsi="仿宋" w:eastAsia="仿宋" w:cs="仿宋"/>
          <w:sz w:val="32"/>
          <w:szCs w:val="32"/>
          <w:highlight w:val="yellow"/>
        </w:rPr>
      </w:pPr>
      <w:r>
        <w:rPr>
          <w:rFonts w:hint="eastAsia" w:ascii="仿宋" w:hAnsi="仿宋" w:eastAsia="仿宋" w:cs="仿宋"/>
          <w:sz w:val="32"/>
          <w:szCs w:val="32"/>
        </w:rPr>
        <w:t>根据预算绩效管理要求，本单位在2022年度预算编制阶段，组织对编外用工人员经费、档案其他运转类项目等18个项目开展了预算事前绩效评估，对18个项目编制了绩效目标，预算执行过程中，选取18个项目开展绩效监控，组织对18个项目开展绩效自评。</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hAnsi="仿宋"/>
          <w:color w:val="auto"/>
          <w:sz w:val="32"/>
          <w:szCs w:val="32"/>
        </w:rPr>
      </w:pPr>
      <w:r>
        <w:rPr>
          <w:rFonts w:hint="eastAsia" w:hAnsi="仿宋"/>
          <w:color w:val="auto"/>
          <w:sz w:val="32"/>
          <w:szCs w:val="32"/>
        </w:rPr>
        <w:t>1.财政拨款收入：指单位从同级财政部门取得的财政预算资金。</w:t>
      </w:r>
    </w:p>
    <w:p>
      <w:pPr>
        <w:pStyle w:val="22"/>
        <w:spacing w:line="560" w:lineRule="exact"/>
        <w:ind w:firstLine="640" w:firstLineChars="200"/>
        <w:rPr>
          <w:rFonts w:hAnsi="仿宋"/>
          <w:color w:val="auto"/>
          <w:sz w:val="32"/>
          <w:szCs w:val="32"/>
        </w:rPr>
      </w:pPr>
      <w:r>
        <w:rPr>
          <w:rFonts w:hint="eastAsia" w:hAnsi="仿宋"/>
          <w:color w:val="auto"/>
          <w:sz w:val="32"/>
          <w:szCs w:val="32"/>
        </w:rPr>
        <w:t xml:space="preserve">2.年初结转和结余：指以前年度尚未完成、结转到本年按有关规定继续使用的资金。 </w:t>
      </w:r>
    </w:p>
    <w:p>
      <w:pPr>
        <w:spacing w:line="600" w:lineRule="exact"/>
        <w:ind w:firstLine="640" w:firstLineChars="200"/>
        <w:rPr>
          <w:rStyle w:val="14"/>
          <w:rFonts w:ascii="仿宋" w:hAnsi="仿宋" w:eastAsia="仿宋" w:cs="仿宋"/>
          <w:bCs/>
          <w:sz w:val="32"/>
          <w:szCs w:val="32"/>
        </w:rPr>
      </w:pPr>
      <w:r>
        <w:rPr>
          <w:rStyle w:val="14"/>
          <w:rFonts w:hint="eastAsia" w:ascii="仿宋" w:hAnsi="仿宋" w:eastAsia="仿宋" w:cs="仿宋"/>
          <w:b w:val="0"/>
          <w:bCs/>
          <w:color w:val="000000"/>
          <w:sz w:val="32"/>
          <w:szCs w:val="32"/>
        </w:rPr>
        <w:t>3.社会保障和就业支出（类）行政事业单位养老支出（款）事业单位离退休（项）：指事业单位开支的离退休经费。</w:t>
      </w:r>
    </w:p>
    <w:p>
      <w:pPr>
        <w:pStyle w:val="22"/>
        <w:spacing w:line="560" w:lineRule="exact"/>
        <w:ind w:firstLine="640" w:firstLineChars="200"/>
        <w:rPr>
          <w:rStyle w:val="14"/>
          <w:rFonts w:hAnsi="仿宋"/>
          <w:b w:val="0"/>
          <w:bCs/>
          <w:sz w:val="32"/>
          <w:szCs w:val="32"/>
        </w:rPr>
      </w:pPr>
      <w:r>
        <w:rPr>
          <w:rStyle w:val="14"/>
          <w:rFonts w:hint="eastAsia" w:hAnsi="仿宋"/>
          <w:b w:val="0"/>
          <w:bCs/>
          <w:sz w:val="32"/>
          <w:szCs w:val="32"/>
        </w:rPr>
        <w:t>4.社会保障和就业支出（类）行政事业单位养老支出（款）机关事业单位基本养老保险缴费支出（项）：指机关事业单位实施养老保险制度由单位缴纳的基本养老保险费支出。</w:t>
      </w:r>
    </w:p>
    <w:p>
      <w:pPr>
        <w:spacing w:line="600" w:lineRule="exact"/>
        <w:ind w:firstLine="640" w:firstLineChars="200"/>
        <w:rPr>
          <w:rStyle w:val="14"/>
          <w:rFonts w:ascii="仿宋" w:hAnsi="仿宋" w:eastAsia="仿宋" w:cs="仿宋"/>
          <w:b w:val="0"/>
          <w:bCs/>
          <w:color w:val="000000"/>
          <w:sz w:val="32"/>
          <w:szCs w:val="32"/>
        </w:rPr>
      </w:pPr>
      <w:r>
        <w:rPr>
          <w:rStyle w:val="14"/>
          <w:rFonts w:hint="eastAsia" w:ascii="仿宋" w:hAnsi="仿宋" w:eastAsia="仿宋" w:cs="仿宋"/>
          <w:b w:val="0"/>
          <w:bCs/>
          <w:color w:val="000000"/>
          <w:sz w:val="32"/>
          <w:szCs w:val="32"/>
        </w:rPr>
        <w:t>5.自然资源海洋气象等支出（类）自然资源事务（款）事业运行（项）：指自然资源事业单位，不包括行政单位（包括实施公务员管理的事业单位）的基本支出。</w:t>
      </w:r>
    </w:p>
    <w:p>
      <w:pPr>
        <w:spacing w:line="600" w:lineRule="exact"/>
        <w:ind w:firstLine="640" w:firstLineChars="200"/>
        <w:rPr>
          <w:rStyle w:val="14"/>
          <w:rFonts w:ascii="仿宋" w:hAnsi="仿宋" w:eastAsia="仿宋" w:cs="仿宋"/>
          <w:b w:val="0"/>
          <w:bCs/>
          <w:color w:val="000000"/>
          <w:sz w:val="32"/>
          <w:szCs w:val="32"/>
        </w:rPr>
      </w:pPr>
      <w:r>
        <w:rPr>
          <w:rStyle w:val="14"/>
          <w:rFonts w:hint="eastAsia" w:ascii="仿宋" w:hAnsi="仿宋" w:eastAsia="仿宋" w:cs="仿宋"/>
          <w:b w:val="0"/>
          <w:bCs/>
          <w:color w:val="000000"/>
          <w:sz w:val="32"/>
          <w:szCs w:val="32"/>
        </w:rPr>
        <w:t>6.自然资源海洋气象等支出（类）自然资源事务（款）其他自然资源事务支出（项）：指其他自然资源事务支出。</w:t>
      </w:r>
    </w:p>
    <w:p>
      <w:pPr>
        <w:spacing w:line="600" w:lineRule="exact"/>
        <w:ind w:firstLine="640" w:firstLineChars="200"/>
        <w:rPr>
          <w:rStyle w:val="14"/>
          <w:rFonts w:ascii="仿宋" w:hAnsi="仿宋" w:eastAsia="仿宋" w:cs="仿宋"/>
          <w:b w:val="0"/>
          <w:bCs/>
          <w:color w:val="000000"/>
          <w:sz w:val="32"/>
          <w:szCs w:val="32"/>
        </w:rPr>
      </w:pPr>
      <w:r>
        <w:rPr>
          <w:rStyle w:val="14"/>
          <w:rFonts w:hint="eastAsia" w:ascii="仿宋" w:hAnsi="仿宋" w:eastAsia="仿宋" w:cs="仿宋"/>
          <w:b w:val="0"/>
          <w:bCs/>
          <w:color w:val="000000"/>
          <w:sz w:val="32"/>
          <w:szCs w:val="32"/>
        </w:rPr>
        <w:t>7.住房保障支出（类）住房改革支出（款）住房公积金（项）:指行政事业单位按人力资源和社会保障部，财政部规定的基本工资和津贴补贴以及规定比例为职工缴纳的住房公积金。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8.基本支出：指为保障机构正常运转、完成日常工作任务而发生的人员支出和公用支出。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9.项目支出：指在基本支出之外为完成特定行政任务和事业发展目标所发生的支出。</w:t>
      </w:r>
    </w:p>
    <w:p>
      <w:pPr>
        <w:pStyle w:val="22"/>
        <w:spacing w:line="560" w:lineRule="exact"/>
        <w:ind w:firstLine="640" w:firstLineChars="200"/>
        <w:rPr>
          <w:rFonts w:hAnsi="仿宋"/>
          <w:color w:val="auto"/>
          <w:sz w:val="32"/>
          <w:szCs w:val="32"/>
        </w:rPr>
      </w:pPr>
      <w:r>
        <w:rPr>
          <w:rFonts w:hint="eastAsia" w:hAnsi="仿宋"/>
          <w:color w:val="auto"/>
          <w:sz w:val="32"/>
          <w:szCs w:val="32"/>
        </w:rPr>
        <w:t>10.</w:t>
      </w:r>
      <w:r>
        <w:rPr>
          <w:rFonts w:hint="eastAsia" w:ascii="仿宋" w:hAnsi="仿宋" w:eastAsia="仿宋" w:cs="仿宋"/>
          <w:color w:val="auto"/>
          <w:sz w:val="32"/>
          <w:szCs w:val="32"/>
        </w:rPr>
        <w:t>“三公”经费：指单位用财政拨款安排的因公出国（境）费、公务用车购置及运行</w:t>
      </w:r>
      <w:r>
        <w:rPr>
          <w:rFonts w:hint="eastAsia" w:hAnsi="仿宋" w:cs="仿宋"/>
          <w:color w:val="auto"/>
          <w:sz w:val="32"/>
          <w:szCs w:val="32"/>
          <w:lang w:eastAsia="zh-CN"/>
        </w:rPr>
        <w:t>维护</w:t>
      </w:r>
      <w:r>
        <w:rPr>
          <w:rFonts w:hint="eastAsia" w:ascii="仿宋" w:hAnsi="仿宋" w:eastAsia="仿宋" w:cs="仿宋"/>
          <w:color w:val="auto"/>
          <w:sz w:val="32"/>
          <w:szCs w:val="32"/>
        </w:rPr>
        <w:t>费和公务接待费。其中，因公出国（境）费反映单位公务出国（境）的国际旅费、国外城市间交通费、住宿费、伙食费、培训费、公杂费等支出；公务用车购置及运行</w:t>
      </w:r>
      <w:r>
        <w:rPr>
          <w:rFonts w:hint="eastAsia" w:hAnsi="仿宋" w:cs="仿宋"/>
          <w:color w:val="auto"/>
          <w:sz w:val="32"/>
          <w:szCs w:val="32"/>
          <w:lang w:eastAsia="zh-CN"/>
        </w:rPr>
        <w:t>维护</w:t>
      </w:r>
      <w:r>
        <w:rPr>
          <w:rFonts w:hint="eastAsia" w:ascii="仿宋" w:hAnsi="仿宋" w:eastAsia="仿宋" w:cs="仿宋"/>
          <w:color w:val="auto"/>
          <w:sz w:val="32"/>
          <w:szCs w:val="32"/>
        </w:rPr>
        <w:t>费反映单位公务用车购置支出（含车辆购置税</w:t>
      </w:r>
      <w:r>
        <w:rPr>
          <w:rFonts w:hint="eastAsia" w:hAnsi="仿宋" w:cs="仿宋"/>
          <w:color w:val="auto"/>
          <w:sz w:val="32"/>
          <w:szCs w:val="32"/>
          <w:lang w:eastAsia="zh-CN"/>
        </w:rPr>
        <w:t>、牌照费</w:t>
      </w:r>
      <w:r>
        <w:rPr>
          <w:rFonts w:hint="eastAsia" w:ascii="仿宋" w:hAnsi="仿宋" w:eastAsia="仿宋" w:cs="仿宋"/>
          <w:color w:val="auto"/>
          <w:sz w:val="32"/>
          <w:szCs w:val="32"/>
        </w:rPr>
        <w:t>）及</w:t>
      </w:r>
      <w:r>
        <w:rPr>
          <w:rFonts w:hint="eastAsia" w:hAnsi="仿宋" w:cs="仿宋"/>
          <w:color w:val="auto"/>
          <w:sz w:val="32"/>
          <w:szCs w:val="32"/>
          <w:lang w:eastAsia="zh-CN"/>
        </w:rPr>
        <w:t>单位按规定保留的公务用车</w:t>
      </w:r>
      <w:r>
        <w:rPr>
          <w:rFonts w:hint="eastAsia" w:ascii="仿宋" w:hAnsi="仿宋" w:eastAsia="仿宋" w:cs="仿宋"/>
          <w:color w:val="auto"/>
          <w:sz w:val="32"/>
          <w:szCs w:val="32"/>
        </w:rPr>
        <w:t>燃料费、维修费、过桥过路费、保险费</w:t>
      </w:r>
      <w:r>
        <w:rPr>
          <w:rFonts w:hint="eastAsia" w:hAnsi="仿宋" w:cs="仿宋"/>
          <w:color w:val="auto"/>
          <w:sz w:val="32"/>
          <w:szCs w:val="32"/>
          <w:lang w:eastAsia="zh-CN"/>
        </w:rPr>
        <w:t>、安全奖励费用</w:t>
      </w:r>
      <w:r>
        <w:rPr>
          <w:rFonts w:hint="eastAsia" w:ascii="仿宋" w:hAnsi="仿宋" w:eastAsia="仿宋" w:cs="仿宋"/>
          <w:color w:val="auto"/>
          <w:sz w:val="32"/>
          <w:szCs w:val="32"/>
        </w:rPr>
        <w:t>等支出；公务接待费反映单位按规定开支的各类公务接待（含外宾接待）</w:t>
      </w:r>
      <w:r>
        <w:rPr>
          <w:rFonts w:hint="eastAsia" w:hAnsi="仿宋" w:cs="仿宋"/>
          <w:color w:val="auto"/>
          <w:sz w:val="32"/>
          <w:szCs w:val="32"/>
          <w:lang w:eastAsia="zh-CN"/>
        </w:rPr>
        <w:t>费用</w:t>
      </w:r>
      <w:r>
        <w:rPr>
          <w:rFonts w:hint="eastAsia" w:ascii="仿宋" w:hAnsi="仿宋" w:eastAsia="仿宋" w:cs="仿宋"/>
          <w:color w:val="auto"/>
          <w:sz w:val="32"/>
          <w:szCs w:val="32"/>
        </w:rPr>
        <w:t>。</w:t>
      </w:r>
      <w:bookmarkStart w:id="67" w:name="_GoBack"/>
      <w:bookmarkEnd w:id="67"/>
    </w:p>
    <w:p>
      <w:pPr>
        <w:pStyle w:val="22"/>
        <w:spacing w:line="560" w:lineRule="exact"/>
        <w:ind w:firstLine="640" w:firstLineChars="200"/>
        <w:rPr>
          <w:rFonts w:hAnsi="仿宋"/>
          <w:color w:val="auto"/>
          <w:sz w:val="32"/>
          <w:szCs w:val="32"/>
        </w:rPr>
      </w:pPr>
      <w:r>
        <w:rPr>
          <w:rFonts w:hint="eastAsia" w:hAnsi="仿宋"/>
          <w:color w:val="auto"/>
          <w:sz w:val="32"/>
          <w:szCs w:val="32"/>
        </w:rPr>
        <w:t>11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left"/>
        <w:outlineLvl w:val="0"/>
        <w:rPr>
          <w:rFonts w:ascii="仿宋" w:hAnsi="仿宋" w:eastAsia="仿宋" w:cs="仿宋"/>
          <w:kern w:val="0"/>
          <w:sz w:val="32"/>
          <w:szCs w:val="32"/>
        </w:rPr>
      </w:pPr>
      <w:bookmarkStart w:id="53" w:name="_Toc15396618"/>
      <w:r>
        <w:rPr>
          <w:rFonts w:hint="eastAsia" w:ascii="仿宋" w:hAnsi="仿宋" w:eastAsia="仿宋" w:cs="仿宋"/>
          <w:kern w:val="0"/>
          <w:sz w:val="32"/>
          <w:szCs w:val="32"/>
        </w:rPr>
        <w:t>攀枝花市不动产登记中心2022年度单位预算项目支出绩效自评表见附件3</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5"/>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5"/>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府性基金预算财政拨款收入支出决算表（此表无数据）</w:t>
      </w:r>
    </w:p>
    <w:p>
      <w:pPr>
        <w:pStyle w:val="5"/>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有资本经营预算财政拨款收入支出决算表（此表无数据）</w:t>
      </w:r>
    </w:p>
    <w:p>
      <w:pPr>
        <w:pStyle w:val="5"/>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国有资本经营预算财政拨款支出决算表（此表无数据）</w:t>
      </w:r>
    </w:p>
    <w:p>
      <w:pPr>
        <w:pStyle w:val="5"/>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3"/>
          <w:jc w:val="center"/>
        </w:pPr>
        <w:r>
          <w:fldChar w:fldCharType="begin"/>
        </w:r>
        <w:r>
          <w:instrText xml:space="preserve">PAGE   \* MERGEFORMAT</w:instrText>
        </w:r>
        <w:r>
          <w:fldChar w:fldCharType="separate"/>
        </w:r>
        <w:r>
          <w:rPr>
            <w:lang w:val="zh-CN"/>
          </w:rPr>
          <w:t>16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OGUzY2MyNDY2OGViMDNjZjMxZTgzN2U1OTkzMj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B7E26"/>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0B8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37EF"/>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0078"/>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3600"/>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0D6F"/>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B08FF"/>
    <w:rsid w:val="028257CD"/>
    <w:rsid w:val="052A6075"/>
    <w:rsid w:val="053A62B5"/>
    <w:rsid w:val="06C47189"/>
    <w:rsid w:val="072A35C7"/>
    <w:rsid w:val="0893677C"/>
    <w:rsid w:val="08DD09D6"/>
    <w:rsid w:val="0A2032A3"/>
    <w:rsid w:val="0B8A37D8"/>
    <w:rsid w:val="0F135152"/>
    <w:rsid w:val="0FCC0BB8"/>
    <w:rsid w:val="10C055FF"/>
    <w:rsid w:val="11034D52"/>
    <w:rsid w:val="111D5E14"/>
    <w:rsid w:val="118107EC"/>
    <w:rsid w:val="11DD6519"/>
    <w:rsid w:val="125A724C"/>
    <w:rsid w:val="1459360A"/>
    <w:rsid w:val="149F0390"/>
    <w:rsid w:val="15FB7EB7"/>
    <w:rsid w:val="16BB723D"/>
    <w:rsid w:val="17092996"/>
    <w:rsid w:val="18015F3F"/>
    <w:rsid w:val="19C3459A"/>
    <w:rsid w:val="1B89181B"/>
    <w:rsid w:val="1BE8440E"/>
    <w:rsid w:val="1C164F14"/>
    <w:rsid w:val="1D155CEE"/>
    <w:rsid w:val="1D22048E"/>
    <w:rsid w:val="1EA949E3"/>
    <w:rsid w:val="1F773BD2"/>
    <w:rsid w:val="204A474C"/>
    <w:rsid w:val="20F57F95"/>
    <w:rsid w:val="21CA74F7"/>
    <w:rsid w:val="23A1571D"/>
    <w:rsid w:val="240371BF"/>
    <w:rsid w:val="243860FA"/>
    <w:rsid w:val="25711CC6"/>
    <w:rsid w:val="25A15876"/>
    <w:rsid w:val="25C741E6"/>
    <w:rsid w:val="26735814"/>
    <w:rsid w:val="26BE379D"/>
    <w:rsid w:val="27842671"/>
    <w:rsid w:val="29483850"/>
    <w:rsid w:val="29E96760"/>
    <w:rsid w:val="29FD04D3"/>
    <w:rsid w:val="2ABE7A3E"/>
    <w:rsid w:val="2C366B76"/>
    <w:rsid w:val="2CA234A8"/>
    <w:rsid w:val="2EBB68A2"/>
    <w:rsid w:val="2EFA178C"/>
    <w:rsid w:val="30B46D73"/>
    <w:rsid w:val="319F135D"/>
    <w:rsid w:val="319F7F4E"/>
    <w:rsid w:val="31AB4069"/>
    <w:rsid w:val="3437265C"/>
    <w:rsid w:val="34BE410B"/>
    <w:rsid w:val="369F792A"/>
    <w:rsid w:val="383D272C"/>
    <w:rsid w:val="39142487"/>
    <w:rsid w:val="39AE70AB"/>
    <w:rsid w:val="3AB26BDA"/>
    <w:rsid w:val="3AB900AC"/>
    <w:rsid w:val="3B880085"/>
    <w:rsid w:val="3C0C0783"/>
    <w:rsid w:val="3EC15781"/>
    <w:rsid w:val="3F9F3A96"/>
    <w:rsid w:val="42FB72BB"/>
    <w:rsid w:val="45D24718"/>
    <w:rsid w:val="46F96C0B"/>
    <w:rsid w:val="48BF60AB"/>
    <w:rsid w:val="493C27E9"/>
    <w:rsid w:val="496F39ED"/>
    <w:rsid w:val="49FF41D3"/>
    <w:rsid w:val="4AEB5669"/>
    <w:rsid w:val="4BE068DB"/>
    <w:rsid w:val="4BF6002B"/>
    <w:rsid w:val="4BF97C6A"/>
    <w:rsid w:val="4D1B4794"/>
    <w:rsid w:val="4DED349D"/>
    <w:rsid w:val="4ECE2238"/>
    <w:rsid w:val="4F655F11"/>
    <w:rsid w:val="50036E81"/>
    <w:rsid w:val="5076286F"/>
    <w:rsid w:val="51DB4B86"/>
    <w:rsid w:val="52787927"/>
    <w:rsid w:val="52D32B99"/>
    <w:rsid w:val="55217B65"/>
    <w:rsid w:val="55333C3E"/>
    <w:rsid w:val="5745075C"/>
    <w:rsid w:val="578978FC"/>
    <w:rsid w:val="5D9A4B9B"/>
    <w:rsid w:val="5EEF7E51"/>
    <w:rsid w:val="6042451C"/>
    <w:rsid w:val="61403264"/>
    <w:rsid w:val="64CA39A1"/>
    <w:rsid w:val="659856F7"/>
    <w:rsid w:val="675E0250"/>
    <w:rsid w:val="67A443C2"/>
    <w:rsid w:val="69630ADE"/>
    <w:rsid w:val="69A259B6"/>
    <w:rsid w:val="6B334D93"/>
    <w:rsid w:val="6C4A05C8"/>
    <w:rsid w:val="6CF7305D"/>
    <w:rsid w:val="6D3B1A89"/>
    <w:rsid w:val="6D712263"/>
    <w:rsid w:val="6DA57E98"/>
    <w:rsid w:val="6E5673E4"/>
    <w:rsid w:val="71BF4EC2"/>
    <w:rsid w:val="720C4C93"/>
    <w:rsid w:val="724203AC"/>
    <w:rsid w:val="72734D90"/>
    <w:rsid w:val="73745B3F"/>
    <w:rsid w:val="7412278C"/>
    <w:rsid w:val="750F66CA"/>
    <w:rsid w:val="766D7816"/>
    <w:rsid w:val="786C52AB"/>
    <w:rsid w:val="78FC07D7"/>
    <w:rsid w:val="79B871A5"/>
    <w:rsid w:val="79CD4E76"/>
    <w:rsid w:val="79E7B28D"/>
    <w:rsid w:val="7D2F59D0"/>
    <w:rsid w:val="7DBF45B6"/>
    <w:rsid w:val="7E4A3D15"/>
    <w:rsid w:val="7E9700A4"/>
    <w:rsid w:val="7F9F20EE"/>
    <w:rsid w:val="7FAA6755"/>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1"/>
    <w:qFormat/>
    <w:uiPriority w:val="99"/>
    <w:pPr>
      <w:spacing w:beforeLines="30"/>
    </w:pPr>
    <w:rPr>
      <w:rFonts w:ascii="仿宋_GB2312" w:eastAsia="仿宋_GB2312"/>
      <w:kern w:val="0"/>
      <w:sz w:val="30"/>
    </w:rPr>
  </w:style>
  <w:style w:type="paragraph" w:styleId="3">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3"/>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4"/>
    <w:qFormat/>
    <w:uiPriority w:val="9"/>
    <w:rPr>
      <w:rFonts w:ascii="Times New Roman" w:hAnsi="Times New Roman"/>
      <w:b/>
      <w:bCs/>
      <w:kern w:val="44"/>
      <w:sz w:val="44"/>
      <w:szCs w:val="44"/>
    </w:rPr>
  </w:style>
  <w:style w:type="character" w:customStyle="1" w:styleId="25">
    <w:name w:val="标题 2 Char"/>
    <w:basedOn w:val="13"/>
    <w:link w:val="5"/>
    <w:qFormat/>
    <w:uiPriority w:val="9"/>
    <w:rPr>
      <w:rFonts w:asciiTheme="majorHAnsi" w:hAnsiTheme="majorHAnsi" w:eastAsiaTheme="majorEastAsia" w:cstheme="majorBidi"/>
      <w:b/>
      <w:bCs/>
      <w:kern w:val="2"/>
      <w:sz w:val="32"/>
      <w:szCs w:val="32"/>
    </w:rPr>
  </w:style>
  <w:style w:type="paragraph" w:customStyle="1" w:styleId="26">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8"/>
    <w:semiHidden/>
    <w:qFormat/>
    <w:uiPriority w:val="99"/>
    <w:rPr>
      <w:rFonts w:ascii="Times New Roman" w:hAnsi="Times New Roman"/>
      <w:kern w:val="2"/>
      <w:sz w:val="18"/>
      <w:szCs w:val="18"/>
    </w:rPr>
  </w:style>
  <w:style w:type="character" w:customStyle="1" w:styleId="28">
    <w:name w:val="标题 3 Char"/>
    <w:basedOn w:val="13"/>
    <w:link w:val="6"/>
    <w:qFormat/>
    <w:uiPriority w:val="9"/>
    <w:rPr>
      <w:rFonts w:ascii="Times New Roman" w:hAnsi="Times New Roman"/>
      <w:b/>
      <w:bCs/>
      <w:kern w:val="2"/>
      <w:sz w:val="32"/>
      <w:szCs w:val="32"/>
    </w:rPr>
  </w:style>
  <w:style w:type="paragraph" w:customStyle="1" w:styleId="29">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33931;&#32918;&#27915;\&#33931;\2022&#24180;&#21333;&#20301;&#20915;&#31639;&#20844;&#24320;&#20570;&#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[2022年单位决算公开做图.xlsx]Sheet1!$A$3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[2022年单位决算公开做图.xlsx]Sheet1!$B$2:$C$2</c:f>
              <c:strCache>
                <c:ptCount val="2"/>
                <c:pt idx="0">
                  <c:v>2021年度</c:v>
                </c:pt>
                <c:pt idx="1">
                  <c:v>2022年度</c:v>
                </c:pt>
              </c:strCache>
            </c:strRef>
          </c:cat>
          <c:val>
            <c:numRef>
              <c:f>[2022年单位决算公开做图.xlsx]Sheet1!$B$3:$C$3</c:f>
              <c:numCache>
                <c:formatCode>General</c:formatCode>
                <c:ptCount val="2"/>
                <c:pt idx="0">
                  <c:v>1265.33</c:v>
                </c:pt>
                <c:pt idx="1">
                  <c:v>1112.62</c:v>
                </c:pt>
              </c:numCache>
            </c:numRef>
          </c:val>
        </c:ser>
        <c:ser>
          <c:idx val="1"/>
          <c:order val="1"/>
          <c:tx>
            <c:strRef>
              <c:f>[2022年单位决算公开做图.xlsx]Sheet1!$A$4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[2022年单位决算公开做图.xlsx]Sheet1!$B$2:$C$2</c:f>
              <c:strCache>
                <c:ptCount val="2"/>
                <c:pt idx="0">
                  <c:v>2021年度</c:v>
                </c:pt>
                <c:pt idx="1">
                  <c:v>2022年度</c:v>
                </c:pt>
              </c:strCache>
            </c:strRef>
          </c:cat>
          <c:val>
            <c:numRef>
              <c:f>[2022年单位决算公开做图.xlsx]Sheet1!$B$4:$C$4</c:f>
              <c:numCache>
                <c:formatCode>General</c:formatCode>
                <c:ptCount val="2"/>
                <c:pt idx="0">
                  <c:v>1265.33</c:v>
                </c:pt>
                <c:pt idx="1">
                  <c:v>1112.62</c:v>
                </c:pt>
              </c:numCache>
            </c:numRef>
          </c:val>
        </c:ser>
        <c:dLbls>
          <c:showLegendKey val="0"/>
          <c:showVal val="1"/>
          <c:showCatName val="0"/>
          <c:showSerName val="0"/>
          <c:showPercent val="0"/>
          <c:showBubbleSize val="0"/>
        </c:dLbls>
        <c:gapWidth val="219"/>
        <c:overlap val="-27"/>
        <c:axId val="70802048"/>
        <c:axId val="71238016"/>
      </c:barChart>
      <c:catAx>
        <c:axId val="708020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238016"/>
        <c:crosses val="autoZero"/>
        <c:auto val="1"/>
        <c:lblAlgn val="ctr"/>
        <c:lblOffset val="100"/>
        <c:noMultiLvlLbl val="0"/>
      </c:catAx>
      <c:valAx>
        <c:axId val="71238016"/>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0"/>
        <c:majorTickMark val="none"/>
        <c:minorTickMark val="none"/>
        <c:tickLblPos val="nextTo"/>
        <c:spPr>
          <a:noFill/>
          <a:ln w="9525" cap="flat" cmpd="sng" algn="ctr">
            <a:solidFill>
              <a:schemeClr val="accent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02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[2022年单位决算公开做图.xlsx]Sheet1!$B$14</c:f>
              <c:strCache>
                <c:ptCount val="1"/>
                <c:pt idx="0">
                  <c:v>2022年度收入</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[2022年单位决算公开做图.xlsx]Sheet1!$A$15</c:f>
              <c:strCache>
                <c:ptCount val="1"/>
                <c:pt idx="0">
                  <c:v>一般公共预算财政拨款收入</c:v>
                </c:pt>
              </c:strCache>
            </c:strRef>
          </c:cat>
          <c:val>
            <c:numRef>
              <c:f>[2022年单位决算公开做图.xlsx]Sheet1!$B$15</c:f>
              <c:numCache>
                <c:formatCode>General</c:formatCode>
                <c:ptCount val="1"/>
                <c:pt idx="0">
                  <c:v>985.05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[2022年单位决算公开做图.xlsx]Sheet1!$B$26</c:f>
              <c:strCache>
                <c:ptCount val="1"/>
                <c:pt idx="0">
                  <c:v>2022年度支出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[2022年单位决算公开做图.xlsx]Sheet1!$A$27:$A$28</c:f>
              <c:strCache>
                <c:ptCount val="2"/>
                <c:pt idx="0">
                  <c:v>基本支出</c:v>
                </c:pt>
                <c:pt idx="1">
                  <c:v>项目支出</c:v>
                </c:pt>
              </c:strCache>
            </c:strRef>
          </c:cat>
          <c:val>
            <c:numRef>
              <c:f>[2022年单位决算公开做图.xlsx]Sheet1!$B$27:$B$28</c:f>
              <c:numCache>
                <c:formatCode>General</c:formatCode>
                <c:ptCount val="2"/>
                <c:pt idx="0">
                  <c:v>965.84</c:v>
                </c:pt>
                <c:pt idx="1">
                  <c:v>146.78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[2022年单位决算公开做图.xlsx]Sheet1!$A$3</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[2022年单位决算公开做图.xlsx]Sheet1!$B$2:$C$2</c:f>
              <c:strCache>
                <c:ptCount val="2"/>
                <c:pt idx="0">
                  <c:v>2021年度</c:v>
                </c:pt>
                <c:pt idx="1">
                  <c:v>2022年度</c:v>
                </c:pt>
              </c:strCache>
            </c:strRef>
          </c:cat>
          <c:val>
            <c:numRef>
              <c:f>[2022年单位决算公开做图.xlsx]Sheet1!$B$3:$C$3</c:f>
              <c:numCache>
                <c:formatCode>General</c:formatCode>
                <c:ptCount val="2"/>
                <c:pt idx="0">
                  <c:v>1265.33</c:v>
                </c:pt>
                <c:pt idx="1">
                  <c:v>1112.62</c:v>
                </c:pt>
              </c:numCache>
            </c:numRef>
          </c:val>
        </c:ser>
        <c:ser>
          <c:idx val="1"/>
          <c:order val="1"/>
          <c:tx>
            <c:strRef>
              <c:f>[2022年单位决算公开做图.xlsx]Sheet1!$A$4</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[2022年单位决算公开做图.xlsx]Sheet1!$B$2:$C$2</c:f>
              <c:strCache>
                <c:ptCount val="2"/>
                <c:pt idx="0">
                  <c:v>2021年度</c:v>
                </c:pt>
                <c:pt idx="1">
                  <c:v>2022年度</c:v>
                </c:pt>
              </c:strCache>
            </c:strRef>
          </c:cat>
          <c:val>
            <c:numRef>
              <c:f>[2022年单位决算公开做图.xlsx]Sheet1!$B$4:$C$4</c:f>
              <c:numCache>
                <c:formatCode>General</c:formatCode>
                <c:ptCount val="2"/>
                <c:pt idx="0">
                  <c:v>1265.33</c:v>
                </c:pt>
                <c:pt idx="1">
                  <c:v>1112.62</c:v>
                </c:pt>
              </c:numCache>
            </c:numRef>
          </c:val>
        </c:ser>
        <c:ser>
          <c:idx val="2"/>
          <c:order val="2"/>
          <c:tx>
            <c:strRef>
              <c:f>[2022年单位决算公开做图.xlsx]Sheet1!$A$5</c:f>
              <c:strCache>
                <c:ptCount val="1"/>
                <c:pt idx="0">
                  <c:v>财政拨款收支总计</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[2022年单位决算公开做图.xlsx]Sheet1!$B$2:$C$2</c:f>
              <c:strCache>
                <c:ptCount val="2"/>
                <c:pt idx="0">
                  <c:v>2021年度</c:v>
                </c:pt>
                <c:pt idx="1">
                  <c:v>2022年度</c:v>
                </c:pt>
              </c:strCache>
            </c:strRef>
          </c:cat>
          <c:val>
            <c:numRef>
              <c:f>[2022年单位决算公开做图.xlsx]Sheet1!$B$5:$C$5</c:f>
              <c:numCache>
                <c:formatCode>General</c:formatCode>
                <c:ptCount val="2"/>
                <c:pt idx="0">
                  <c:v>2530.66</c:v>
                </c:pt>
                <c:pt idx="1">
                  <c:v>2225.24</c:v>
                </c:pt>
              </c:numCache>
            </c:numRef>
          </c:val>
        </c:ser>
        <c:dLbls>
          <c:showLegendKey val="0"/>
          <c:showVal val="1"/>
          <c:showCatName val="0"/>
          <c:showSerName val="0"/>
          <c:showPercent val="0"/>
          <c:showBubbleSize val="0"/>
        </c:dLbls>
        <c:gapWidth val="219"/>
        <c:overlap val="-27"/>
        <c:axId val="185553664"/>
        <c:axId val="185555200"/>
      </c:barChart>
      <c:catAx>
        <c:axId val="1855536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55200"/>
        <c:crosses val="autoZero"/>
        <c:auto val="1"/>
        <c:lblAlgn val="ctr"/>
        <c:lblOffset val="100"/>
        <c:noMultiLvlLbl val="0"/>
      </c:catAx>
      <c:valAx>
        <c:axId val="185555200"/>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0"/>
        <c:majorTickMark val="none"/>
        <c:minorTickMark val="none"/>
        <c:tickLblPos val="nextTo"/>
        <c:spPr>
          <a:noFill/>
          <a:ln w="9525" cap="flat" cmpd="sng" algn="ctr">
            <a:solidFill>
              <a:schemeClr val="accent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53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[2022年单位决算公开做图.xlsx]Sheet1!$A$39</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[2022年单位决算公开做图.xlsx]Sheet1!$B$38:$C$38</c:f>
              <c:strCache>
                <c:ptCount val="2"/>
                <c:pt idx="0">
                  <c:v>2021年度</c:v>
                </c:pt>
                <c:pt idx="1">
                  <c:v>2022年度</c:v>
                </c:pt>
              </c:strCache>
            </c:strRef>
          </c:cat>
          <c:val>
            <c:numRef>
              <c:f>[2022年单位决算公开做图.xlsx]Sheet1!$B$39:$C$39</c:f>
              <c:numCache>
                <c:formatCode>General</c:formatCode>
                <c:ptCount val="2"/>
                <c:pt idx="0">
                  <c:v>1230.33</c:v>
                </c:pt>
                <c:pt idx="1">
                  <c:v>1112.62</c:v>
                </c:pt>
              </c:numCache>
            </c:numRef>
          </c:val>
        </c:ser>
        <c:dLbls>
          <c:showLegendKey val="0"/>
          <c:showVal val="1"/>
          <c:showCatName val="0"/>
          <c:showSerName val="0"/>
          <c:showPercent val="0"/>
          <c:showBubbleSize val="0"/>
        </c:dLbls>
        <c:gapWidth val="219"/>
        <c:overlap val="-27"/>
        <c:axId val="185595776"/>
        <c:axId val="185597312"/>
      </c:barChart>
      <c:catAx>
        <c:axId val="1855957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97312"/>
        <c:crosses val="autoZero"/>
        <c:auto val="1"/>
        <c:lblAlgn val="ctr"/>
        <c:lblOffset val="100"/>
        <c:noMultiLvlLbl val="0"/>
      </c:catAx>
      <c:valAx>
        <c:axId val="185597312"/>
        <c:scaling>
          <c:orientation val="minMax"/>
          <c:max val="140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9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[2022年单位决算公开做图.xlsx]Sheet1!$B$52</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[2022年单位决算公开做图.xlsx]Sheet1!$A$53:$A$55</c:f>
              <c:strCache>
                <c:ptCount val="3"/>
                <c:pt idx="0">
                  <c:v>社会保障和就业支出</c:v>
                </c:pt>
                <c:pt idx="1">
                  <c:v>自然资源海洋气象等支出</c:v>
                </c:pt>
                <c:pt idx="2">
                  <c:v>住房保障支出</c:v>
                </c:pt>
              </c:strCache>
            </c:strRef>
          </c:cat>
          <c:val>
            <c:numRef>
              <c:f>[2022年单位决算公开做图.xlsx]Sheet1!$B$53:$B$55</c:f>
              <c:numCache>
                <c:formatCode>General</c:formatCode>
                <c:ptCount val="3"/>
                <c:pt idx="0">
                  <c:v>99.93</c:v>
                </c:pt>
                <c:pt idx="1">
                  <c:v>931.79</c:v>
                </c:pt>
                <c:pt idx="2">
                  <c:v>80.9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[2022年单位决算公开做图.xlsx]Sheet1!$B$61</c:f>
              <c:strCache>
                <c:ptCount val="1"/>
                <c:pt idx="0">
                  <c:v>“三公”经费财政拨款支出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[2022年单位决算公开做图.xlsx]Sheet1!$A$62:$A$64</c:f>
              <c:strCache>
                <c:ptCount val="3"/>
                <c:pt idx="0">
                  <c:v>因公出国（境）费支出</c:v>
                </c:pt>
                <c:pt idx="1">
                  <c:v>公务用车购置及运行维护费支出</c:v>
                </c:pt>
                <c:pt idx="2">
                  <c:v>公务接待费支出</c:v>
                </c:pt>
              </c:strCache>
            </c:strRef>
          </c:cat>
          <c:val>
            <c:numRef>
              <c:f>[2022年单位决算公开做图.xlsx]Sheet1!$B$62:$B$64</c:f>
              <c:numCache>
                <c:formatCode>General</c:formatCode>
                <c:ptCount val="3"/>
                <c:pt idx="0">
                  <c:v>0</c:v>
                </c:pt>
                <c:pt idx="1">
                  <c:v>1.22</c:v>
                </c:pt>
                <c:pt idx="2">
                  <c:v>0.25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4385</Words>
  <Characters>4827</Characters>
  <Lines>35</Lines>
  <Paragraphs>10</Paragraphs>
  <TotalTime>0</TotalTime>
  <ScaleCrop>false</ScaleCrop>
  <LinksUpToDate>false</LinksUpToDate>
  <CharactersWithSpaces>4874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WPS_534613730</cp:lastModifiedBy>
  <cp:lastPrinted>2023-07-31T02:35:00Z</cp:lastPrinted>
  <dcterms:modified xsi:type="dcterms:W3CDTF">2023-10-11T06:49:08Z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4579336F49C841DC9A1F93CC63B5B25C_13</vt:lpwstr>
  </property>
</Properties>
</file>