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F6E3" w14:textId="77777777" w:rsidR="00D03FF8" w:rsidRDefault="00D03FF8">
      <w:pPr>
        <w:spacing w:line="600" w:lineRule="exact"/>
        <w:jc w:val="left"/>
        <w:outlineLvl w:val="0"/>
        <w:rPr>
          <w:rFonts w:ascii="方正小标宋简体" w:eastAsia="方正小标宋简体" w:hAnsi="宋体"/>
          <w:szCs w:val="21"/>
        </w:rPr>
      </w:pPr>
      <w:bookmarkStart w:id="0" w:name="_Toc15306267"/>
    </w:p>
    <w:p w14:paraId="07EE6020" w14:textId="77777777" w:rsidR="00D03FF8" w:rsidRDefault="00D03FF8">
      <w:pPr>
        <w:spacing w:line="600" w:lineRule="exact"/>
        <w:jc w:val="center"/>
        <w:outlineLvl w:val="0"/>
        <w:rPr>
          <w:rFonts w:ascii="方正小标宋简体" w:eastAsia="方正小标宋简体" w:hAnsi="宋体"/>
          <w:sz w:val="72"/>
          <w:szCs w:val="72"/>
        </w:rPr>
      </w:pPr>
    </w:p>
    <w:p w14:paraId="5EEA5030" w14:textId="77777777" w:rsidR="00D03FF8" w:rsidRDefault="00D03FF8">
      <w:pPr>
        <w:spacing w:line="600" w:lineRule="exact"/>
        <w:jc w:val="center"/>
        <w:outlineLvl w:val="0"/>
        <w:rPr>
          <w:rFonts w:ascii="方正小标宋简体" w:eastAsia="方正小标宋简体" w:hAnsi="宋体"/>
          <w:sz w:val="72"/>
          <w:szCs w:val="72"/>
        </w:rPr>
      </w:pPr>
    </w:p>
    <w:p w14:paraId="5E1333DA" w14:textId="77777777" w:rsidR="00D03FF8" w:rsidRDefault="00A14F5C">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96475"/>
      <w:bookmarkStart w:id="3" w:name="_Toc15396597"/>
      <w:bookmarkStart w:id="4" w:name="_Toc15377425"/>
      <w:bookmarkStart w:id="5" w:name="_Toc15377193"/>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14:paraId="21B91A0C" w14:textId="77777777" w:rsidR="00D03FF8" w:rsidRDefault="00A14F5C">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8442"/>
      <w:bookmarkStart w:id="7" w:name="_Toc15377426"/>
      <w:bookmarkStart w:id="8" w:name="_Toc15396598"/>
      <w:bookmarkStart w:id="9" w:name="_Toc15377194"/>
      <w:bookmarkStart w:id="10" w:name="_Toc15306268"/>
      <w:bookmarkStart w:id="11" w:name="_Toc15396476"/>
      <w:bookmarkEnd w:id="0"/>
      <w:r>
        <w:rPr>
          <w:rFonts w:ascii="方正小标宋简体" w:eastAsia="方正小标宋简体" w:hAnsi="方正小标宋简体" w:cs="方正小标宋简体" w:hint="eastAsia"/>
          <w:sz w:val="72"/>
          <w:szCs w:val="72"/>
        </w:rPr>
        <w:t>攀枝花市自然资源和规划局西区分局单位决算</w:t>
      </w:r>
      <w:bookmarkEnd w:id="6"/>
      <w:bookmarkEnd w:id="7"/>
      <w:bookmarkEnd w:id="8"/>
      <w:bookmarkEnd w:id="9"/>
      <w:bookmarkEnd w:id="10"/>
      <w:bookmarkEnd w:id="11"/>
    </w:p>
    <w:p w14:paraId="55290EC2" w14:textId="77777777" w:rsidR="00D03FF8" w:rsidRDefault="00A14F5C">
      <w:pPr>
        <w:widowControl/>
        <w:jc w:val="center"/>
        <w:rPr>
          <w:rFonts w:ascii="SimHei" w:eastAsia="SimHei" w:hAnsi="SimHei"/>
          <w:sz w:val="48"/>
          <w:szCs w:val="48"/>
        </w:rPr>
      </w:pPr>
      <w:r>
        <w:rPr>
          <w:rFonts w:ascii="方正小标宋简体" w:eastAsia="方正小标宋简体" w:hAnsi="宋体"/>
          <w:sz w:val="36"/>
          <w:szCs w:val="36"/>
        </w:rPr>
        <w:br w:type="page"/>
      </w:r>
      <w:r>
        <w:rPr>
          <w:rFonts w:ascii="SimHei" w:eastAsia="SimHei" w:hAnsi="SimHei" w:hint="eastAsia"/>
          <w:sz w:val="48"/>
          <w:szCs w:val="48"/>
        </w:rPr>
        <w:lastRenderedPageBreak/>
        <w:t>目录</w:t>
      </w:r>
    </w:p>
    <w:p w14:paraId="2327FE7F" w14:textId="77777777" w:rsidR="00D03FF8" w:rsidRDefault="00D03FF8">
      <w:pPr>
        <w:widowControl/>
        <w:jc w:val="center"/>
        <w:rPr>
          <w:rFonts w:ascii="SimHei" w:eastAsia="SimHei" w:hAnsi="SimHei" w:cstheme="minorBidi"/>
          <w:sz w:val="28"/>
          <w:szCs w:val="28"/>
        </w:rPr>
      </w:pPr>
    </w:p>
    <w:p w14:paraId="505B15B1" w14:textId="77777777" w:rsidR="00D03FF8" w:rsidRDefault="00A14F5C">
      <w:pPr>
        <w:pStyle w:val="TOC1"/>
      </w:pPr>
      <w:r>
        <w:rPr>
          <w:rFonts w:hint="eastAsia"/>
        </w:rPr>
        <w:t>公开时间：2023年9月</w:t>
      </w:r>
      <w:r>
        <w:t>1</w:t>
      </w:r>
      <w:r w:rsidR="00062009">
        <w:rPr>
          <w:rFonts w:hint="eastAsia"/>
        </w:rPr>
        <w:t>4</w:t>
      </w:r>
      <w:r>
        <w:rPr>
          <w:rFonts w:hint="eastAsia"/>
        </w:rPr>
        <w:t>日</w:t>
      </w:r>
    </w:p>
    <w:p w14:paraId="515C130C" w14:textId="77777777" w:rsidR="00D03FF8" w:rsidRDefault="00D03FF8"/>
    <w:p w14:paraId="545394D7" w14:textId="77777777" w:rsidR="00D03FF8" w:rsidRDefault="00A14F5C">
      <w:pPr>
        <w:pStyle w:val="TOC1"/>
        <w:adjustRightInd w:val="0"/>
        <w:snapToGrid w:val="0"/>
        <w:spacing w:before="0" w:line="440" w:lineRule="exact"/>
        <w:jc w:val="left"/>
        <w:rPr>
          <w:rFonts w:cstheme="minorBidi"/>
          <w:sz w:val="24"/>
          <w:szCs w:val="24"/>
        </w:rPr>
      </w:pPr>
      <w:r>
        <w:rPr>
          <w:rFonts w:hint="eastAsia"/>
          <w:sz w:val="24"/>
        </w:rPr>
        <w:t>第一部分单位概况</w:t>
      </w:r>
      <w:r>
        <w:rPr>
          <w:rFonts w:cstheme="minorBidi"/>
          <w:sz w:val="24"/>
          <w:szCs w:val="24"/>
        </w:rPr>
        <w:tab/>
      </w:r>
      <w:r>
        <w:rPr>
          <w:rFonts w:cstheme="minorBidi" w:hint="eastAsia"/>
          <w:sz w:val="24"/>
          <w:szCs w:val="24"/>
        </w:rPr>
        <w:t>4</w:t>
      </w:r>
    </w:p>
    <w:p w14:paraId="2581E203" w14:textId="77777777" w:rsidR="00D03FF8" w:rsidRDefault="00A14F5C">
      <w:pPr>
        <w:pStyle w:val="TOC2"/>
        <w:adjustRightInd w:val="0"/>
        <w:snapToGrid w:val="0"/>
        <w:spacing w:line="440" w:lineRule="exact"/>
        <w:jc w:val="left"/>
        <w:rPr>
          <w:sz w:val="24"/>
        </w:rPr>
      </w:pPr>
      <w:r>
        <w:rPr>
          <w:rFonts w:hint="eastAsia"/>
          <w:sz w:val="24"/>
        </w:rPr>
        <w:t>一、主要职责</w:t>
      </w:r>
      <w:r>
        <w:rPr>
          <w:rFonts w:cstheme="minorBidi"/>
          <w:sz w:val="24"/>
        </w:rPr>
        <w:tab/>
      </w:r>
      <w:r>
        <w:rPr>
          <w:rFonts w:cstheme="minorBidi" w:hint="eastAsia"/>
          <w:sz w:val="24"/>
        </w:rPr>
        <w:t>4</w:t>
      </w:r>
    </w:p>
    <w:p w14:paraId="02C841C5" w14:textId="77777777" w:rsidR="00D03FF8" w:rsidRDefault="00A14F5C">
      <w:pPr>
        <w:pStyle w:val="TOC2"/>
        <w:adjustRightInd w:val="0"/>
        <w:snapToGrid w:val="0"/>
        <w:spacing w:line="440" w:lineRule="exact"/>
        <w:jc w:val="left"/>
      </w:pPr>
      <w:r>
        <w:rPr>
          <w:rFonts w:hint="eastAsia"/>
          <w:sz w:val="24"/>
        </w:rPr>
        <w:t>二、机构设置</w:t>
      </w:r>
      <w:r>
        <w:rPr>
          <w:rFonts w:cstheme="minorBidi"/>
          <w:sz w:val="24"/>
        </w:rPr>
        <w:tab/>
      </w:r>
      <w:r>
        <w:rPr>
          <w:rFonts w:cstheme="minorBidi" w:hint="eastAsia"/>
          <w:sz w:val="24"/>
        </w:rPr>
        <w:t>4</w:t>
      </w:r>
    </w:p>
    <w:p w14:paraId="578FCA47" w14:textId="77777777" w:rsidR="00D03FF8" w:rsidRDefault="00A14F5C">
      <w:pPr>
        <w:pStyle w:val="TOC1"/>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cstheme="minorBidi" w:hint="eastAsia"/>
          <w:sz w:val="24"/>
        </w:rPr>
        <w:t>5</w:t>
      </w:r>
    </w:p>
    <w:p w14:paraId="424FE9FA"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cstheme="minorBidi" w:hint="eastAsia"/>
          <w:sz w:val="24"/>
        </w:rPr>
        <w:t>5</w:t>
      </w:r>
    </w:p>
    <w:p w14:paraId="0ECFE0AF"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cstheme="minorBidi" w:hint="eastAsia"/>
          <w:sz w:val="24"/>
        </w:rPr>
        <w:t>5</w:t>
      </w:r>
    </w:p>
    <w:p w14:paraId="57EB4A47"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cstheme="minorBidi" w:hint="eastAsia"/>
          <w:sz w:val="24"/>
        </w:rPr>
        <w:t>6</w:t>
      </w:r>
    </w:p>
    <w:p w14:paraId="788D622D"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cstheme="minorBidi" w:hint="eastAsia"/>
          <w:sz w:val="24"/>
        </w:rPr>
        <w:t>7</w:t>
      </w:r>
    </w:p>
    <w:p w14:paraId="62FC5720"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cstheme="minorBidi" w:hint="eastAsia"/>
          <w:sz w:val="24"/>
        </w:rPr>
        <w:t>7</w:t>
      </w:r>
    </w:p>
    <w:p w14:paraId="05A74D5B"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10</w:t>
      </w:r>
    </w:p>
    <w:p w14:paraId="7E4F50A8"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cstheme="minorBidi" w:hint="eastAsia"/>
          <w:sz w:val="24"/>
        </w:rPr>
        <w:t>10</w:t>
      </w:r>
    </w:p>
    <w:p w14:paraId="43D62A80" w14:textId="77777777" w:rsidR="00D03FF8" w:rsidRDefault="00A14F5C">
      <w:pPr>
        <w:pStyle w:val="TOC2"/>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cstheme="minorBidi" w:hint="eastAsia"/>
          <w:sz w:val="24"/>
        </w:rPr>
        <w:t>12</w:t>
      </w:r>
    </w:p>
    <w:p w14:paraId="0A2958E1" w14:textId="77777777" w:rsidR="00D03FF8" w:rsidRDefault="00A14F5C">
      <w:pPr>
        <w:pStyle w:val="TOC2"/>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cstheme="minorBidi" w:hint="eastAsia"/>
          <w:sz w:val="24"/>
        </w:rPr>
        <w:t>12</w:t>
      </w:r>
    </w:p>
    <w:p w14:paraId="6F43642F" w14:textId="77777777" w:rsidR="00D03FF8" w:rsidRDefault="00A14F5C">
      <w:pPr>
        <w:pStyle w:val="TOC2"/>
        <w:adjustRightInd w:val="0"/>
        <w:snapToGrid w:val="0"/>
        <w:spacing w:line="440" w:lineRule="exact"/>
        <w:jc w:val="left"/>
        <w:rPr>
          <w:sz w:val="24"/>
        </w:rPr>
      </w:pPr>
      <w:r>
        <w:rPr>
          <w:rFonts w:hint="eastAsia"/>
          <w:sz w:val="24"/>
        </w:rPr>
        <w:t>十、其他重要事项的情况说明</w:t>
      </w:r>
      <w:r>
        <w:rPr>
          <w:rFonts w:cstheme="minorBidi"/>
          <w:sz w:val="24"/>
        </w:rPr>
        <w:tab/>
      </w:r>
      <w:r>
        <w:rPr>
          <w:rFonts w:cstheme="minorBidi" w:hint="eastAsia"/>
          <w:sz w:val="24"/>
        </w:rPr>
        <w:t>12</w:t>
      </w:r>
    </w:p>
    <w:p w14:paraId="076764FA" w14:textId="77777777" w:rsidR="00D03FF8" w:rsidRDefault="00A14F5C">
      <w:pPr>
        <w:pStyle w:val="TOC1"/>
        <w:adjustRightInd w:val="0"/>
        <w:snapToGrid w:val="0"/>
        <w:spacing w:before="0" w:line="440" w:lineRule="exact"/>
        <w:jc w:val="left"/>
        <w:rPr>
          <w:rFonts w:cstheme="minorBidi"/>
          <w:sz w:val="24"/>
          <w:szCs w:val="24"/>
        </w:rPr>
      </w:pPr>
      <w:r>
        <w:rPr>
          <w:rFonts w:hint="eastAsia"/>
          <w:sz w:val="24"/>
        </w:rPr>
        <w:t>第三部分名词解释</w:t>
      </w:r>
      <w:r>
        <w:rPr>
          <w:rFonts w:cstheme="minorBidi"/>
          <w:sz w:val="24"/>
          <w:szCs w:val="24"/>
        </w:rPr>
        <w:tab/>
      </w:r>
      <w:r>
        <w:rPr>
          <w:rFonts w:cstheme="minorBidi" w:hint="eastAsia"/>
          <w:sz w:val="24"/>
          <w:szCs w:val="24"/>
        </w:rPr>
        <w:t>14</w:t>
      </w:r>
    </w:p>
    <w:p w14:paraId="24996EB7" w14:textId="77777777" w:rsidR="00D03FF8" w:rsidRDefault="00A14F5C">
      <w:pPr>
        <w:pStyle w:val="TOC1"/>
        <w:adjustRightInd w:val="0"/>
        <w:snapToGrid w:val="0"/>
        <w:spacing w:before="0" w:line="440" w:lineRule="exact"/>
        <w:jc w:val="left"/>
        <w:rPr>
          <w:rFonts w:cstheme="minorBidi"/>
          <w:sz w:val="24"/>
          <w:szCs w:val="24"/>
        </w:rPr>
      </w:pPr>
      <w:r>
        <w:rPr>
          <w:rFonts w:hint="eastAsia"/>
          <w:sz w:val="24"/>
        </w:rPr>
        <w:t>第四部分附件</w:t>
      </w:r>
      <w:r>
        <w:rPr>
          <w:rFonts w:cstheme="minorBidi"/>
          <w:sz w:val="24"/>
          <w:szCs w:val="24"/>
        </w:rPr>
        <w:tab/>
      </w:r>
      <w:r>
        <w:rPr>
          <w:rFonts w:cstheme="minorBidi" w:hint="eastAsia"/>
          <w:sz w:val="24"/>
          <w:szCs w:val="24"/>
        </w:rPr>
        <w:t>17</w:t>
      </w:r>
    </w:p>
    <w:p w14:paraId="2D39162F" w14:textId="77777777" w:rsidR="00D03FF8" w:rsidRDefault="00A14F5C">
      <w:pPr>
        <w:pStyle w:val="TOC1"/>
        <w:adjustRightInd w:val="0"/>
        <w:snapToGrid w:val="0"/>
        <w:spacing w:before="0" w:line="440" w:lineRule="exact"/>
        <w:jc w:val="left"/>
        <w:rPr>
          <w:rFonts w:cstheme="minorBidi"/>
          <w:sz w:val="24"/>
          <w:szCs w:val="24"/>
        </w:rPr>
      </w:pPr>
      <w:r>
        <w:rPr>
          <w:rFonts w:hint="eastAsia"/>
          <w:sz w:val="24"/>
        </w:rPr>
        <w:t>第五部分附表</w:t>
      </w:r>
      <w:r>
        <w:rPr>
          <w:rFonts w:cstheme="minorBidi"/>
          <w:sz w:val="24"/>
          <w:szCs w:val="24"/>
        </w:rPr>
        <w:tab/>
      </w:r>
      <w:r>
        <w:rPr>
          <w:rFonts w:cstheme="minorBidi" w:hint="eastAsia"/>
          <w:sz w:val="24"/>
          <w:szCs w:val="24"/>
        </w:rPr>
        <w:t>18</w:t>
      </w:r>
    </w:p>
    <w:p w14:paraId="0214C94B" w14:textId="77777777" w:rsidR="00D03FF8" w:rsidRDefault="00A14F5C">
      <w:pPr>
        <w:pStyle w:val="TOC2"/>
        <w:adjustRightInd w:val="0"/>
        <w:snapToGrid w:val="0"/>
        <w:spacing w:line="440" w:lineRule="exact"/>
        <w:jc w:val="left"/>
        <w:rPr>
          <w:sz w:val="24"/>
        </w:rPr>
      </w:pPr>
      <w:r>
        <w:rPr>
          <w:rFonts w:hint="eastAsia"/>
          <w:sz w:val="24"/>
        </w:rPr>
        <w:t>一、收入支出决算总表</w:t>
      </w:r>
      <w:r>
        <w:rPr>
          <w:rFonts w:cstheme="minorBidi"/>
          <w:sz w:val="24"/>
        </w:rPr>
        <w:tab/>
      </w:r>
      <w:r>
        <w:rPr>
          <w:rFonts w:cstheme="minorBidi" w:hint="eastAsia"/>
          <w:sz w:val="24"/>
        </w:rPr>
        <w:t>18</w:t>
      </w:r>
    </w:p>
    <w:p w14:paraId="727AE8E8" w14:textId="77777777" w:rsidR="00D03FF8" w:rsidRDefault="00A14F5C">
      <w:pPr>
        <w:pStyle w:val="TOC2"/>
        <w:adjustRightInd w:val="0"/>
        <w:snapToGrid w:val="0"/>
        <w:spacing w:line="440" w:lineRule="exact"/>
        <w:jc w:val="left"/>
        <w:rPr>
          <w:sz w:val="24"/>
        </w:rPr>
      </w:pPr>
      <w:r>
        <w:rPr>
          <w:rFonts w:hint="eastAsia"/>
          <w:sz w:val="24"/>
        </w:rPr>
        <w:t>二、收入决算表</w:t>
      </w:r>
      <w:r>
        <w:rPr>
          <w:rFonts w:cstheme="minorBidi"/>
          <w:sz w:val="24"/>
        </w:rPr>
        <w:tab/>
      </w:r>
      <w:r>
        <w:rPr>
          <w:rFonts w:cstheme="minorBidi" w:hint="eastAsia"/>
          <w:sz w:val="24"/>
        </w:rPr>
        <w:t>18</w:t>
      </w:r>
    </w:p>
    <w:p w14:paraId="704601FE" w14:textId="77777777" w:rsidR="00D03FF8" w:rsidRDefault="00A14F5C">
      <w:pPr>
        <w:pStyle w:val="TOC2"/>
        <w:adjustRightInd w:val="0"/>
        <w:snapToGrid w:val="0"/>
        <w:spacing w:line="440" w:lineRule="exact"/>
        <w:jc w:val="left"/>
        <w:rPr>
          <w:sz w:val="24"/>
        </w:rPr>
      </w:pPr>
      <w:r>
        <w:rPr>
          <w:rFonts w:hint="eastAsia"/>
          <w:sz w:val="24"/>
        </w:rPr>
        <w:t>三、支出决算表</w:t>
      </w:r>
      <w:r>
        <w:rPr>
          <w:rFonts w:cstheme="minorBidi"/>
          <w:sz w:val="24"/>
        </w:rPr>
        <w:tab/>
      </w:r>
      <w:r>
        <w:rPr>
          <w:rFonts w:cstheme="minorBidi" w:hint="eastAsia"/>
          <w:sz w:val="24"/>
        </w:rPr>
        <w:t>18</w:t>
      </w:r>
    </w:p>
    <w:p w14:paraId="48C76BD4" w14:textId="77777777" w:rsidR="00D03FF8" w:rsidRDefault="00A14F5C">
      <w:pPr>
        <w:pStyle w:val="TOC2"/>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cstheme="minorBidi" w:hint="eastAsia"/>
          <w:sz w:val="24"/>
        </w:rPr>
        <w:t>18</w:t>
      </w:r>
    </w:p>
    <w:p w14:paraId="258075EA" w14:textId="77777777" w:rsidR="00D03FF8" w:rsidRDefault="00A14F5C">
      <w:pPr>
        <w:pStyle w:val="TOC2"/>
        <w:adjustRightInd w:val="0"/>
        <w:snapToGrid w:val="0"/>
        <w:spacing w:line="440" w:lineRule="exact"/>
        <w:jc w:val="left"/>
        <w:rPr>
          <w:sz w:val="24"/>
        </w:rPr>
      </w:pPr>
      <w:r>
        <w:rPr>
          <w:rFonts w:hint="eastAsia"/>
          <w:sz w:val="24"/>
        </w:rPr>
        <w:t>五、财政拨款支出决算明细表</w:t>
      </w:r>
      <w:r>
        <w:rPr>
          <w:rFonts w:cstheme="minorBidi"/>
          <w:sz w:val="24"/>
        </w:rPr>
        <w:tab/>
      </w:r>
      <w:r>
        <w:rPr>
          <w:rFonts w:cstheme="minorBidi" w:hint="eastAsia"/>
          <w:sz w:val="24"/>
        </w:rPr>
        <w:t>18</w:t>
      </w:r>
    </w:p>
    <w:p w14:paraId="4C3859F0" w14:textId="77777777" w:rsidR="00D03FF8" w:rsidRDefault="00A14F5C">
      <w:pPr>
        <w:pStyle w:val="TOC2"/>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cstheme="minorBidi" w:hint="eastAsia"/>
          <w:sz w:val="24"/>
        </w:rPr>
        <w:t>18</w:t>
      </w:r>
    </w:p>
    <w:p w14:paraId="28DF346A" w14:textId="77777777" w:rsidR="00D03FF8" w:rsidRDefault="00A14F5C">
      <w:pPr>
        <w:pStyle w:val="TOC2"/>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cstheme="minorBidi" w:hint="eastAsia"/>
          <w:sz w:val="24"/>
        </w:rPr>
        <w:t>18</w:t>
      </w:r>
    </w:p>
    <w:p w14:paraId="15EA9363" w14:textId="77777777" w:rsidR="00D03FF8" w:rsidRDefault="00A14F5C">
      <w:pPr>
        <w:pStyle w:val="TOC2"/>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cstheme="minorBidi" w:hint="eastAsia"/>
          <w:sz w:val="24"/>
        </w:rPr>
        <w:t>18</w:t>
      </w:r>
    </w:p>
    <w:p w14:paraId="6324FE60" w14:textId="77777777" w:rsidR="00D03FF8" w:rsidRDefault="00A14F5C">
      <w:pPr>
        <w:pStyle w:val="TOC2"/>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cstheme="minorBidi" w:hint="eastAsia"/>
          <w:sz w:val="24"/>
        </w:rPr>
        <w:t>18</w:t>
      </w:r>
    </w:p>
    <w:p w14:paraId="1D3F98AC" w14:textId="77777777" w:rsidR="00D03FF8" w:rsidRDefault="00A14F5C">
      <w:pPr>
        <w:pStyle w:val="TOC2"/>
        <w:adjustRightInd w:val="0"/>
        <w:snapToGrid w:val="0"/>
        <w:spacing w:line="440" w:lineRule="exact"/>
        <w:jc w:val="left"/>
        <w:rPr>
          <w:sz w:val="24"/>
        </w:rPr>
      </w:pPr>
      <w:r>
        <w:rPr>
          <w:rFonts w:hint="eastAsia"/>
          <w:sz w:val="24"/>
        </w:rPr>
        <w:lastRenderedPageBreak/>
        <w:t>十、政府性基金预算财政拨款收入支出决算表</w:t>
      </w:r>
      <w:r>
        <w:rPr>
          <w:rFonts w:cstheme="minorBidi"/>
          <w:sz w:val="24"/>
        </w:rPr>
        <w:tab/>
      </w:r>
      <w:r>
        <w:rPr>
          <w:rFonts w:cstheme="minorBidi" w:hint="eastAsia"/>
          <w:sz w:val="24"/>
        </w:rPr>
        <w:t>18</w:t>
      </w:r>
    </w:p>
    <w:p w14:paraId="2BD0B243" w14:textId="77777777" w:rsidR="00D03FF8" w:rsidRDefault="00A14F5C">
      <w:pPr>
        <w:pStyle w:val="TOC2"/>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cstheme="minorBidi" w:hint="eastAsia"/>
          <w:sz w:val="24"/>
        </w:rPr>
        <w:t>18</w:t>
      </w:r>
    </w:p>
    <w:p w14:paraId="00537B87" w14:textId="77777777" w:rsidR="00D03FF8" w:rsidRDefault="00A14F5C">
      <w:pPr>
        <w:pStyle w:val="TOC2"/>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cstheme="minorBidi" w:hint="eastAsia"/>
          <w:sz w:val="24"/>
        </w:rPr>
        <w:t>18</w:t>
      </w:r>
    </w:p>
    <w:p w14:paraId="1DB68C96" w14:textId="77777777" w:rsidR="00D03FF8" w:rsidRDefault="00A14F5C">
      <w:pPr>
        <w:pStyle w:val="TOC2"/>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cstheme="minorBidi" w:hint="eastAsia"/>
          <w:sz w:val="24"/>
        </w:rPr>
        <w:t>18</w:t>
      </w:r>
    </w:p>
    <w:p w14:paraId="7F3C2637" w14:textId="77777777" w:rsidR="00D03FF8" w:rsidRDefault="00A14F5C">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14:paraId="4192FE65" w14:textId="77777777" w:rsidR="00D03FF8" w:rsidRDefault="00A14F5C">
      <w:pPr>
        <w:pStyle w:val="1"/>
        <w:jc w:val="center"/>
        <w:rPr>
          <w:rStyle w:val="10"/>
          <w:rFonts w:ascii="SimHei" w:eastAsia="SimHei" w:hAnsi="SimHei"/>
          <w:b/>
        </w:rPr>
      </w:pPr>
      <w:r>
        <w:rPr>
          <w:rFonts w:ascii="SimHei" w:eastAsia="SimHei" w:hAnsi="SimHei" w:hint="eastAsia"/>
          <w:b w:val="0"/>
        </w:rPr>
        <w:lastRenderedPageBreak/>
        <w:t>第一部分 单位</w:t>
      </w:r>
      <w:r>
        <w:rPr>
          <w:rStyle w:val="10"/>
          <w:rFonts w:ascii="SimHei" w:eastAsia="SimHei" w:hAnsi="SimHei" w:hint="eastAsia"/>
        </w:rPr>
        <w:t>概况</w:t>
      </w:r>
      <w:bookmarkEnd w:id="12"/>
      <w:bookmarkEnd w:id="13"/>
    </w:p>
    <w:p w14:paraId="3F36509E" w14:textId="77777777" w:rsidR="00D03FF8" w:rsidRDefault="00A14F5C">
      <w:pPr>
        <w:pStyle w:val="2"/>
        <w:numPr>
          <w:ilvl w:val="0"/>
          <w:numId w:val="1"/>
        </w:numPr>
        <w:rPr>
          <w:rStyle w:val="20"/>
          <w:rFonts w:ascii="SimHei" w:eastAsia="SimHei" w:hAnsi="SimHei"/>
        </w:rPr>
      </w:pPr>
      <w:bookmarkStart w:id="14" w:name="_Toc15396600"/>
      <w:bookmarkStart w:id="15" w:name="_Toc15377197"/>
      <w:r>
        <w:rPr>
          <w:rStyle w:val="20"/>
          <w:rFonts w:ascii="SimHei" w:eastAsia="SimHei" w:hAnsi="SimHei" w:hint="eastAsia"/>
        </w:rPr>
        <w:t>主要职责</w:t>
      </w:r>
    </w:p>
    <w:p w14:paraId="21BF94C4" w14:textId="77777777" w:rsidR="00D03FF8" w:rsidRDefault="00A14F5C">
      <w:pPr>
        <w:ind w:firstLineChars="200" w:firstLine="640"/>
      </w:pPr>
      <w:r>
        <w:rPr>
          <w:rFonts w:ascii="仿宋" w:eastAsia="仿宋" w:hAnsi="仿宋"/>
          <w:sz w:val="32"/>
          <w:szCs w:val="32"/>
        </w:rPr>
        <w:t>负责所在行政区域内的自然资源行政管理和规划实施管理工作，完成市自然资源和规划局交办的其他任务</w:t>
      </w:r>
    </w:p>
    <w:p w14:paraId="4DBAF519" w14:textId="77777777" w:rsidR="00D03FF8" w:rsidRDefault="00A14F5C">
      <w:pPr>
        <w:pStyle w:val="2"/>
        <w:numPr>
          <w:ilvl w:val="0"/>
          <w:numId w:val="1"/>
        </w:numPr>
        <w:rPr>
          <w:rFonts w:ascii="SimHei" w:eastAsia="SimHei" w:hAnsi="SimHei"/>
          <w:b w:val="0"/>
        </w:rPr>
      </w:pPr>
      <w:r>
        <w:rPr>
          <w:rFonts w:ascii="SimHei" w:eastAsia="SimHei" w:hAnsi="SimHei" w:hint="eastAsia"/>
          <w:b w:val="0"/>
        </w:rPr>
        <w:t>机构设置</w:t>
      </w:r>
      <w:bookmarkEnd w:id="14"/>
      <w:bookmarkEnd w:id="15"/>
    </w:p>
    <w:p w14:paraId="1859AE61" w14:textId="77777777" w:rsidR="00D03FF8" w:rsidRDefault="00A14F5C">
      <w:pPr>
        <w:ind w:firstLineChars="200" w:firstLine="640"/>
        <w:rPr>
          <w:rFonts w:ascii="仿宋" w:eastAsia="仿宋" w:hAnsi="仿宋"/>
          <w:sz w:val="32"/>
          <w:szCs w:val="32"/>
        </w:rPr>
      </w:pPr>
      <w:r>
        <w:rPr>
          <w:rFonts w:ascii="仿宋" w:eastAsia="仿宋" w:hAnsi="仿宋" w:hint="eastAsia"/>
          <w:sz w:val="32"/>
          <w:szCs w:val="32"/>
        </w:rPr>
        <w:t>市自然资源和规划局西区分局内设土管股、矿管股、规划股、土地利用股及办公室5个股室；代市自然资源和规划局管理攀枝花市格里坪自然资源所和自然资源综合执法大队。</w:t>
      </w:r>
    </w:p>
    <w:p w14:paraId="4383811A" w14:textId="77777777" w:rsidR="00D03FF8" w:rsidRDefault="00A14F5C">
      <w:pPr>
        <w:pStyle w:val="2"/>
        <w:numPr>
          <w:ilvl w:val="0"/>
          <w:numId w:val="1"/>
        </w:numPr>
        <w:rPr>
          <w:rFonts w:ascii="仿宋" w:eastAsia="仿宋" w:hAnsi="仿宋"/>
          <w:kern w:val="0"/>
        </w:rPr>
      </w:pPr>
      <w:r>
        <w:rPr>
          <w:rFonts w:ascii="仿宋" w:eastAsia="仿宋" w:hAnsi="仿宋"/>
        </w:rPr>
        <w:br w:type="page"/>
      </w:r>
    </w:p>
    <w:p w14:paraId="26FC8F53" w14:textId="77777777" w:rsidR="00D03FF8" w:rsidRDefault="00A14F5C">
      <w:pPr>
        <w:pStyle w:val="1"/>
        <w:ind w:right="440"/>
        <w:jc w:val="center"/>
        <w:rPr>
          <w:rStyle w:val="10"/>
          <w:rFonts w:ascii="SimHei" w:eastAsia="SimHei" w:hAnsi="SimHei"/>
          <w:bCs/>
        </w:rPr>
      </w:pPr>
      <w:bookmarkStart w:id="16" w:name="_Toc15377204"/>
      <w:bookmarkStart w:id="17" w:name="_Toc15396602"/>
      <w:r>
        <w:rPr>
          <w:rFonts w:ascii="SimHei" w:eastAsia="SimHei" w:hAnsi="SimHei" w:hint="eastAsia"/>
          <w:b w:val="0"/>
        </w:rPr>
        <w:lastRenderedPageBreak/>
        <w:t>第二部分 2022年度</w:t>
      </w:r>
      <w:r>
        <w:rPr>
          <w:rStyle w:val="10"/>
          <w:rFonts w:ascii="SimHei" w:eastAsia="SimHei" w:hAnsi="SimHei" w:hint="eastAsia"/>
          <w:bCs/>
        </w:rPr>
        <w:t>单位决算情况说明</w:t>
      </w:r>
      <w:bookmarkEnd w:id="16"/>
      <w:bookmarkEnd w:id="17"/>
    </w:p>
    <w:p w14:paraId="42132491" w14:textId="77777777" w:rsidR="00D03FF8" w:rsidRDefault="00D03FF8"/>
    <w:p w14:paraId="736E981A" w14:textId="77777777" w:rsidR="00D03FF8" w:rsidRDefault="00A14F5C">
      <w:pPr>
        <w:pStyle w:val="ad"/>
        <w:numPr>
          <w:ilvl w:val="0"/>
          <w:numId w:val="2"/>
        </w:numPr>
        <w:spacing w:line="600" w:lineRule="exact"/>
        <w:ind w:firstLineChars="0"/>
        <w:outlineLvl w:val="1"/>
        <w:rPr>
          <w:rStyle w:val="20"/>
          <w:rFonts w:ascii="SimHei" w:eastAsia="SimHei" w:hAnsi="SimHei"/>
          <w:b w:val="0"/>
        </w:rPr>
      </w:pPr>
      <w:bookmarkStart w:id="18" w:name="_Toc15396603"/>
      <w:bookmarkStart w:id="19" w:name="_Toc15377205"/>
      <w:r>
        <w:rPr>
          <w:rFonts w:ascii="SimHei" w:eastAsia="SimHei" w:hAnsi="SimHei" w:hint="eastAsia"/>
          <w:sz w:val="32"/>
          <w:szCs w:val="32"/>
        </w:rPr>
        <w:t>收</w:t>
      </w:r>
      <w:r>
        <w:rPr>
          <w:rStyle w:val="20"/>
          <w:rFonts w:ascii="SimHei" w:eastAsia="SimHei" w:hAnsi="SimHei" w:hint="eastAsia"/>
          <w:b w:val="0"/>
        </w:rPr>
        <w:t>入支出决算总体情况说明</w:t>
      </w:r>
      <w:bookmarkEnd w:id="18"/>
      <w:bookmarkEnd w:id="19"/>
    </w:p>
    <w:p w14:paraId="74CE1DF2" w14:textId="77777777" w:rsidR="00D03FF8" w:rsidRDefault="00A14F5C">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2022年度收、支总计8619.96万元。与2021年相比，收、支总计各增加6740.73万元，增长358</w:t>
      </w:r>
      <w:r>
        <w:rPr>
          <w:rFonts w:ascii="仿宋" w:eastAsia="仿宋" w:hAnsi="仿宋"/>
          <w:sz w:val="32"/>
          <w:szCs w:val="32"/>
        </w:rPr>
        <w:t>%</w:t>
      </w:r>
      <w:r>
        <w:rPr>
          <w:rFonts w:ascii="仿宋" w:eastAsia="仿宋" w:hAnsi="仿宋" w:hint="eastAsia"/>
          <w:sz w:val="32"/>
          <w:szCs w:val="32"/>
        </w:rPr>
        <w:t>，收入总计4306.33万元、支出总计4313.63万元。与2021年相比，收入总计增加3583.11万元，增长495</w:t>
      </w:r>
      <w:r>
        <w:rPr>
          <w:rFonts w:ascii="仿宋" w:eastAsia="仿宋" w:hAnsi="仿宋"/>
          <w:sz w:val="32"/>
          <w:szCs w:val="32"/>
        </w:rPr>
        <w:t>%</w:t>
      </w:r>
      <w:r>
        <w:rPr>
          <w:rFonts w:ascii="仿宋" w:eastAsia="仿宋" w:hAnsi="仿宋" w:hint="eastAsia"/>
          <w:sz w:val="32"/>
          <w:szCs w:val="32"/>
        </w:rPr>
        <w:t>、支出总计增加3157.62万元，增长273</w:t>
      </w:r>
      <w:r>
        <w:rPr>
          <w:rFonts w:ascii="仿宋" w:eastAsia="仿宋" w:hAnsi="仿宋"/>
          <w:sz w:val="32"/>
          <w:szCs w:val="32"/>
        </w:rPr>
        <w:t>%</w:t>
      </w:r>
      <w:r>
        <w:rPr>
          <w:rFonts w:ascii="仿宋" w:eastAsia="仿宋" w:hAnsi="仿宋" w:hint="eastAsia"/>
          <w:sz w:val="32"/>
          <w:szCs w:val="32"/>
        </w:rPr>
        <w:t>。主要变动原因是新增项目，及以往年度项目已完工验收，</w:t>
      </w:r>
      <w:r>
        <w:rPr>
          <w:rFonts w:ascii="仿宋" w:eastAsia="仿宋" w:hAnsi="仿宋"/>
          <w:sz w:val="32"/>
          <w:szCs w:val="32"/>
        </w:rPr>
        <w:t>按项目进度支付项目款</w:t>
      </w:r>
      <w:r>
        <w:rPr>
          <w:rFonts w:ascii="仿宋" w:eastAsia="仿宋" w:hAnsi="仿宋" w:hint="eastAsia"/>
          <w:sz w:val="32"/>
          <w:szCs w:val="32"/>
        </w:rPr>
        <w:t>。</w:t>
      </w:r>
    </w:p>
    <w:p w14:paraId="225FBA89" w14:textId="77777777" w:rsidR="00D03FF8" w:rsidRDefault="00A14F5C">
      <w:pPr>
        <w:ind w:firstLineChars="200" w:firstLine="640"/>
        <w:rPr>
          <w:rFonts w:ascii="仿宋" w:eastAsia="仿宋" w:hAnsi="仿宋"/>
          <w:sz w:val="32"/>
          <w:szCs w:val="32"/>
        </w:rPr>
      </w:pPr>
      <w:r>
        <w:rPr>
          <w:rFonts w:ascii="仿宋" w:eastAsia="仿宋" w:hAnsi="仿宋"/>
          <w:sz w:val="32"/>
          <w:szCs w:val="32"/>
        </w:rPr>
        <w:t>（图1：收、支决算总计变动情况图）（柱状图）</w:t>
      </w:r>
    </w:p>
    <w:p w14:paraId="4D83E9B8" w14:textId="77777777" w:rsidR="00D03FF8" w:rsidRDefault="00A14F5C">
      <w:pPr>
        <w:ind w:firstLineChars="200" w:firstLine="420"/>
        <w:jc w:val="left"/>
        <w:rPr>
          <w:rFonts w:ascii="仿宋_GB2312" w:eastAsia="仿宋_GB2312"/>
          <w:sz w:val="32"/>
          <w:szCs w:val="32"/>
        </w:rPr>
      </w:pPr>
      <w:r>
        <w:rPr>
          <w:noProof/>
        </w:rPr>
        <w:drawing>
          <wp:inline distT="0" distB="0" distL="114300" distR="114300" wp14:anchorId="711FF418" wp14:editId="71E421DF">
            <wp:extent cx="4590415" cy="2761615"/>
            <wp:effectExtent l="0" t="0" r="63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4590415" cy="2761615"/>
                    </a:xfrm>
                    <a:prstGeom prst="rect">
                      <a:avLst/>
                    </a:prstGeom>
                    <a:noFill/>
                    <a:ln>
                      <a:noFill/>
                    </a:ln>
                  </pic:spPr>
                </pic:pic>
              </a:graphicData>
            </a:graphic>
          </wp:inline>
        </w:drawing>
      </w:r>
    </w:p>
    <w:p w14:paraId="58AA0A6A" w14:textId="77777777" w:rsidR="00D03FF8" w:rsidRDefault="00A14F5C">
      <w:pPr>
        <w:pStyle w:val="ad"/>
        <w:numPr>
          <w:ilvl w:val="0"/>
          <w:numId w:val="2"/>
        </w:numPr>
        <w:spacing w:line="600" w:lineRule="exact"/>
        <w:ind w:firstLineChars="0"/>
        <w:outlineLvl w:val="1"/>
        <w:rPr>
          <w:rStyle w:val="20"/>
          <w:rFonts w:ascii="SimHei" w:eastAsia="SimHei" w:hAnsi="SimHei"/>
          <w:b w:val="0"/>
        </w:rPr>
      </w:pPr>
      <w:bookmarkStart w:id="20" w:name="_Toc15377206"/>
      <w:bookmarkStart w:id="21" w:name="_Toc15396604"/>
      <w:r>
        <w:rPr>
          <w:rFonts w:ascii="SimHei" w:eastAsia="SimHei" w:hAnsi="SimHei" w:hint="eastAsia"/>
          <w:sz w:val="32"/>
          <w:szCs w:val="32"/>
        </w:rPr>
        <w:t>收</w:t>
      </w:r>
      <w:r>
        <w:rPr>
          <w:rStyle w:val="20"/>
          <w:rFonts w:ascii="SimHei" w:eastAsia="SimHei" w:hAnsi="SimHei" w:hint="eastAsia"/>
          <w:b w:val="0"/>
        </w:rPr>
        <w:t>入决算情况说明</w:t>
      </w:r>
      <w:bookmarkEnd w:id="20"/>
      <w:bookmarkEnd w:id="21"/>
    </w:p>
    <w:p w14:paraId="0E5E64CB" w14:textId="77777777" w:rsidR="00D03FF8" w:rsidRDefault="00A14F5C">
      <w:pPr>
        <w:ind w:firstLineChars="200" w:firstLine="640"/>
        <w:rPr>
          <w:rFonts w:ascii="仿宋" w:eastAsia="仿宋" w:hAnsi="仿宋"/>
          <w:sz w:val="32"/>
          <w:szCs w:val="32"/>
        </w:rPr>
      </w:pPr>
      <w:r>
        <w:rPr>
          <w:rFonts w:ascii="仿宋" w:eastAsia="仿宋" w:hAnsi="仿宋" w:hint="eastAsia"/>
          <w:sz w:val="32"/>
          <w:szCs w:val="32"/>
        </w:rPr>
        <w:t>2022年本年收入合计4306.33万元，其中：一般公共预算财政拨款收入261.63万元，占6%；政府性基金预算财政拨款收入0万元，占0%；国有资本经营预算财政拨款收入0万元，占0%；上级补助收入0万元，占0%；事业收入0万</w:t>
      </w:r>
      <w:r>
        <w:rPr>
          <w:rFonts w:ascii="仿宋" w:eastAsia="仿宋" w:hAnsi="仿宋" w:hint="eastAsia"/>
          <w:sz w:val="32"/>
          <w:szCs w:val="32"/>
        </w:rPr>
        <w:lastRenderedPageBreak/>
        <w:t>元，占0%；经营收入0万元，占0%；附属单位上缴收入0万元，占0%；其他收入4044.7万元，占94%。</w:t>
      </w:r>
    </w:p>
    <w:p w14:paraId="564D82E1" w14:textId="77777777" w:rsidR="00D03FF8" w:rsidRDefault="00A14F5C">
      <w:pPr>
        <w:ind w:firstLineChars="200" w:firstLine="640"/>
        <w:rPr>
          <w:rFonts w:ascii="仿宋" w:eastAsia="仿宋" w:hAnsi="仿宋"/>
          <w:sz w:val="32"/>
          <w:szCs w:val="32"/>
        </w:rPr>
      </w:pPr>
      <w:r>
        <w:rPr>
          <w:rFonts w:ascii="仿宋" w:eastAsia="仿宋" w:hAnsi="仿宋" w:hint="eastAsia"/>
          <w:sz w:val="32"/>
          <w:szCs w:val="32"/>
        </w:rPr>
        <w:t>（图2：收入决算结构图）（饼状图）</w:t>
      </w:r>
    </w:p>
    <w:p w14:paraId="76A2E859" w14:textId="77777777" w:rsidR="00D03FF8" w:rsidRDefault="00A14F5C">
      <w:pPr>
        <w:ind w:firstLineChars="200" w:firstLine="420"/>
        <w:rPr>
          <w:rFonts w:ascii="仿宋_GB2312" w:eastAsia="仿宋_GB2312"/>
          <w:sz w:val="32"/>
          <w:szCs w:val="32"/>
        </w:rPr>
      </w:pPr>
      <w:r>
        <w:rPr>
          <w:noProof/>
        </w:rPr>
        <w:drawing>
          <wp:inline distT="0" distB="0" distL="114300" distR="114300" wp14:anchorId="57F44A3E" wp14:editId="51D10B75">
            <wp:extent cx="4590415" cy="276161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590415" cy="2761615"/>
                    </a:xfrm>
                    <a:prstGeom prst="rect">
                      <a:avLst/>
                    </a:prstGeom>
                    <a:noFill/>
                    <a:ln>
                      <a:noFill/>
                    </a:ln>
                  </pic:spPr>
                </pic:pic>
              </a:graphicData>
            </a:graphic>
          </wp:inline>
        </w:drawing>
      </w:r>
    </w:p>
    <w:p w14:paraId="62B88CC6" w14:textId="77777777" w:rsidR="00D03FF8" w:rsidRDefault="00A14F5C">
      <w:pPr>
        <w:pStyle w:val="ad"/>
        <w:numPr>
          <w:ilvl w:val="0"/>
          <w:numId w:val="2"/>
        </w:numPr>
        <w:spacing w:line="600" w:lineRule="exact"/>
        <w:ind w:firstLineChars="0"/>
        <w:outlineLvl w:val="1"/>
        <w:rPr>
          <w:rStyle w:val="20"/>
          <w:rFonts w:ascii="SimHei" w:eastAsia="SimHei" w:hAnsi="SimHei"/>
          <w:b w:val="0"/>
        </w:rPr>
      </w:pPr>
      <w:bookmarkStart w:id="22" w:name="_Toc15396605"/>
      <w:bookmarkStart w:id="23" w:name="_Toc15377207"/>
      <w:r>
        <w:rPr>
          <w:rFonts w:ascii="SimHei" w:eastAsia="SimHei" w:hAnsi="SimHei" w:hint="eastAsia"/>
          <w:sz w:val="32"/>
          <w:szCs w:val="32"/>
        </w:rPr>
        <w:t>支</w:t>
      </w:r>
      <w:r>
        <w:rPr>
          <w:rStyle w:val="20"/>
          <w:rFonts w:ascii="SimHei" w:eastAsia="SimHei" w:hAnsi="SimHei" w:hint="eastAsia"/>
          <w:b w:val="0"/>
        </w:rPr>
        <w:t>出决算情况说明</w:t>
      </w:r>
      <w:bookmarkEnd w:id="22"/>
      <w:bookmarkEnd w:id="23"/>
    </w:p>
    <w:p w14:paraId="5CFD7E3D"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22年本年支出合计4313.63万元，其中：基本支出110.47万元，占3</w:t>
      </w:r>
      <w:r>
        <w:rPr>
          <w:rFonts w:ascii="仿宋" w:eastAsia="仿宋" w:hAnsi="仿宋"/>
          <w:sz w:val="32"/>
          <w:szCs w:val="32"/>
        </w:rPr>
        <w:t>%</w:t>
      </w:r>
      <w:r>
        <w:rPr>
          <w:rFonts w:ascii="仿宋" w:eastAsia="仿宋" w:hAnsi="仿宋" w:hint="eastAsia"/>
          <w:sz w:val="32"/>
          <w:szCs w:val="32"/>
        </w:rPr>
        <w:t>；项目支出4203.16万元，占97</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14:paraId="03E0E319" w14:textId="77777777" w:rsidR="00D03FF8" w:rsidRDefault="00A14F5C">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14:paraId="6574F000" w14:textId="77777777" w:rsidR="00D03FF8" w:rsidRDefault="00A14F5C">
      <w:pPr>
        <w:ind w:firstLineChars="200" w:firstLine="420"/>
        <w:rPr>
          <w:rFonts w:ascii="仿宋_GB2312" w:eastAsia="仿宋_GB2312"/>
          <w:sz w:val="32"/>
          <w:szCs w:val="32"/>
        </w:rPr>
      </w:pPr>
      <w:r>
        <w:rPr>
          <w:noProof/>
        </w:rPr>
        <w:drawing>
          <wp:inline distT="0" distB="0" distL="114300" distR="114300" wp14:anchorId="5BB166A9" wp14:editId="3FBC5575">
            <wp:extent cx="4590415" cy="2328545"/>
            <wp:effectExtent l="0" t="0" r="635" b="146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4590415" cy="2328545"/>
                    </a:xfrm>
                    <a:prstGeom prst="rect">
                      <a:avLst/>
                    </a:prstGeom>
                    <a:noFill/>
                    <a:ln>
                      <a:noFill/>
                    </a:ln>
                  </pic:spPr>
                </pic:pic>
              </a:graphicData>
            </a:graphic>
          </wp:inline>
        </w:drawing>
      </w:r>
    </w:p>
    <w:p w14:paraId="52281980" w14:textId="77777777" w:rsidR="00D03FF8" w:rsidRDefault="00A14F5C">
      <w:pPr>
        <w:spacing w:line="600" w:lineRule="exact"/>
        <w:ind w:firstLineChars="200" w:firstLine="640"/>
        <w:outlineLvl w:val="1"/>
        <w:rPr>
          <w:rStyle w:val="20"/>
          <w:rFonts w:ascii="SimHei" w:eastAsia="SimHei" w:hAnsi="SimHei"/>
          <w:b w:val="0"/>
        </w:rPr>
      </w:pPr>
      <w:bookmarkStart w:id="24" w:name="_Toc15396606"/>
      <w:bookmarkStart w:id="25" w:name="_Toc15377208"/>
      <w:r>
        <w:rPr>
          <w:rFonts w:ascii="SimHei" w:eastAsia="SimHei" w:hAnsi="SimHei" w:hint="eastAsia"/>
          <w:sz w:val="32"/>
          <w:szCs w:val="32"/>
        </w:rPr>
        <w:lastRenderedPageBreak/>
        <w:t>四、财</w:t>
      </w:r>
      <w:r>
        <w:rPr>
          <w:rStyle w:val="20"/>
          <w:rFonts w:ascii="SimHei" w:eastAsia="SimHei" w:hAnsi="SimHei" w:hint="eastAsia"/>
          <w:b w:val="0"/>
        </w:rPr>
        <w:t>政拨款收入支出决算总体情况说明</w:t>
      </w:r>
      <w:bookmarkEnd w:id="24"/>
      <w:bookmarkEnd w:id="25"/>
    </w:p>
    <w:p w14:paraId="676713BF"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22年财政拨款收、支总计527.57万元。与</w:t>
      </w:r>
      <w:r>
        <w:rPr>
          <w:rFonts w:ascii="仿宋" w:eastAsia="仿宋" w:hAnsi="仿宋"/>
          <w:sz w:val="32"/>
          <w:szCs w:val="32"/>
        </w:rPr>
        <w:t>20</w:t>
      </w:r>
      <w:r>
        <w:rPr>
          <w:rFonts w:ascii="仿宋" w:eastAsia="仿宋" w:hAnsi="仿宋" w:hint="eastAsia"/>
          <w:sz w:val="32"/>
          <w:szCs w:val="32"/>
        </w:rPr>
        <w:t>21年相比，财政拨款收、支总计各减少783.36万元，下降60</w:t>
      </w:r>
      <w:r>
        <w:rPr>
          <w:rFonts w:ascii="仿宋" w:eastAsia="仿宋" w:hAnsi="仿宋"/>
          <w:sz w:val="32"/>
          <w:szCs w:val="32"/>
        </w:rPr>
        <w:t>%</w:t>
      </w:r>
      <w:r>
        <w:rPr>
          <w:rFonts w:ascii="仿宋" w:eastAsia="仿宋" w:hAnsi="仿宋" w:hint="eastAsia"/>
          <w:sz w:val="32"/>
          <w:szCs w:val="32"/>
        </w:rPr>
        <w:t>。财政拨款收入总计261.63万元、支出总计265.94万元。与</w:t>
      </w:r>
      <w:r>
        <w:rPr>
          <w:rFonts w:ascii="仿宋" w:eastAsia="仿宋" w:hAnsi="仿宋"/>
          <w:sz w:val="32"/>
          <w:szCs w:val="32"/>
        </w:rPr>
        <w:t>20</w:t>
      </w:r>
      <w:r>
        <w:rPr>
          <w:rFonts w:ascii="仿宋" w:eastAsia="仿宋" w:hAnsi="仿宋" w:hint="eastAsia"/>
          <w:sz w:val="32"/>
          <w:szCs w:val="32"/>
        </w:rPr>
        <w:t>21年相比，财政拨款收入减少192.77万元，下降42</w:t>
      </w:r>
      <w:r>
        <w:rPr>
          <w:rFonts w:ascii="仿宋" w:eastAsia="仿宋" w:hAnsi="仿宋"/>
          <w:sz w:val="32"/>
          <w:szCs w:val="32"/>
        </w:rPr>
        <w:t>%</w:t>
      </w:r>
      <w:r>
        <w:rPr>
          <w:rFonts w:ascii="仿宋" w:eastAsia="仿宋" w:hAnsi="仿宋" w:hint="eastAsia"/>
          <w:sz w:val="32"/>
          <w:szCs w:val="32"/>
        </w:rPr>
        <w:t>；政拨款支出总计减少590.59万元，下降69</w:t>
      </w:r>
      <w:r>
        <w:rPr>
          <w:rFonts w:ascii="仿宋" w:eastAsia="仿宋" w:hAnsi="仿宋"/>
          <w:sz w:val="32"/>
          <w:szCs w:val="32"/>
        </w:rPr>
        <w:t>%</w:t>
      </w:r>
      <w:r>
        <w:rPr>
          <w:rFonts w:ascii="仿宋" w:eastAsia="仿宋" w:hAnsi="仿宋" w:hint="eastAsia"/>
          <w:sz w:val="32"/>
          <w:szCs w:val="32"/>
        </w:rPr>
        <w:t>。主要变动原因是人员减少，部分项目已完工及财政严格控制经费的支出。</w:t>
      </w:r>
    </w:p>
    <w:p w14:paraId="786D74D4"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（图4：财政拨款收、支决算总计变动情况）（柱状图）</w:t>
      </w:r>
    </w:p>
    <w:p w14:paraId="1A27DF2E" w14:textId="77777777" w:rsidR="00D03FF8" w:rsidRDefault="00A14F5C">
      <w:pPr>
        <w:ind w:firstLine="641"/>
        <w:rPr>
          <w:rFonts w:ascii="仿宋" w:eastAsia="仿宋" w:hAnsi="仿宋"/>
          <w:b/>
          <w:sz w:val="32"/>
          <w:szCs w:val="32"/>
        </w:rPr>
      </w:pPr>
      <w:r>
        <w:rPr>
          <w:noProof/>
        </w:rPr>
        <w:drawing>
          <wp:inline distT="0" distB="0" distL="114300" distR="114300" wp14:anchorId="37275135" wp14:editId="7A6320B6">
            <wp:extent cx="4596130" cy="2249805"/>
            <wp:effectExtent l="0" t="0" r="13970" b="171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4596130" cy="2249805"/>
                    </a:xfrm>
                    <a:prstGeom prst="rect">
                      <a:avLst/>
                    </a:prstGeom>
                    <a:noFill/>
                    <a:ln>
                      <a:noFill/>
                    </a:ln>
                  </pic:spPr>
                </pic:pic>
              </a:graphicData>
            </a:graphic>
          </wp:inline>
        </w:drawing>
      </w:r>
    </w:p>
    <w:p w14:paraId="06A9AC6D" w14:textId="77777777" w:rsidR="00D03FF8" w:rsidRDefault="00A14F5C">
      <w:pPr>
        <w:spacing w:line="600" w:lineRule="exact"/>
        <w:ind w:firstLineChars="200" w:firstLine="640"/>
        <w:outlineLvl w:val="1"/>
        <w:rPr>
          <w:rStyle w:val="20"/>
          <w:rFonts w:ascii="SimHei" w:eastAsia="SimHei" w:hAnsi="SimHei"/>
          <w:b w:val="0"/>
        </w:rPr>
      </w:pPr>
      <w:bookmarkStart w:id="26" w:name="_Toc15396607"/>
      <w:bookmarkStart w:id="27" w:name="_Toc15377209"/>
      <w:r>
        <w:rPr>
          <w:rFonts w:ascii="SimHei" w:eastAsia="SimHei" w:hAnsi="SimHei" w:hint="eastAsia"/>
          <w:sz w:val="32"/>
          <w:szCs w:val="32"/>
        </w:rPr>
        <w:t>五、</w:t>
      </w:r>
      <w:r>
        <w:rPr>
          <w:rFonts w:ascii="SimHei" w:eastAsia="SimHei" w:hAnsi="SimHei" w:hint="eastAsia"/>
          <w:b/>
          <w:sz w:val="32"/>
          <w:szCs w:val="32"/>
        </w:rPr>
        <w:t>一</w:t>
      </w:r>
      <w:r>
        <w:rPr>
          <w:rStyle w:val="20"/>
          <w:rFonts w:ascii="SimHei" w:eastAsia="SimHei" w:hAnsi="SimHei" w:hint="eastAsia"/>
          <w:b w:val="0"/>
        </w:rPr>
        <w:t>般公共预算财政拨款支出决算情况说明</w:t>
      </w:r>
      <w:bookmarkEnd w:id="26"/>
      <w:bookmarkEnd w:id="27"/>
    </w:p>
    <w:p w14:paraId="3648745E" w14:textId="77777777" w:rsidR="00D03FF8" w:rsidRDefault="00A14F5C">
      <w:pPr>
        <w:spacing w:line="600" w:lineRule="exact"/>
        <w:ind w:firstLineChars="200" w:firstLine="640"/>
        <w:outlineLvl w:val="1"/>
        <w:rPr>
          <w:rFonts w:ascii="仿宋" w:eastAsia="仿宋" w:hAnsi="仿宋"/>
          <w:sz w:val="32"/>
          <w:szCs w:val="32"/>
        </w:rPr>
      </w:pPr>
      <w:bookmarkStart w:id="28" w:name="_Toc15377210"/>
      <w:r>
        <w:rPr>
          <w:rFonts w:ascii="仿宋" w:eastAsia="仿宋" w:hAnsi="仿宋" w:hint="eastAsia"/>
          <w:sz w:val="32"/>
          <w:szCs w:val="32"/>
        </w:rPr>
        <w:t>（一）一般公共预算财政拨款支出决算总体情况</w:t>
      </w:r>
      <w:bookmarkEnd w:id="28"/>
    </w:p>
    <w:p w14:paraId="14A4F86B"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22年一般公共预算财政拨款支出265.94万元，占本年支出合计的100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w:t>
      </w:r>
      <w:proofErr w:type="gramStart"/>
      <w:r>
        <w:rPr>
          <w:rFonts w:ascii="仿宋" w:eastAsia="仿宋" w:hAnsi="仿宋" w:hint="eastAsia"/>
          <w:sz w:val="32"/>
          <w:szCs w:val="32"/>
        </w:rPr>
        <w:t>拨减少</w:t>
      </w:r>
      <w:proofErr w:type="gramEnd"/>
      <w:r>
        <w:rPr>
          <w:rFonts w:ascii="仿宋" w:eastAsia="仿宋" w:hAnsi="仿宋" w:hint="eastAsia"/>
          <w:sz w:val="32"/>
          <w:szCs w:val="32"/>
        </w:rPr>
        <w:t>590.59万元，下降69</w:t>
      </w:r>
      <w:r>
        <w:rPr>
          <w:rFonts w:ascii="仿宋" w:eastAsia="仿宋" w:hAnsi="仿宋"/>
          <w:sz w:val="32"/>
          <w:szCs w:val="32"/>
        </w:rPr>
        <w:t>%</w:t>
      </w:r>
      <w:r>
        <w:rPr>
          <w:rFonts w:ascii="仿宋" w:eastAsia="仿宋" w:hAnsi="仿宋" w:hint="eastAsia"/>
          <w:sz w:val="32"/>
          <w:szCs w:val="32"/>
        </w:rPr>
        <w:t>。主要变动原因是人员减少，部分项目已完工及财政严格控制经费的支出。</w:t>
      </w:r>
    </w:p>
    <w:p w14:paraId="17DAD22D"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（图5：一般公共预算财政拨款支出决算变动情况）（柱状图）</w:t>
      </w:r>
    </w:p>
    <w:p w14:paraId="40BDCFC1" w14:textId="77777777" w:rsidR="00D03FF8" w:rsidRDefault="00A14F5C">
      <w:pPr>
        <w:ind w:firstLineChars="200" w:firstLine="420"/>
        <w:rPr>
          <w:rFonts w:ascii="仿宋" w:eastAsia="仿宋" w:hAnsi="仿宋"/>
          <w:sz w:val="32"/>
          <w:szCs w:val="32"/>
        </w:rPr>
      </w:pPr>
      <w:r>
        <w:rPr>
          <w:noProof/>
        </w:rPr>
        <w:lastRenderedPageBreak/>
        <w:drawing>
          <wp:inline distT="0" distB="0" distL="114300" distR="114300" wp14:anchorId="47EAEABD" wp14:editId="1A3C41FC">
            <wp:extent cx="4590415" cy="2761615"/>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4590415" cy="2761615"/>
                    </a:xfrm>
                    <a:prstGeom prst="rect">
                      <a:avLst/>
                    </a:prstGeom>
                    <a:noFill/>
                    <a:ln>
                      <a:noFill/>
                    </a:ln>
                  </pic:spPr>
                </pic:pic>
              </a:graphicData>
            </a:graphic>
          </wp:inline>
        </w:drawing>
      </w:r>
    </w:p>
    <w:p w14:paraId="4CD7FCEC" w14:textId="77777777" w:rsidR="00D03FF8" w:rsidRDefault="00A14F5C">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14:paraId="150ED376"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2022年一般公共预算财政拨款支出265.94万元，主要用于以下方面:社会保障和就业支出10.88万元，占4%；自然资源海洋气象等支出141万元，占53%；住房保障支出8.59万元，占3%；灾害防治及应急管理支出105.47万元，占,40%。</w:t>
      </w:r>
    </w:p>
    <w:p w14:paraId="74D314A7"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（图6：一般公共预算财政拨款支出决算结构）（饼状图）</w:t>
      </w:r>
    </w:p>
    <w:p w14:paraId="60CC531C" w14:textId="77777777" w:rsidR="00D03FF8" w:rsidRDefault="00A14F5C">
      <w:pPr>
        <w:ind w:firstLineChars="200" w:firstLine="420"/>
        <w:rPr>
          <w:rFonts w:ascii="仿宋" w:eastAsia="仿宋" w:hAnsi="仿宋"/>
          <w:sz w:val="32"/>
          <w:szCs w:val="32"/>
        </w:rPr>
      </w:pPr>
      <w:r>
        <w:rPr>
          <w:noProof/>
        </w:rPr>
        <w:drawing>
          <wp:inline distT="0" distB="0" distL="114300" distR="114300" wp14:anchorId="14BC148D" wp14:editId="0E6D1AF3">
            <wp:extent cx="5273675" cy="3629660"/>
            <wp:effectExtent l="0" t="0" r="317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5273675" cy="3629660"/>
                    </a:xfrm>
                    <a:prstGeom prst="rect">
                      <a:avLst/>
                    </a:prstGeom>
                    <a:noFill/>
                    <a:ln>
                      <a:noFill/>
                    </a:ln>
                  </pic:spPr>
                </pic:pic>
              </a:graphicData>
            </a:graphic>
          </wp:inline>
        </w:drawing>
      </w:r>
    </w:p>
    <w:p w14:paraId="199D5089" w14:textId="77777777" w:rsidR="00D03FF8" w:rsidRDefault="00A14F5C">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lastRenderedPageBreak/>
        <w:t>（三）一般公共预算财政拨款支出决算具体情况</w:t>
      </w:r>
      <w:bookmarkEnd w:id="30"/>
    </w:p>
    <w:p w14:paraId="432758CF" w14:textId="77777777" w:rsidR="00D03FF8" w:rsidRDefault="00A14F5C">
      <w:pPr>
        <w:spacing w:line="600" w:lineRule="exact"/>
        <w:ind w:firstLineChars="200" w:firstLine="643"/>
        <w:outlineLvl w:val="2"/>
        <w:rPr>
          <w:rStyle w:val="ab"/>
          <w:rFonts w:ascii="仿宋" w:eastAsia="仿宋" w:hAnsi="仿宋"/>
          <w:bCs/>
          <w:sz w:val="32"/>
          <w:szCs w:val="32"/>
        </w:rPr>
      </w:pPr>
      <w:bookmarkStart w:id="31" w:name="_Toc15377444"/>
      <w:bookmarkStart w:id="32" w:name="_Toc15378460"/>
      <w:bookmarkStart w:id="33" w:name="_Toc15377213"/>
      <w:r>
        <w:rPr>
          <w:rFonts w:ascii="仿宋" w:eastAsia="仿宋" w:hAnsi="仿宋" w:hint="eastAsia"/>
          <w:b/>
          <w:sz w:val="32"/>
          <w:szCs w:val="32"/>
        </w:rPr>
        <w:t>2022年一般公共预算支出决算数为</w:t>
      </w:r>
      <w:r>
        <w:rPr>
          <w:rFonts w:ascii="仿宋" w:eastAsia="仿宋" w:hAnsi="仿宋" w:hint="eastAsia"/>
          <w:sz w:val="32"/>
          <w:szCs w:val="32"/>
        </w:rPr>
        <w:t>265.94万元，</w:t>
      </w:r>
      <w:r>
        <w:rPr>
          <w:rStyle w:val="ab"/>
          <w:rFonts w:ascii="仿宋" w:eastAsia="仿宋" w:hAnsi="仿宋" w:hint="eastAsia"/>
          <w:bCs/>
          <w:sz w:val="32"/>
          <w:szCs w:val="32"/>
        </w:rPr>
        <w:t>完成预算100</w:t>
      </w:r>
      <w:r>
        <w:rPr>
          <w:rStyle w:val="ab"/>
          <w:rFonts w:ascii="仿宋" w:eastAsia="仿宋" w:hAnsi="仿宋"/>
          <w:bCs/>
          <w:sz w:val="32"/>
          <w:szCs w:val="32"/>
        </w:rPr>
        <w:t>%</w:t>
      </w:r>
      <w:r>
        <w:rPr>
          <w:rStyle w:val="ab"/>
          <w:rFonts w:ascii="仿宋" w:eastAsia="仿宋" w:hAnsi="仿宋" w:hint="eastAsia"/>
          <w:bCs/>
          <w:sz w:val="32"/>
          <w:szCs w:val="32"/>
        </w:rPr>
        <w:t>。其中：</w:t>
      </w:r>
      <w:bookmarkEnd w:id="31"/>
      <w:bookmarkEnd w:id="32"/>
      <w:bookmarkEnd w:id="33"/>
    </w:p>
    <w:p w14:paraId="5786CA26"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sz w:val="32"/>
          <w:szCs w:val="32"/>
        </w:rPr>
        <w:t>1.社会保障和就业支出（类）行政事业单位养老支出（款）行政单位离退休（项）:支出决算为</w:t>
      </w:r>
      <w:r>
        <w:rPr>
          <w:rFonts w:ascii="仿宋" w:eastAsia="仿宋" w:hAnsi="仿宋" w:hint="eastAsia"/>
          <w:sz w:val="32"/>
          <w:szCs w:val="32"/>
        </w:rPr>
        <w:t>3.17</w:t>
      </w:r>
      <w:r>
        <w:rPr>
          <w:rFonts w:ascii="仿宋" w:eastAsia="仿宋" w:hAnsi="仿宋"/>
          <w:sz w:val="32"/>
          <w:szCs w:val="32"/>
        </w:rPr>
        <w:t>万元，完成预算100%，决算数等于预算数。</w:t>
      </w:r>
    </w:p>
    <w:p w14:paraId="6906028C"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.社会保障和就业支出（类）行政事业单位养老支出（款）机关事业单位基本养老保险缴费支出（项）,支出决算为</w:t>
      </w:r>
      <w:r>
        <w:rPr>
          <w:rFonts w:ascii="仿宋" w:eastAsia="仿宋" w:hAnsi="仿宋" w:hint="eastAsia"/>
          <w:sz w:val="32"/>
          <w:szCs w:val="32"/>
        </w:rPr>
        <w:t>7.71</w:t>
      </w:r>
      <w:r>
        <w:rPr>
          <w:rFonts w:ascii="仿宋" w:eastAsia="仿宋" w:hAnsi="仿宋"/>
          <w:sz w:val="32"/>
          <w:szCs w:val="32"/>
        </w:rPr>
        <w:t>万元，完成预算100%，决算数等于预算数。</w:t>
      </w:r>
    </w:p>
    <w:p w14:paraId="269CA089"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.自然资源海洋气象等支出（类）自然资源事务（款）行政运行（项）:支出决算为</w:t>
      </w:r>
      <w:r>
        <w:rPr>
          <w:rFonts w:ascii="仿宋" w:eastAsia="仿宋" w:hAnsi="仿宋" w:hint="eastAsia"/>
          <w:sz w:val="32"/>
          <w:szCs w:val="32"/>
        </w:rPr>
        <w:t>32.44</w:t>
      </w:r>
      <w:r>
        <w:rPr>
          <w:rFonts w:ascii="仿宋" w:eastAsia="仿宋" w:hAnsi="仿宋"/>
          <w:sz w:val="32"/>
          <w:szCs w:val="32"/>
        </w:rPr>
        <w:t>万元，完成预算100%，决算数等于预算数。</w:t>
      </w:r>
    </w:p>
    <w:p w14:paraId="61C75BEB"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.自然资源海洋气象等支出（类）自然资源事务（款）自然资源利用与保护（项）:支出决算为</w:t>
      </w:r>
      <w:r>
        <w:rPr>
          <w:rFonts w:ascii="仿宋" w:eastAsia="仿宋" w:hAnsi="仿宋" w:hint="eastAsia"/>
          <w:sz w:val="32"/>
          <w:szCs w:val="32"/>
        </w:rPr>
        <w:t>50</w:t>
      </w:r>
      <w:r>
        <w:rPr>
          <w:rFonts w:ascii="仿宋" w:eastAsia="仿宋" w:hAnsi="仿宋"/>
          <w:sz w:val="32"/>
          <w:szCs w:val="32"/>
        </w:rPr>
        <w:t>万元，完成预算100%，决算数等于预算数。</w:t>
      </w:r>
    </w:p>
    <w:p w14:paraId="381E3065"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.自然资源海洋气象等支出（类）自然资源事务（款）事业运行（项）:支出决算为</w:t>
      </w:r>
      <w:r>
        <w:rPr>
          <w:rFonts w:ascii="仿宋" w:eastAsia="仿宋" w:hAnsi="仿宋" w:hint="eastAsia"/>
          <w:sz w:val="32"/>
          <w:szCs w:val="32"/>
        </w:rPr>
        <w:t>58.56</w:t>
      </w:r>
      <w:r>
        <w:rPr>
          <w:rFonts w:ascii="仿宋" w:eastAsia="仿宋" w:hAnsi="仿宋"/>
          <w:sz w:val="32"/>
          <w:szCs w:val="32"/>
        </w:rPr>
        <w:t>万元，完成预算100%，决算数等于预算数。</w:t>
      </w:r>
    </w:p>
    <w:p w14:paraId="79336D5A"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.住房保障支出（类）住房改革支出（款）住房公积金（项）:支出决算为</w:t>
      </w:r>
      <w:r>
        <w:rPr>
          <w:rFonts w:ascii="仿宋" w:eastAsia="仿宋" w:hAnsi="仿宋" w:hint="eastAsia"/>
          <w:sz w:val="32"/>
          <w:szCs w:val="32"/>
        </w:rPr>
        <w:t>8.59</w:t>
      </w:r>
      <w:r>
        <w:rPr>
          <w:rFonts w:ascii="仿宋" w:eastAsia="仿宋" w:hAnsi="仿宋"/>
          <w:sz w:val="32"/>
          <w:szCs w:val="32"/>
        </w:rPr>
        <w:t>万元，完成预算100%，决算数等于预算数。</w:t>
      </w:r>
    </w:p>
    <w:p w14:paraId="44F70DA8" w14:textId="77777777" w:rsidR="00D03FF8" w:rsidRDefault="00A14F5C">
      <w:pPr>
        <w:spacing w:line="600" w:lineRule="exact"/>
        <w:ind w:firstLineChars="200" w:firstLine="640"/>
        <w:outlineLvl w:val="1"/>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.灾害防治及应急管理支出（类）自然灾害防治（款）地质灾害防治（项）:支出决算为</w:t>
      </w:r>
      <w:r>
        <w:rPr>
          <w:rFonts w:ascii="仿宋" w:eastAsia="仿宋" w:hAnsi="仿宋" w:hint="eastAsia"/>
          <w:sz w:val="32"/>
          <w:szCs w:val="32"/>
        </w:rPr>
        <w:t>105.47</w:t>
      </w:r>
      <w:r>
        <w:rPr>
          <w:rFonts w:ascii="仿宋" w:eastAsia="仿宋" w:hAnsi="仿宋"/>
          <w:sz w:val="32"/>
          <w:szCs w:val="32"/>
        </w:rPr>
        <w:t>万元，完成预算100%，</w:t>
      </w:r>
      <w:r>
        <w:rPr>
          <w:rFonts w:ascii="仿宋" w:eastAsia="仿宋" w:hAnsi="仿宋"/>
          <w:sz w:val="32"/>
          <w:szCs w:val="32"/>
        </w:rPr>
        <w:lastRenderedPageBreak/>
        <w:t>决算数等于预算数。</w:t>
      </w:r>
    </w:p>
    <w:p w14:paraId="54D3B887" w14:textId="77777777" w:rsidR="00D03FF8" w:rsidRDefault="00A14F5C">
      <w:pPr>
        <w:tabs>
          <w:tab w:val="right" w:pos="8306"/>
        </w:tabs>
        <w:spacing w:line="600" w:lineRule="exact"/>
        <w:ind w:firstLine="640"/>
        <w:outlineLvl w:val="1"/>
        <w:rPr>
          <w:rStyle w:val="20"/>
        </w:rPr>
      </w:pPr>
      <w:bookmarkStart w:id="34" w:name="_Toc15396608"/>
      <w:bookmarkStart w:id="35" w:name="_Toc15377214"/>
      <w:r>
        <w:rPr>
          <w:rFonts w:ascii="SimHei" w:eastAsia="SimHei" w:hint="eastAsia"/>
          <w:sz w:val="32"/>
          <w:szCs w:val="32"/>
        </w:rPr>
        <w:t>六</w:t>
      </w:r>
      <w:r>
        <w:rPr>
          <w:rFonts w:ascii="SimHei" w:eastAsia="SimHei" w:hint="eastAsia"/>
          <w:b/>
          <w:sz w:val="32"/>
          <w:szCs w:val="32"/>
        </w:rPr>
        <w:t>、</w:t>
      </w:r>
      <w:r>
        <w:rPr>
          <w:rFonts w:ascii="SimHei" w:eastAsia="SimHei" w:hAnsi="SimHei" w:hint="eastAsia"/>
          <w:b/>
          <w:sz w:val="32"/>
          <w:szCs w:val="32"/>
        </w:rPr>
        <w:t>一</w:t>
      </w:r>
      <w:r>
        <w:rPr>
          <w:rStyle w:val="20"/>
          <w:rFonts w:ascii="SimHei" w:eastAsia="SimHei" w:hAnsi="SimHei" w:hint="eastAsia"/>
          <w:b w:val="0"/>
        </w:rPr>
        <w:t>般公共预算财政拨款基本支出决算情况说明</w:t>
      </w:r>
      <w:bookmarkEnd w:id="34"/>
      <w:bookmarkEnd w:id="35"/>
      <w:r>
        <w:rPr>
          <w:rStyle w:val="20"/>
          <w:rFonts w:ascii="SimHei" w:eastAsia="SimHei" w:hAnsi="SimHei"/>
          <w:b w:val="0"/>
        </w:rPr>
        <w:tab/>
      </w:r>
    </w:p>
    <w:p w14:paraId="595AEC5B" w14:textId="77777777" w:rsidR="00D03FF8" w:rsidRDefault="00A14F5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22年一般公共预算财政拨款基本支出110.47万元，其中：</w:t>
      </w:r>
    </w:p>
    <w:p w14:paraId="102A4CAF" w14:textId="77777777" w:rsidR="00D03FF8" w:rsidRDefault="00A14F5C">
      <w:pPr>
        <w:spacing w:line="600" w:lineRule="exact"/>
        <w:ind w:firstLineChars="200" w:firstLine="640"/>
        <w:rPr>
          <w:rFonts w:ascii="仿宋" w:eastAsia="仿宋" w:hAnsi="仿宋"/>
          <w:sz w:val="32"/>
          <w:szCs w:val="32"/>
        </w:rPr>
      </w:pPr>
      <w:r>
        <w:rPr>
          <w:rFonts w:ascii="仿宋" w:eastAsia="仿宋" w:hAnsi="仿宋" w:hint="eastAsia"/>
          <w:sz w:val="32"/>
          <w:szCs w:val="32"/>
        </w:rPr>
        <w:t>人员经费100.67万元，主要包括：基本工资、津贴补贴、奖金、绩效工资、机关事业单位基本养老保险缴费其他社会保障缴费、其他工资福利支出、退休费、生活补助、医疗费补助、住房公积金、其他对个人和家庭的补助支出等。</w:t>
      </w:r>
    </w:p>
    <w:p w14:paraId="41CC7F16" w14:textId="77777777" w:rsidR="00D03FF8" w:rsidRDefault="00A14F5C">
      <w:pPr>
        <w:spacing w:line="600" w:lineRule="exact"/>
        <w:ind w:firstLineChars="200" w:firstLine="640"/>
        <w:rPr>
          <w:rFonts w:ascii="仿宋" w:eastAsia="仿宋" w:hAnsi="仿宋"/>
          <w:sz w:val="32"/>
          <w:szCs w:val="32"/>
        </w:rPr>
      </w:pPr>
      <w:r>
        <w:rPr>
          <w:rFonts w:ascii="仿宋" w:eastAsia="仿宋" w:hAnsi="仿宋" w:hint="eastAsia"/>
          <w:sz w:val="32"/>
          <w:szCs w:val="32"/>
        </w:rPr>
        <w:t>公用经费9.8万元，主要包括：办公费、水费、电费、邮电费、差旅费、工会经费、公务用车运行维护费、其他交通费、其他商品和服务支出。</w:t>
      </w:r>
    </w:p>
    <w:p w14:paraId="5D343A98" w14:textId="77777777" w:rsidR="00D03FF8" w:rsidRDefault="00A14F5C">
      <w:pPr>
        <w:spacing w:line="600" w:lineRule="exact"/>
        <w:ind w:firstLine="640"/>
        <w:outlineLvl w:val="1"/>
        <w:rPr>
          <w:rStyle w:val="20"/>
          <w:rFonts w:ascii="SimHei" w:eastAsia="SimHei" w:hAnsi="SimHei"/>
          <w:b w:val="0"/>
        </w:rPr>
      </w:pPr>
      <w:bookmarkStart w:id="36" w:name="_Toc15396609"/>
      <w:bookmarkStart w:id="37" w:name="_Toc15377215"/>
      <w:r>
        <w:rPr>
          <w:rFonts w:ascii="SimHei" w:eastAsia="SimHei" w:hint="eastAsia"/>
          <w:sz w:val="32"/>
          <w:szCs w:val="32"/>
        </w:rPr>
        <w:t>七、</w:t>
      </w:r>
      <w:r>
        <w:rPr>
          <w:rStyle w:val="20"/>
          <w:rFonts w:ascii="SimHei" w:eastAsia="SimHei" w:hAnsi="SimHei" w:hint="eastAsia"/>
          <w:b w:val="0"/>
        </w:rPr>
        <w:t>财政拨款</w:t>
      </w:r>
      <w:r>
        <w:rPr>
          <w:rStyle w:val="20"/>
          <w:rFonts w:ascii="SimHei" w:eastAsia="SimHei" w:hAnsi="SimHei" w:hint="eastAsia"/>
        </w:rPr>
        <w:t>“</w:t>
      </w:r>
      <w:r>
        <w:rPr>
          <w:rStyle w:val="20"/>
          <w:rFonts w:ascii="SimHei" w:eastAsia="SimHei" w:hAnsi="SimHei" w:hint="eastAsia"/>
          <w:b w:val="0"/>
        </w:rPr>
        <w:t>三公”经费支出决算情况说明</w:t>
      </w:r>
      <w:bookmarkEnd w:id="36"/>
      <w:bookmarkEnd w:id="37"/>
    </w:p>
    <w:p w14:paraId="37B8BDA0" w14:textId="77777777" w:rsidR="00D03FF8" w:rsidRDefault="00A14F5C">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14:paraId="454F65E3" w14:textId="77777777" w:rsidR="00D03FF8" w:rsidRDefault="00A14F5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22年“三公”经费财政拨款支出决算为2.03万元，完成预算100</w:t>
      </w:r>
      <w:r>
        <w:rPr>
          <w:rFonts w:ascii="仿宋" w:eastAsia="仿宋" w:hAnsi="仿宋"/>
          <w:sz w:val="32"/>
          <w:szCs w:val="32"/>
        </w:rPr>
        <w:t>%</w:t>
      </w:r>
      <w:r>
        <w:rPr>
          <w:rFonts w:ascii="仿宋" w:eastAsia="仿宋" w:hAnsi="仿宋" w:hint="eastAsia"/>
          <w:sz w:val="32"/>
          <w:szCs w:val="32"/>
        </w:rPr>
        <w:t>，较上年减少0.59万元，下降22%。决算数与预算数持平，下降的主要原因是</w:t>
      </w:r>
      <w:r>
        <w:rPr>
          <w:rFonts w:eastAsia="仿宋_GB2312"/>
          <w:sz w:val="32"/>
          <w:szCs w:val="32"/>
        </w:rPr>
        <w:t>严格控制三公经费</w:t>
      </w:r>
      <w:r>
        <w:rPr>
          <w:rFonts w:ascii="仿宋" w:eastAsia="仿宋" w:hAnsi="仿宋" w:hint="eastAsia"/>
          <w:sz w:val="32"/>
          <w:szCs w:val="32"/>
        </w:rPr>
        <w:t>。</w:t>
      </w:r>
    </w:p>
    <w:p w14:paraId="1204893D" w14:textId="77777777" w:rsidR="00D03FF8" w:rsidRDefault="00A14F5C">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14:paraId="53119F7B" w14:textId="77777777" w:rsidR="00D03FF8" w:rsidRDefault="00A14F5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；公务用车购置及运行维护费支出决算2.03万元，占100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14:paraId="662025F8" w14:textId="77777777" w:rsidR="00D03FF8" w:rsidRDefault="00A14F5C">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14:paraId="7A5D97B2" w14:textId="77777777" w:rsidR="00D03FF8" w:rsidRDefault="00A14F5C" w:rsidP="00062009">
      <w:pPr>
        <w:pStyle w:val="a0"/>
        <w:spacing w:before="93"/>
      </w:pPr>
      <w:r>
        <w:rPr>
          <w:noProof/>
        </w:rPr>
        <w:lastRenderedPageBreak/>
        <w:drawing>
          <wp:inline distT="0" distB="0" distL="114300" distR="114300" wp14:anchorId="0AAF98D3" wp14:editId="0D868124">
            <wp:extent cx="4602480" cy="2767330"/>
            <wp:effectExtent l="0" t="0" r="762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4602480" cy="2767330"/>
                    </a:xfrm>
                    <a:prstGeom prst="rect">
                      <a:avLst/>
                    </a:prstGeom>
                    <a:noFill/>
                    <a:ln>
                      <a:noFill/>
                    </a:ln>
                  </pic:spPr>
                </pic:pic>
              </a:graphicData>
            </a:graphic>
          </wp:inline>
        </w:drawing>
      </w:r>
    </w:p>
    <w:p w14:paraId="73918A7C" w14:textId="77777777" w:rsidR="00D03FF8" w:rsidRDefault="00A14F5C">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b"/>
          <w:rFonts w:ascii="仿宋" w:eastAsia="仿宋" w:hAnsi="仿宋" w:hint="eastAsia"/>
          <w:b w:val="0"/>
          <w:bCs/>
          <w:sz w:val="32"/>
          <w:szCs w:val="32"/>
        </w:rPr>
        <w:t>完成预算0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21年增加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p>
    <w:p w14:paraId="317ABCF2" w14:textId="77777777" w:rsidR="00D03FF8" w:rsidRDefault="00A14F5C">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2.03万元,</w:t>
      </w:r>
      <w:r>
        <w:rPr>
          <w:rStyle w:val="ab"/>
          <w:rFonts w:ascii="仿宋" w:eastAsia="仿宋" w:hAnsi="仿宋" w:hint="eastAsia"/>
          <w:b w:val="0"/>
          <w:bCs/>
          <w:sz w:val="32"/>
          <w:szCs w:val="32"/>
        </w:rPr>
        <w:t>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21年减少0.59万元，下降22</w:t>
      </w:r>
      <w:r>
        <w:rPr>
          <w:rFonts w:ascii="仿宋_GB2312" w:eastAsia="仿宋_GB2312"/>
          <w:sz w:val="32"/>
          <w:szCs w:val="32"/>
        </w:rPr>
        <w:t>%</w:t>
      </w:r>
      <w:r>
        <w:rPr>
          <w:rFonts w:ascii="仿宋_GB2312" w:eastAsia="仿宋_GB2312" w:hint="eastAsia"/>
          <w:sz w:val="32"/>
          <w:szCs w:val="32"/>
        </w:rPr>
        <w:t>。主要原因是</w:t>
      </w:r>
      <w:r>
        <w:rPr>
          <w:rFonts w:eastAsia="仿宋_GB2312"/>
          <w:sz w:val="32"/>
          <w:szCs w:val="32"/>
        </w:rPr>
        <w:t>压缩和严格控制三公经费</w:t>
      </w:r>
      <w:r>
        <w:rPr>
          <w:rFonts w:ascii="仿宋_GB2312" w:eastAsia="仿宋_GB2312" w:hint="eastAsia"/>
          <w:sz w:val="32"/>
          <w:szCs w:val="32"/>
        </w:rPr>
        <w:t>。</w:t>
      </w:r>
    </w:p>
    <w:p w14:paraId="4CAF5A2B" w14:textId="77777777" w:rsidR="00D03FF8" w:rsidRDefault="00A14F5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w:t>
      </w:r>
      <w:r w:rsidR="00070ADD">
        <w:rPr>
          <w:rFonts w:ascii="仿宋_GB2312" w:eastAsia="仿宋_GB2312" w:hint="eastAsia"/>
          <w:sz w:val="32"/>
          <w:szCs w:val="32"/>
        </w:rPr>
        <w:t>0</w:t>
      </w:r>
      <w:r>
        <w:rPr>
          <w:rFonts w:ascii="仿宋_GB2312" w:eastAsia="仿宋_GB2312" w:hint="eastAsia"/>
          <w:sz w:val="32"/>
          <w:szCs w:val="32"/>
        </w:rPr>
        <w:t>辆、金额0万元，载客汽车0辆、金额0万元。截至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月底，单位共有公务用车1辆，其中：轿车0辆、越野车1辆、载客汽车0辆。</w:t>
      </w:r>
    </w:p>
    <w:p w14:paraId="7E22FDAE" w14:textId="77777777" w:rsidR="00D03FF8" w:rsidRDefault="00A14F5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2.03万元。主要用于</w:t>
      </w:r>
      <w:r>
        <w:rPr>
          <w:rFonts w:eastAsia="仿宋_GB2312"/>
          <w:color w:val="000000"/>
          <w:sz w:val="32"/>
          <w:szCs w:val="32"/>
        </w:rPr>
        <w:t>地灾巡查、耕地保护、土地开发利用现场勘察、土地执法巡查</w:t>
      </w:r>
      <w:r>
        <w:rPr>
          <w:rFonts w:ascii="仿宋_GB2312" w:eastAsia="仿宋_GB2312" w:hint="eastAsia"/>
          <w:sz w:val="32"/>
          <w:szCs w:val="32"/>
        </w:rPr>
        <w:t>等所需的公务用车燃料费、维修费、过路过桥费、保险费等支出。</w:t>
      </w:r>
    </w:p>
    <w:p w14:paraId="1F6B0927" w14:textId="77777777" w:rsidR="00D03FF8" w:rsidRDefault="00A14F5C">
      <w:pPr>
        <w:spacing w:line="600" w:lineRule="exact"/>
        <w:ind w:firstLineChars="200" w:firstLine="643"/>
        <w:rPr>
          <w:rFonts w:ascii="仿宋_GB2312" w:eastAsia="仿宋_GB2312"/>
          <w:sz w:val="32"/>
          <w:szCs w:val="32"/>
        </w:rPr>
      </w:pPr>
      <w:r>
        <w:rPr>
          <w:rFonts w:ascii="仿宋_GB2312" w:eastAsia="仿宋_GB2312" w:hint="eastAsia"/>
          <w:b/>
          <w:sz w:val="32"/>
          <w:szCs w:val="32"/>
        </w:rPr>
        <w:t>3.公务接待费支出</w:t>
      </w:r>
      <w:r>
        <w:rPr>
          <w:rFonts w:ascii="仿宋_GB2312" w:eastAsia="仿宋_GB2312" w:hint="eastAsia"/>
          <w:sz w:val="32"/>
          <w:szCs w:val="32"/>
        </w:rPr>
        <w:t>0万元，</w:t>
      </w:r>
      <w:r>
        <w:rPr>
          <w:rStyle w:val="ab"/>
          <w:rFonts w:ascii="仿宋" w:eastAsia="仿宋" w:hAnsi="仿宋" w:hint="eastAsia"/>
          <w:b w:val="0"/>
          <w:bCs/>
          <w:sz w:val="32"/>
          <w:szCs w:val="32"/>
        </w:rPr>
        <w:t>完成预算0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公务接待费支</w:t>
      </w:r>
      <w:r>
        <w:rPr>
          <w:rFonts w:ascii="仿宋_GB2312" w:eastAsia="仿宋_GB2312" w:hint="eastAsia"/>
          <w:sz w:val="32"/>
          <w:szCs w:val="32"/>
        </w:rPr>
        <w:lastRenderedPageBreak/>
        <w:t>出决算比</w:t>
      </w:r>
      <w:r>
        <w:rPr>
          <w:rFonts w:ascii="仿宋_GB2312" w:eastAsia="仿宋_GB2312"/>
          <w:sz w:val="32"/>
          <w:szCs w:val="32"/>
        </w:rPr>
        <w:t>20</w:t>
      </w:r>
      <w:r>
        <w:rPr>
          <w:rFonts w:ascii="仿宋_GB2312" w:eastAsia="仿宋_GB2312" w:hint="eastAsia"/>
          <w:sz w:val="32"/>
          <w:szCs w:val="32"/>
        </w:rPr>
        <w:t>21年减少0.22万元，下降100</w:t>
      </w:r>
      <w:r>
        <w:rPr>
          <w:rFonts w:ascii="仿宋_GB2312" w:eastAsia="仿宋_GB2312"/>
          <w:sz w:val="32"/>
          <w:szCs w:val="32"/>
        </w:rPr>
        <w:t>%</w:t>
      </w:r>
      <w:r>
        <w:rPr>
          <w:rFonts w:ascii="仿宋_GB2312" w:eastAsia="仿宋_GB2312" w:hint="eastAsia"/>
          <w:sz w:val="32"/>
          <w:szCs w:val="32"/>
        </w:rPr>
        <w:t>。主要原因是</w:t>
      </w:r>
      <w:r>
        <w:rPr>
          <w:rFonts w:eastAsia="仿宋_GB2312"/>
          <w:sz w:val="32"/>
          <w:szCs w:val="32"/>
        </w:rPr>
        <w:t>压缩和严格控制三公经费</w:t>
      </w:r>
      <w:r>
        <w:rPr>
          <w:rFonts w:ascii="仿宋_GB2312" w:eastAsia="仿宋_GB2312" w:hint="eastAsia"/>
          <w:sz w:val="32"/>
          <w:szCs w:val="32"/>
        </w:rPr>
        <w:t>。</w:t>
      </w:r>
    </w:p>
    <w:p w14:paraId="684AEA44" w14:textId="77777777" w:rsidR="00D03FF8" w:rsidRDefault="00A14F5C" w:rsidP="008D21B8">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p>
    <w:p w14:paraId="1D0A2F63" w14:textId="77777777" w:rsidR="00D03FF8" w:rsidRDefault="00A14F5C">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p>
    <w:p w14:paraId="2AC8A608" w14:textId="77777777" w:rsidR="00D03FF8" w:rsidRDefault="00A14F5C">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万元，外事接待0批次，0人次（不包括陪同人员），共计支出0万元。</w:t>
      </w:r>
    </w:p>
    <w:p w14:paraId="6E965C2B" w14:textId="77777777" w:rsidR="00D03FF8" w:rsidRDefault="00A14F5C">
      <w:pPr>
        <w:spacing w:line="600" w:lineRule="exact"/>
        <w:ind w:firstLine="640"/>
        <w:outlineLvl w:val="1"/>
        <w:rPr>
          <w:rStyle w:val="20"/>
          <w:rFonts w:ascii="SimHei" w:eastAsia="SimHei" w:hAnsi="SimHei"/>
        </w:rPr>
      </w:pPr>
      <w:bookmarkStart w:id="40" w:name="_Toc15396610"/>
      <w:bookmarkStart w:id="41" w:name="_Toc15377218"/>
      <w:r>
        <w:rPr>
          <w:rFonts w:ascii="SimHei" w:eastAsia="SimHei" w:hint="eastAsia"/>
          <w:sz w:val="32"/>
          <w:szCs w:val="32"/>
        </w:rPr>
        <w:t>八、</w:t>
      </w:r>
      <w:r>
        <w:rPr>
          <w:rStyle w:val="20"/>
          <w:rFonts w:ascii="SimHei" w:eastAsia="SimHei" w:hAnsi="SimHei" w:hint="eastAsia"/>
          <w:b w:val="0"/>
        </w:rPr>
        <w:t>政府性基金预算支出决算情况说明</w:t>
      </w:r>
      <w:bookmarkEnd w:id="40"/>
      <w:bookmarkEnd w:id="41"/>
    </w:p>
    <w:p w14:paraId="195AC09B" w14:textId="77777777" w:rsidR="00D03FF8" w:rsidRDefault="00A14F5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22年政府性基金预算财政拨款支出0万元。</w:t>
      </w:r>
    </w:p>
    <w:p w14:paraId="499BABD6" w14:textId="77777777" w:rsidR="00D03FF8" w:rsidRDefault="00A14F5C">
      <w:pPr>
        <w:numPr>
          <w:ilvl w:val="0"/>
          <w:numId w:val="3"/>
        </w:numPr>
        <w:spacing w:line="600" w:lineRule="exact"/>
        <w:ind w:firstLine="640"/>
        <w:outlineLvl w:val="1"/>
        <w:rPr>
          <w:rStyle w:val="20"/>
          <w:rFonts w:ascii="SimHei" w:eastAsia="SimHei" w:hAnsi="SimHei"/>
          <w:b w:val="0"/>
        </w:rPr>
      </w:pPr>
      <w:bookmarkStart w:id="42" w:name="_Toc15396611"/>
      <w:bookmarkStart w:id="43" w:name="_Toc15377219"/>
      <w:r>
        <w:rPr>
          <w:rStyle w:val="20"/>
          <w:rFonts w:ascii="SimHei" w:eastAsia="SimHei" w:hAnsi="SimHei" w:hint="eastAsia"/>
          <w:b w:val="0"/>
        </w:rPr>
        <w:t>国有资本经营预算支出决算情况说明</w:t>
      </w:r>
      <w:bookmarkEnd w:id="42"/>
      <w:bookmarkEnd w:id="43"/>
    </w:p>
    <w:p w14:paraId="741C0D0D" w14:textId="77777777" w:rsidR="00D03FF8" w:rsidRDefault="00A14F5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22年国有资本经营预算财政拨款支出0万元。</w:t>
      </w:r>
    </w:p>
    <w:p w14:paraId="732DA388" w14:textId="77777777" w:rsidR="00D03FF8" w:rsidRDefault="00A14F5C">
      <w:pPr>
        <w:numPr>
          <w:ilvl w:val="0"/>
          <w:numId w:val="3"/>
        </w:numPr>
        <w:spacing w:line="600" w:lineRule="exact"/>
        <w:ind w:firstLine="640"/>
        <w:outlineLvl w:val="1"/>
        <w:rPr>
          <w:rStyle w:val="20"/>
          <w:rFonts w:ascii="SimHei" w:eastAsia="SimHei" w:hAnsi="SimHei"/>
          <w:b w:val="0"/>
        </w:rPr>
      </w:pPr>
      <w:bookmarkStart w:id="44" w:name="_Toc15396612"/>
      <w:bookmarkStart w:id="45" w:name="_Toc15377221"/>
      <w:r>
        <w:rPr>
          <w:rStyle w:val="20"/>
          <w:rFonts w:ascii="SimHei" w:eastAsia="SimHei" w:hAnsi="SimHei" w:hint="eastAsia"/>
          <w:b w:val="0"/>
        </w:rPr>
        <w:t>其他重要事项的情况说明</w:t>
      </w:r>
      <w:bookmarkEnd w:id="44"/>
      <w:bookmarkEnd w:id="45"/>
    </w:p>
    <w:p w14:paraId="38E78354" w14:textId="77777777" w:rsidR="00D03FF8" w:rsidRDefault="00A14F5C">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14:paraId="24A60F26" w14:textId="4A78D1C5" w:rsidR="00D03FF8" w:rsidRDefault="00A14F5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Pr>
          <w:rFonts w:eastAsia="仿宋_GB2312"/>
          <w:sz w:val="32"/>
          <w:szCs w:val="32"/>
        </w:rPr>
        <w:t>攀枝花市自然资源和规划局西区分局</w:t>
      </w:r>
      <w:r>
        <w:rPr>
          <w:rFonts w:ascii="仿宋_GB2312" w:eastAsia="仿宋_GB2312" w:hint="eastAsia"/>
          <w:sz w:val="32"/>
          <w:szCs w:val="32"/>
        </w:rPr>
        <w:t>机关运行经费支出9.8万元，比</w:t>
      </w:r>
      <w:r>
        <w:rPr>
          <w:rFonts w:ascii="仿宋_GB2312" w:eastAsia="仿宋_GB2312"/>
          <w:sz w:val="32"/>
          <w:szCs w:val="32"/>
        </w:rPr>
        <w:t>20</w:t>
      </w:r>
      <w:r>
        <w:rPr>
          <w:rFonts w:ascii="仿宋_GB2312" w:eastAsia="仿宋_GB2312" w:hint="eastAsia"/>
          <w:sz w:val="32"/>
          <w:szCs w:val="32"/>
        </w:rPr>
        <w:t>21年减少3.7万元，下降27</w:t>
      </w:r>
      <w:r>
        <w:rPr>
          <w:rFonts w:ascii="仿宋_GB2312" w:eastAsia="仿宋_GB2312"/>
          <w:sz w:val="32"/>
          <w:szCs w:val="32"/>
        </w:rPr>
        <w:t>%</w:t>
      </w:r>
      <w:r>
        <w:rPr>
          <w:rFonts w:ascii="仿宋_GB2312" w:eastAsia="仿宋_GB2312" w:hint="eastAsia"/>
          <w:sz w:val="32"/>
          <w:szCs w:val="32"/>
        </w:rPr>
        <w:t>，主要原因</w:t>
      </w:r>
      <w:r>
        <w:rPr>
          <w:rFonts w:eastAsia="仿宋_GB2312"/>
          <w:sz w:val="32"/>
          <w:szCs w:val="32"/>
        </w:rPr>
        <w:t>是压减控制公用经费的使用</w:t>
      </w:r>
    </w:p>
    <w:p w14:paraId="119FF249" w14:textId="77777777" w:rsidR="00D03FF8" w:rsidRDefault="00A14F5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14:paraId="401E86F4" w14:textId="77777777" w:rsidR="00D03FF8" w:rsidRDefault="00A14F5C">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Pr>
          <w:rFonts w:eastAsia="仿宋_GB2312"/>
          <w:sz w:val="32"/>
          <w:szCs w:val="32"/>
        </w:rPr>
        <w:t>攀枝花市自然资源和规划局西区分局</w:t>
      </w:r>
      <w:r>
        <w:rPr>
          <w:rFonts w:ascii="仿宋_GB2312" w:eastAsia="仿宋_GB2312" w:hint="eastAsia"/>
          <w:sz w:val="32"/>
          <w:szCs w:val="32"/>
        </w:rPr>
        <w:t>政府采购支出总额0万元，其中：政府采购货物支出</w:t>
      </w:r>
      <w:r w:rsidR="00AB4ACB">
        <w:rPr>
          <w:rFonts w:ascii="仿宋_GB2312" w:eastAsia="仿宋_GB2312" w:hint="eastAsia"/>
          <w:sz w:val="32"/>
          <w:szCs w:val="32"/>
        </w:rPr>
        <w:t>0</w:t>
      </w:r>
      <w:r>
        <w:rPr>
          <w:rFonts w:ascii="仿宋_GB2312" w:eastAsia="仿宋_GB2312" w:hint="eastAsia"/>
          <w:sz w:val="32"/>
          <w:szCs w:val="32"/>
        </w:rPr>
        <w:t>万元、政府采购工程支出0万元、政府采购服务支出0万元。授予中小企业合同金额0万元，占政府采购支出总额的0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14:paraId="6E2C0D76" w14:textId="77777777" w:rsidR="00D03FF8" w:rsidRDefault="00A14F5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14:paraId="2B0D6B5E" w14:textId="77777777" w:rsidR="00D03FF8" w:rsidRDefault="00A14F5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eastAsia="仿宋_GB2312"/>
          <w:sz w:val="32"/>
          <w:szCs w:val="32"/>
        </w:rPr>
        <w:t>攀枝花市自然资源和规划局西区分局</w:t>
      </w:r>
      <w:r>
        <w:rPr>
          <w:rFonts w:ascii="仿宋_GB2312" w:eastAsia="仿宋_GB2312" w:hint="eastAsia"/>
          <w:sz w:val="32"/>
          <w:szCs w:val="32"/>
        </w:rPr>
        <w:t>共有车辆1辆，其中：主要领导干部用车0辆、机要通信用车0辆、应急保障用车0辆、其他用车1辆，其他用车主要是用于</w:t>
      </w:r>
      <w:r>
        <w:rPr>
          <w:rFonts w:eastAsia="仿宋_GB2312"/>
          <w:color w:val="000000"/>
          <w:sz w:val="32"/>
          <w:szCs w:val="32"/>
        </w:rPr>
        <w:t>地灾巡查、耕地保护、土地开发利用现场勘察、土地执法巡查</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万元以上专用设备0台（套）。</w:t>
      </w:r>
    </w:p>
    <w:p w14:paraId="3CDCC699" w14:textId="77777777" w:rsidR="00D03FF8" w:rsidRDefault="00A14F5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7CBBA010" w14:textId="77777777" w:rsidR="00D03FF8" w:rsidRDefault="00A14F5C">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根据预算绩效管理要求，本单位在2022年度预算编制阶段，组织对攀枝花市西区巴关河石灰石</w:t>
      </w:r>
      <w:proofErr w:type="gramStart"/>
      <w:r>
        <w:rPr>
          <w:rFonts w:hAnsi="仿宋_GB2312" w:cs="仿宋_GB2312" w:hint="eastAsia"/>
          <w:sz w:val="32"/>
          <w:szCs w:val="32"/>
        </w:rPr>
        <w:t>矿</w:t>
      </w:r>
      <w:proofErr w:type="gramEnd"/>
      <w:r>
        <w:rPr>
          <w:rFonts w:hAnsi="仿宋_GB2312" w:cs="仿宋_GB2312" w:hint="eastAsia"/>
          <w:sz w:val="32"/>
          <w:szCs w:val="32"/>
        </w:rPr>
        <w:t>矿山地质环境恢复治理项目、西区格里坪村二组崩塌、2019年</w:t>
      </w:r>
      <w:proofErr w:type="gramStart"/>
      <w:r>
        <w:rPr>
          <w:rFonts w:hAnsi="仿宋_GB2312" w:cs="仿宋_GB2312" w:hint="eastAsia"/>
          <w:sz w:val="32"/>
          <w:szCs w:val="32"/>
        </w:rPr>
        <w:t>省级地灾</w:t>
      </w:r>
      <w:proofErr w:type="gramEnd"/>
      <w:r>
        <w:rPr>
          <w:rFonts w:hAnsi="仿宋_GB2312" w:cs="仿宋_GB2312" w:hint="eastAsia"/>
          <w:sz w:val="32"/>
          <w:szCs w:val="32"/>
        </w:rPr>
        <w:t>防治项目、2022年第三批</w:t>
      </w:r>
      <w:proofErr w:type="gramStart"/>
      <w:r>
        <w:rPr>
          <w:rFonts w:hAnsi="仿宋_GB2312" w:cs="仿宋_GB2312" w:hint="eastAsia"/>
          <w:sz w:val="32"/>
          <w:szCs w:val="32"/>
        </w:rPr>
        <w:t>省级地灾</w:t>
      </w:r>
      <w:proofErr w:type="gramEnd"/>
      <w:r>
        <w:rPr>
          <w:rFonts w:hAnsi="仿宋_GB2312" w:cs="仿宋_GB2312" w:hint="eastAsia"/>
          <w:sz w:val="32"/>
          <w:szCs w:val="32"/>
        </w:rPr>
        <w:t>防治专业监测人员补助、2021年及以前地质灾害防治项目资金等5个项目开展了预算事前绩效评估，对5个项目编制了绩效目标，预算执行过程中，选取5个项目开展绩效监控，组织对26个项目开展绩效自评，绩效自评表详见第四部分附件。</w:t>
      </w:r>
    </w:p>
    <w:p w14:paraId="44F886C4" w14:textId="77777777" w:rsidR="00D03FF8" w:rsidRDefault="00A14F5C">
      <w:pPr>
        <w:widowControl/>
        <w:jc w:val="left"/>
        <w:rPr>
          <w:rFonts w:ascii="仿宋_GB2312" w:eastAsia="仿宋_GB2312"/>
          <w:b/>
          <w:sz w:val="32"/>
          <w:szCs w:val="32"/>
        </w:rPr>
      </w:pPr>
      <w:r>
        <w:rPr>
          <w:rFonts w:ascii="仿宋_GB2312" w:eastAsia="仿宋_GB2312"/>
          <w:b/>
          <w:sz w:val="32"/>
          <w:szCs w:val="32"/>
        </w:rPr>
        <w:br w:type="page"/>
      </w:r>
    </w:p>
    <w:p w14:paraId="0D56D7E9" w14:textId="77777777" w:rsidR="00D03FF8" w:rsidRDefault="00A14F5C">
      <w:pPr>
        <w:numPr>
          <w:ilvl w:val="0"/>
          <w:numId w:val="4"/>
        </w:numPr>
        <w:spacing w:line="600" w:lineRule="exact"/>
        <w:ind w:firstLineChars="150" w:firstLine="660"/>
        <w:jc w:val="center"/>
        <w:outlineLvl w:val="0"/>
        <w:rPr>
          <w:rStyle w:val="10"/>
          <w:rFonts w:ascii="SimHei" w:eastAsia="SimHei" w:hAnsi="SimHei"/>
          <w:b w:val="0"/>
        </w:rPr>
      </w:pPr>
      <w:bookmarkStart w:id="49" w:name="_Toc15396613"/>
      <w:bookmarkStart w:id="50" w:name="_Toc15377225"/>
      <w:r>
        <w:rPr>
          <w:rFonts w:ascii="SimHei" w:eastAsia="SimHei" w:hAnsi="SimHei" w:hint="eastAsia"/>
          <w:sz w:val="44"/>
          <w:szCs w:val="44"/>
        </w:rPr>
        <w:lastRenderedPageBreak/>
        <w:t>名</w:t>
      </w:r>
      <w:r>
        <w:rPr>
          <w:rStyle w:val="10"/>
          <w:rFonts w:ascii="SimHei" w:eastAsia="SimHei" w:hAnsi="SimHei" w:hint="eastAsia"/>
          <w:b w:val="0"/>
        </w:rPr>
        <w:t>词解释</w:t>
      </w:r>
      <w:bookmarkEnd w:id="49"/>
      <w:bookmarkEnd w:id="50"/>
    </w:p>
    <w:p w14:paraId="57A5BCCA" w14:textId="77777777" w:rsidR="00D03FF8" w:rsidRDefault="00D03FF8">
      <w:pPr>
        <w:spacing w:line="600" w:lineRule="exact"/>
        <w:jc w:val="left"/>
        <w:rPr>
          <w:rFonts w:ascii="宋体"/>
          <w:b/>
          <w:sz w:val="44"/>
          <w:szCs w:val="44"/>
        </w:rPr>
      </w:pPr>
    </w:p>
    <w:p w14:paraId="0C48859A" w14:textId="77777777" w:rsidR="00D03FF8" w:rsidRDefault="00A14F5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1.财政拨款收入：指单位从同级财政部门取得的财政预算资金。</w:t>
      </w:r>
    </w:p>
    <w:p w14:paraId="553A0DDB" w14:textId="77777777" w:rsidR="00D03FF8" w:rsidRDefault="00A14F5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14:paraId="2F326B24" w14:textId="77777777" w:rsidR="00D03FF8" w:rsidRDefault="00A14F5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3.年末结转和结余：指单位按有关规定结转到下年或以后年度继续使用的资金。</w:t>
      </w:r>
    </w:p>
    <w:p w14:paraId="3C452316"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社会保障和就业支出（类）行政事业单位养老支出（款）行政单位离退休（项）：指反映行政单位(包括实行公务员管理的事业单位)开支的离退休经费。</w:t>
      </w:r>
    </w:p>
    <w:p w14:paraId="435FE91F"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社会保障和就业支出（类）行政事业单位养老支出（款）机关事业单位基本养老保险缴费支出（项）：指反映机关事业单位实施养老保险制度由单位缴纳的基本养老保险费支出。</w:t>
      </w:r>
    </w:p>
    <w:p w14:paraId="517F13D7"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自然资源海洋气象等支出（类）自然资源事务（款）行政运行（项）：指反映</w:t>
      </w:r>
      <w:r>
        <w:rPr>
          <w:rFonts w:eastAsia="仿宋_GB2312"/>
          <w:color w:val="000000"/>
          <w:sz w:val="32"/>
          <w:szCs w:val="32"/>
        </w:rPr>
        <w:t>行政单位</w:t>
      </w:r>
      <w:r>
        <w:rPr>
          <w:rFonts w:eastAsia="仿宋_GB2312"/>
          <w:color w:val="000000"/>
          <w:sz w:val="32"/>
          <w:szCs w:val="32"/>
        </w:rPr>
        <w:t>(</w:t>
      </w:r>
      <w:r>
        <w:rPr>
          <w:rFonts w:eastAsia="仿宋_GB2312"/>
          <w:color w:val="000000"/>
          <w:sz w:val="32"/>
          <w:szCs w:val="32"/>
        </w:rPr>
        <w:t>包括实行公务员管理是事业单位</w:t>
      </w:r>
      <w:r>
        <w:rPr>
          <w:rFonts w:eastAsia="仿宋_GB2312"/>
          <w:color w:val="000000"/>
          <w:sz w:val="32"/>
          <w:szCs w:val="32"/>
        </w:rPr>
        <w:t>)</w:t>
      </w:r>
      <w:r>
        <w:rPr>
          <w:rFonts w:eastAsia="仿宋_GB2312"/>
          <w:color w:val="000000"/>
          <w:sz w:val="32"/>
          <w:szCs w:val="32"/>
        </w:rPr>
        <w:t>的基本支出</w:t>
      </w:r>
      <w:r>
        <w:rPr>
          <w:rFonts w:ascii="仿宋_GB2312" w:eastAsia="仿宋_GB2312" w:hint="eastAsia"/>
          <w:sz w:val="32"/>
          <w:szCs w:val="32"/>
        </w:rPr>
        <w:t>。</w:t>
      </w:r>
    </w:p>
    <w:p w14:paraId="1329072F"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自然资源海洋气象等支出（类）自然资源事务（款）自然资源利用与保护（项）：指反映用于自然资源有偿使用与合理开发利用，国土空间生态修复，国土整治，耕地保护等方面的支出。</w:t>
      </w:r>
    </w:p>
    <w:p w14:paraId="28055504"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自然资源海洋气象等支出（类）自然资源事务（款）</w:t>
      </w:r>
      <w:r>
        <w:rPr>
          <w:rFonts w:ascii="仿宋_GB2312" w:eastAsia="仿宋_GB2312" w:hint="eastAsia"/>
          <w:sz w:val="32"/>
          <w:szCs w:val="32"/>
        </w:rPr>
        <w:lastRenderedPageBreak/>
        <w:t>事业运行（项）：指反映</w:t>
      </w:r>
      <w:r>
        <w:rPr>
          <w:rFonts w:eastAsia="仿宋_GB2312"/>
          <w:color w:val="000000"/>
          <w:sz w:val="32"/>
          <w:szCs w:val="32"/>
        </w:rPr>
        <w:t>事业单位的基本支出</w:t>
      </w:r>
      <w:r>
        <w:rPr>
          <w:rFonts w:eastAsia="仿宋_GB2312"/>
          <w:color w:val="000000"/>
          <w:sz w:val="32"/>
          <w:szCs w:val="32"/>
        </w:rPr>
        <w:t>,</w:t>
      </w:r>
      <w:r>
        <w:rPr>
          <w:rFonts w:eastAsia="仿宋_GB2312"/>
          <w:color w:val="000000"/>
          <w:sz w:val="32"/>
          <w:szCs w:val="32"/>
        </w:rPr>
        <w:t>不包括行政单位</w:t>
      </w:r>
      <w:r>
        <w:rPr>
          <w:rFonts w:eastAsia="仿宋_GB2312"/>
          <w:color w:val="000000"/>
          <w:sz w:val="32"/>
          <w:szCs w:val="32"/>
        </w:rPr>
        <w:t>(</w:t>
      </w:r>
      <w:r>
        <w:rPr>
          <w:rFonts w:eastAsia="仿宋_GB2312"/>
          <w:color w:val="000000"/>
          <w:sz w:val="32"/>
          <w:szCs w:val="32"/>
        </w:rPr>
        <w:t>包括实行公务员管理的事业单位</w:t>
      </w:r>
      <w:r>
        <w:rPr>
          <w:rFonts w:eastAsia="仿宋_GB2312"/>
          <w:color w:val="000000"/>
          <w:sz w:val="32"/>
          <w:szCs w:val="32"/>
        </w:rPr>
        <w:t>)</w:t>
      </w:r>
      <w:r>
        <w:rPr>
          <w:rFonts w:eastAsia="仿宋_GB2312"/>
          <w:color w:val="000000"/>
          <w:sz w:val="32"/>
          <w:szCs w:val="32"/>
        </w:rPr>
        <w:t>后勤服务中心</w:t>
      </w:r>
      <w:r>
        <w:rPr>
          <w:rFonts w:eastAsia="仿宋_GB2312"/>
          <w:color w:val="000000"/>
          <w:sz w:val="32"/>
          <w:szCs w:val="32"/>
        </w:rPr>
        <w:t>,</w:t>
      </w:r>
      <w:r>
        <w:rPr>
          <w:rFonts w:eastAsia="仿宋_GB2312"/>
          <w:color w:val="000000"/>
          <w:sz w:val="32"/>
          <w:szCs w:val="32"/>
        </w:rPr>
        <w:t>医务室等附属事业单位</w:t>
      </w:r>
      <w:r>
        <w:rPr>
          <w:rFonts w:ascii="仿宋_GB2312" w:eastAsia="仿宋_GB2312" w:hint="eastAsia"/>
          <w:sz w:val="32"/>
          <w:szCs w:val="32"/>
        </w:rPr>
        <w:t>。</w:t>
      </w:r>
    </w:p>
    <w:p w14:paraId="6F9B441B"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自然资源海洋气象等支出（类）自然资源事务（款） 其他自然资源事务支出（项）：指反映除上述项目以外其他用于自然资源事务方面的支出。</w:t>
      </w:r>
    </w:p>
    <w:p w14:paraId="3290AEDA"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住房保障支出（类）住房改革支出（款）住房公积金（项）：指</w:t>
      </w:r>
      <w:r>
        <w:rPr>
          <w:rFonts w:eastAsia="仿宋_GB2312"/>
          <w:color w:val="000000"/>
          <w:sz w:val="32"/>
          <w:szCs w:val="32"/>
        </w:rPr>
        <w:t>行政事业单位按人力资源和社会保障部、财政规定的基本工资和津贴补贴以及规定比例为职工缴纳的住房公积金</w:t>
      </w:r>
      <w:r>
        <w:rPr>
          <w:rFonts w:ascii="仿宋_GB2312" w:eastAsia="仿宋_GB2312" w:hint="eastAsia"/>
          <w:sz w:val="32"/>
          <w:szCs w:val="32"/>
        </w:rPr>
        <w:t>。</w:t>
      </w:r>
    </w:p>
    <w:p w14:paraId="7390C286"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灾害防治及应急管理支出（类）自然灾害防治（款）地质灾害防治（项）：指反映防治地质灾害方面的支出。</w:t>
      </w:r>
    </w:p>
    <w:p w14:paraId="13838D03"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38C56928" w14:textId="77777777" w:rsidR="00D03FF8" w:rsidRDefault="00A14F5C">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14:paraId="085FFECC" w14:textId="77777777" w:rsidR="00D03FF8" w:rsidRDefault="00A14F5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w:t>
      </w:r>
      <w:r>
        <w:rPr>
          <w:rFonts w:ascii="仿宋_GB2312" w:eastAsia="仿宋_GB2312" w:hint="eastAsia"/>
          <w:color w:val="auto"/>
          <w:sz w:val="32"/>
          <w:szCs w:val="32"/>
        </w:rPr>
        <w:lastRenderedPageBreak/>
        <w:t>待（含外宾接待）支出。</w:t>
      </w:r>
    </w:p>
    <w:p w14:paraId="65BE94B9" w14:textId="77777777" w:rsidR="00D03FF8" w:rsidRDefault="00A14F5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B5C7B63" w14:textId="77777777" w:rsidR="00D03FF8" w:rsidRDefault="00A14F5C">
      <w:pPr>
        <w:spacing w:line="600" w:lineRule="exact"/>
        <w:jc w:val="center"/>
        <w:outlineLvl w:val="0"/>
        <w:rPr>
          <w:rStyle w:val="10"/>
          <w:rFonts w:ascii="SimHei" w:eastAsia="SimHei" w:hAnsi="SimHei"/>
          <w:b w:val="0"/>
        </w:rPr>
      </w:pPr>
      <w:bookmarkStart w:id="51" w:name="_Toc15377226"/>
      <w:r>
        <w:rPr>
          <w:rFonts w:ascii="宋体"/>
          <w:b/>
          <w:sz w:val="44"/>
          <w:szCs w:val="44"/>
        </w:rPr>
        <w:br w:type="page"/>
      </w:r>
      <w:bookmarkStart w:id="52" w:name="_Toc15396614"/>
      <w:r>
        <w:rPr>
          <w:rFonts w:ascii="SimHei" w:eastAsia="SimHei" w:hAnsi="SimHei" w:hint="eastAsia"/>
          <w:sz w:val="44"/>
          <w:szCs w:val="44"/>
        </w:rPr>
        <w:lastRenderedPageBreak/>
        <w:t>第</w:t>
      </w:r>
      <w:r>
        <w:rPr>
          <w:rStyle w:val="10"/>
          <w:rFonts w:ascii="SimHei" w:eastAsia="SimHei" w:hAnsi="SimHei" w:hint="eastAsia"/>
          <w:b w:val="0"/>
        </w:rPr>
        <w:t>四部分 附件</w:t>
      </w:r>
      <w:bookmarkEnd w:id="52"/>
    </w:p>
    <w:p w14:paraId="05F65A50" w14:textId="77777777" w:rsidR="00D03FF8" w:rsidRDefault="00D03FF8">
      <w:pPr>
        <w:spacing w:line="572" w:lineRule="exact"/>
        <w:jc w:val="left"/>
        <w:outlineLvl w:val="0"/>
        <w:rPr>
          <w:rFonts w:ascii="仿宋_GB2312" w:eastAsia="仿宋_GB2312" w:hAnsi="仿宋_GB2312" w:cs="仿宋_GB2312"/>
          <w:sz w:val="32"/>
          <w:szCs w:val="32"/>
        </w:rPr>
      </w:pPr>
    </w:p>
    <w:p w14:paraId="56F35E44" w14:textId="77777777" w:rsidR="00D03FF8" w:rsidRDefault="00A14F5C">
      <w:pPr>
        <w:spacing w:line="600" w:lineRule="exact"/>
        <w:jc w:val="center"/>
        <w:outlineLvl w:val="0"/>
        <w:rPr>
          <w:rFonts w:ascii="宋体" w:hAnsi="宋体" w:cs="宋体"/>
          <w:kern w:val="0"/>
          <w:sz w:val="32"/>
          <w:szCs w:val="32"/>
        </w:rPr>
      </w:pPr>
      <w:bookmarkStart w:id="53" w:name="_Toc15396618"/>
      <w:r>
        <w:rPr>
          <w:rFonts w:ascii="宋体" w:hAnsi="宋体" w:cs="宋体" w:hint="eastAsia"/>
          <w:kern w:val="0"/>
          <w:sz w:val="32"/>
          <w:szCs w:val="32"/>
        </w:rPr>
        <w:t>见附件3部门预算项目支出绩效自评表（2022年度）</w:t>
      </w:r>
    </w:p>
    <w:p w14:paraId="5174412D" w14:textId="77777777" w:rsidR="00D03FF8" w:rsidRDefault="00D03FF8">
      <w:pPr>
        <w:pStyle w:val="a0"/>
        <w:spacing w:before="93"/>
        <w:rPr>
          <w:rFonts w:hAnsi="Calibri" w:cs="仿宋"/>
          <w:sz w:val="32"/>
          <w:szCs w:val="32"/>
        </w:rPr>
      </w:pPr>
    </w:p>
    <w:p w14:paraId="73F53974" w14:textId="77777777" w:rsidR="00D03FF8" w:rsidRDefault="00D03FF8">
      <w:pPr>
        <w:pStyle w:val="a0"/>
        <w:spacing w:before="93"/>
        <w:rPr>
          <w:rFonts w:hAnsi="Calibri" w:cs="仿宋"/>
          <w:sz w:val="32"/>
          <w:szCs w:val="32"/>
        </w:rPr>
      </w:pPr>
    </w:p>
    <w:p w14:paraId="21AA1CBD" w14:textId="77777777" w:rsidR="00D03FF8" w:rsidRDefault="00D03FF8">
      <w:pPr>
        <w:pStyle w:val="a0"/>
        <w:spacing w:before="93"/>
        <w:rPr>
          <w:rFonts w:hAnsi="Calibri" w:cs="仿宋"/>
          <w:sz w:val="32"/>
          <w:szCs w:val="32"/>
        </w:rPr>
      </w:pPr>
    </w:p>
    <w:p w14:paraId="161D5368" w14:textId="77777777" w:rsidR="00D03FF8" w:rsidRDefault="00D03FF8">
      <w:pPr>
        <w:pStyle w:val="a0"/>
        <w:spacing w:before="93"/>
        <w:rPr>
          <w:rFonts w:hAnsi="Calibri" w:cs="仿宋"/>
          <w:sz w:val="32"/>
          <w:szCs w:val="32"/>
        </w:rPr>
      </w:pPr>
    </w:p>
    <w:p w14:paraId="7E1580F6" w14:textId="77777777" w:rsidR="00D03FF8" w:rsidRDefault="00D03FF8">
      <w:pPr>
        <w:pStyle w:val="a0"/>
        <w:spacing w:before="93"/>
        <w:rPr>
          <w:rFonts w:hAnsi="Calibri" w:cs="仿宋"/>
          <w:sz w:val="32"/>
          <w:szCs w:val="32"/>
        </w:rPr>
      </w:pPr>
    </w:p>
    <w:p w14:paraId="1A0168D0" w14:textId="77777777" w:rsidR="00D03FF8" w:rsidRDefault="00D03FF8">
      <w:pPr>
        <w:pStyle w:val="a0"/>
        <w:spacing w:before="93"/>
        <w:rPr>
          <w:rFonts w:hAnsi="Calibri" w:cs="仿宋"/>
          <w:sz w:val="32"/>
          <w:szCs w:val="32"/>
        </w:rPr>
      </w:pPr>
    </w:p>
    <w:p w14:paraId="431EA863" w14:textId="77777777" w:rsidR="00D03FF8" w:rsidRDefault="00D03FF8">
      <w:pPr>
        <w:pStyle w:val="a0"/>
        <w:spacing w:before="93"/>
        <w:rPr>
          <w:rFonts w:hAnsi="Calibri" w:cs="仿宋"/>
          <w:sz w:val="32"/>
          <w:szCs w:val="32"/>
        </w:rPr>
      </w:pPr>
    </w:p>
    <w:p w14:paraId="0A2EB9FB" w14:textId="77777777" w:rsidR="00D03FF8" w:rsidRDefault="00D03FF8">
      <w:pPr>
        <w:pStyle w:val="a0"/>
        <w:spacing w:before="93"/>
        <w:rPr>
          <w:rFonts w:hAnsi="Calibri" w:cs="仿宋"/>
          <w:sz w:val="32"/>
          <w:szCs w:val="32"/>
        </w:rPr>
      </w:pPr>
    </w:p>
    <w:p w14:paraId="3DA187C2" w14:textId="77777777" w:rsidR="00D03FF8" w:rsidRDefault="00D03FF8">
      <w:pPr>
        <w:pStyle w:val="a0"/>
        <w:spacing w:before="93"/>
        <w:rPr>
          <w:rFonts w:hAnsi="Calibri" w:cs="仿宋"/>
          <w:sz w:val="32"/>
          <w:szCs w:val="32"/>
        </w:rPr>
      </w:pPr>
    </w:p>
    <w:p w14:paraId="78E1F271" w14:textId="77777777" w:rsidR="00D03FF8" w:rsidRDefault="00D03FF8">
      <w:pPr>
        <w:pStyle w:val="a0"/>
        <w:spacing w:before="93"/>
        <w:rPr>
          <w:rFonts w:hAnsi="Calibri" w:cs="仿宋"/>
          <w:sz w:val="32"/>
          <w:szCs w:val="32"/>
        </w:rPr>
      </w:pPr>
    </w:p>
    <w:p w14:paraId="0F1ED882" w14:textId="77777777" w:rsidR="00D03FF8" w:rsidRDefault="00D03FF8">
      <w:pPr>
        <w:pStyle w:val="a0"/>
        <w:spacing w:before="93"/>
        <w:rPr>
          <w:rFonts w:hAnsi="Calibri" w:cs="仿宋"/>
          <w:sz w:val="32"/>
          <w:szCs w:val="32"/>
        </w:rPr>
      </w:pPr>
    </w:p>
    <w:p w14:paraId="2D64A5A8" w14:textId="77777777" w:rsidR="00D03FF8" w:rsidRDefault="00D03FF8">
      <w:pPr>
        <w:pStyle w:val="a0"/>
        <w:spacing w:before="93"/>
        <w:rPr>
          <w:rFonts w:hAnsi="Calibri" w:cs="仿宋"/>
          <w:sz w:val="32"/>
          <w:szCs w:val="32"/>
        </w:rPr>
      </w:pPr>
    </w:p>
    <w:p w14:paraId="0933DAE0" w14:textId="77777777" w:rsidR="00D03FF8" w:rsidRDefault="00D03FF8">
      <w:pPr>
        <w:pStyle w:val="a0"/>
        <w:spacing w:before="93"/>
        <w:rPr>
          <w:rFonts w:hAnsi="Calibri" w:cs="仿宋"/>
          <w:sz w:val="32"/>
          <w:szCs w:val="32"/>
        </w:rPr>
      </w:pPr>
    </w:p>
    <w:p w14:paraId="256089BC" w14:textId="77777777" w:rsidR="00D03FF8" w:rsidRDefault="00D03FF8">
      <w:pPr>
        <w:pStyle w:val="a0"/>
        <w:spacing w:before="93"/>
        <w:rPr>
          <w:rFonts w:hAnsi="Calibri" w:cs="仿宋"/>
          <w:sz w:val="32"/>
          <w:szCs w:val="32"/>
        </w:rPr>
      </w:pPr>
    </w:p>
    <w:p w14:paraId="0390BA48" w14:textId="77777777" w:rsidR="00D03FF8" w:rsidRDefault="00D03FF8">
      <w:pPr>
        <w:pStyle w:val="a0"/>
        <w:spacing w:before="93"/>
        <w:rPr>
          <w:rFonts w:hAnsi="Calibri" w:cs="仿宋"/>
          <w:sz w:val="32"/>
          <w:szCs w:val="32"/>
        </w:rPr>
      </w:pPr>
    </w:p>
    <w:p w14:paraId="62470C7C" w14:textId="77777777" w:rsidR="00D03FF8" w:rsidRDefault="00D03FF8">
      <w:pPr>
        <w:pStyle w:val="a0"/>
        <w:spacing w:before="93"/>
        <w:rPr>
          <w:rFonts w:hAnsi="Calibri" w:cs="仿宋"/>
          <w:sz w:val="32"/>
          <w:szCs w:val="32"/>
        </w:rPr>
      </w:pPr>
    </w:p>
    <w:p w14:paraId="5AB6D0F4" w14:textId="77777777" w:rsidR="00D03FF8" w:rsidRDefault="00D03FF8">
      <w:pPr>
        <w:pStyle w:val="a0"/>
        <w:spacing w:before="93"/>
        <w:rPr>
          <w:rFonts w:hAnsi="Calibri" w:cs="仿宋"/>
          <w:sz w:val="32"/>
          <w:szCs w:val="32"/>
        </w:rPr>
      </w:pPr>
    </w:p>
    <w:p w14:paraId="327B0DAA" w14:textId="77777777" w:rsidR="00D03FF8" w:rsidRDefault="00A14F5C">
      <w:pPr>
        <w:spacing w:line="600" w:lineRule="exact"/>
        <w:jc w:val="center"/>
        <w:outlineLvl w:val="0"/>
        <w:rPr>
          <w:rFonts w:ascii="仿宋" w:eastAsia="仿宋" w:hAnsi="仿宋"/>
        </w:rPr>
      </w:pPr>
      <w:r>
        <w:rPr>
          <w:rFonts w:ascii="SimHei" w:eastAsia="SimHei" w:hAnsi="SimHei" w:hint="eastAsia"/>
          <w:sz w:val="44"/>
          <w:szCs w:val="44"/>
        </w:rPr>
        <w:lastRenderedPageBreak/>
        <w:t>第</w:t>
      </w:r>
      <w:r>
        <w:rPr>
          <w:rStyle w:val="10"/>
          <w:rFonts w:ascii="SimHei" w:eastAsia="SimHei" w:hAnsi="SimHei" w:hint="eastAsia"/>
          <w:b w:val="0"/>
        </w:rPr>
        <w:t>五部分 附表</w:t>
      </w:r>
      <w:bookmarkStart w:id="54" w:name="_Toc15396619"/>
      <w:bookmarkEnd w:id="51"/>
      <w:bookmarkEnd w:id="53"/>
    </w:p>
    <w:p w14:paraId="35C7F140" w14:textId="77777777" w:rsidR="00D03FF8" w:rsidRDefault="00A14F5C">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4"/>
    </w:p>
    <w:p w14:paraId="527EEA75" w14:textId="77777777" w:rsidR="00D03FF8" w:rsidRDefault="00A14F5C">
      <w:pPr>
        <w:pStyle w:val="2"/>
        <w:rPr>
          <w:rFonts w:ascii="仿宋" w:eastAsia="仿宋" w:hAnsi="仿宋"/>
        </w:rPr>
      </w:pPr>
      <w:bookmarkStart w:id="55" w:name="_Toc15396620"/>
      <w:r>
        <w:rPr>
          <w:rFonts w:ascii="仿宋" w:eastAsia="仿宋" w:hAnsi="仿宋" w:hint="eastAsia"/>
          <w:b w:val="0"/>
        </w:rPr>
        <w:t>二、收</w:t>
      </w:r>
      <w:r>
        <w:rPr>
          <w:rStyle w:val="20"/>
          <w:rFonts w:ascii="仿宋" w:eastAsia="仿宋" w:hAnsi="仿宋" w:hint="eastAsia"/>
        </w:rPr>
        <w:t>入决算表</w:t>
      </w:r>
      <w:bookmarkEnd w:id="55"/>
    </w:p>
    <w:p w14:paraId="69F56BE9" w14:textId="77777777" w:rsidR="00D03FF8" w:rsidRDefault="00A14F5C">
      <w:pPr>
        <w:pStyle w:val="2"/>
        <w:rPr>
          <w:rFonts w:ascii="仿宋" w:eastAsia="仿宋" w:hAnsi="仿宋"/>
        </w:rPr>
      </w:pPr>
      <w:bookmarkStart w:id="56"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6"/>
    </w:p>
    <w:p w14:paraId="0739A895" w14:textId="77777777" w:rsidR="00D03FF8" w:rsidRDefault="00A14F5C">
      <w:pPr>
        <w:pStyle w:val="2"/>
        <w:rPr>
          <w:rFonts w:ascii="仿宋" w:eastAsia="仿宋" w:hAnsi="仿宋"/>
          <w:b w:val="0"/>
        </w:rPr>
      </w:pPr>
      <w:bookmarkStart w:id="57"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57"/>
    </w:p>
    <w:p w14:paraId="4A0514ED" w14:textId="77777777" w:rsidR="00D03FF8" w:rsidRDefault="00A14F5C">
      <w:pPr>
        <w:pStyle w:val="2"/>
        <w:rPr>
          <w:rStyle w:val="20"/>
          <w:rFonts w:ascii="仿宋" w:eastAsia="仿宋" w:hAnsi="仿宋"/>
        </w:rPr>
      </w:pPr>
      <w:bookmarkStart w:id="58"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59" w:name="_Toc15396624"/>
      <w:bookmarkEnd w:id="58"/>
    </w:p>
    <w:p w14:paraId="400095CC" w14:textId="77777777" w:rsidR="00D03FF8" w:rsidRDefault="00A14F5C">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59"/>
    </w:p>
    <w:p w14:paraId="717F9ACF" w14:textId="77777777" w:rsidR="00D03FF8" w:rsidRDefault="00A14F5C">
      <w:pPr>
        <w:pStyle w:val="2"/>
        <w:rPr>
          <w:rFonts w:ascii="仿宋" w:eastAsia="仿宋" w:hAnsi="仿宋"/>
        </w:rPr>
      </w:pPr>
      <w:bookmarkStart w:id="60"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0"/>
    </w:p>
    <w:p w14:paraId="4762E006" w14:textId="77777777" w:rsidR="00D03FF8" w:rsidRDefault="00A14F5C">
      <w:pPr>
        <w:pStyle w:val="2"/>
        <w:rPr>
          <w:rFonts w:ascii="仿宋" w:eastAsia="仿宋" w:hAnsi="仿宋"/>
        </w:rPr>
      </w:pPr>
      <w:bookmarkStart w:id="61"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1"/>
    </w:p>
    <w:p w14:paraId="37392484" w14:textId="77777777" w:rsidR="00D03FF8" w:rsidRDefault="00A14F5C">
      <w:pPr>
        <w:pStyle w:val="2"/>
        <w:rPr>
          <w:rFonts w:ascii="仿宋" w:eastAsia="仿宋" w:hAnsi="仿宋"/>
        </w:rPr>
      </w:pPr>
      <w:bookmarkStart w:id="62"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2"/>
    </w:p>
    <w:p w14:paraId="263AA9BB" w14:textId="77777777" w:rsidR="00D03FF8" w:rsidRDefault="00A14F5C">
      <w:pPr>
        <w:pStyle w:val="2"/>
        <w:rPr>
          <w:rFonts w:ascii="仿宋" w:eastAsia="仿宋" w:hAnsi="仿宋"/>
        </w:rPr>
      </w:pPr>
      <w:bookmarkStart w:id="63" w:name="_Toc15396628"/>
      <w:r>
        <w:rPr>
          <w:rStyle w:val="20"/>
          <w:rFonts w:ascii="仿宋" w:eastAsia="仿宋" w:hAnsi="仿宋" w:hint="eastAsia"/>
        </w:rPr>
        <w:t>十、</w:t>
      </w:r>
      <w:bookmarkEnd w:id="63"/>
      <w:r>
        <w:rPr>
          <w:rFonts w:ascii="仿宋" w:eastAsia="仿宋" w:hAnsi="仿宋" w:hint="eastAsia"/>
          <w:b w:val="0"/>
        </w:rPr>
        <w:t>政</w:t>
      </w:r>
      <w:r>
        <w:rPr>
          <w:rStyle w:val="20"/>
          <w:rFonts w:ascii="仿宋" w:eastAsia="仿宋" w:hAnsi="仿宋" w:hint="eastAsia"/>
        </w:rPr>
        <w:t>府性基金预算财政拨款收入支出决算表</w:t>
      </w:r>
    </w:p>
    <w:p w14:paraId="338E333E" w14:textId="77777777" w:rsidR="00D03FF8" w:rsidRDefault="00A14F5C">
      <w:pPr>
        <w:pStyle w:val="2"/>
        <w:rPr>
          <w:rFonts w:ascii="仿宋" w:eastAsia="仿宋" w:hAnsi="仿宋"/>
        </w:rPr>
      </w:pPr>
      <w:bookmarkStart w:id="64" w:name="_Toc15396629"/>
      <w:r>
        <w:rPr>
          <w:rStyle w:val="20"/>
          <w:rFonts w:ascii="仿宋" w:eastAsia="仿宋" w:hAnsi="仿宋" w:hint="eastAsia"/>
        </w:rPr>
        <w:t>十一、</w:t>
      </w:r>
      <w:bookmarkEnd w:id="64"/>
      <w:r>
        <w:rPr>
          <w:rFonts w:ascii="仿宋" w:eastAsia="仿宋" w:hAnsi="仿宋" w:hint="eastAsia"/>
          <w:b w:val="0"/>
        </w:rPr>
        <w:t>国</w:t>
      </w:r>
      <w:r>
        <w:rPr>
          <w:rStyle w:val="20"/>
          <w:rFonts w:ascii="仿宋" w:eastAsia="仿宋" w:hAnsi="仿宋" w:hint="eastAsia"/>
        </w:rPr>
        <w:t>有资本经营预算财政拨款收入支出决算表</w:t>
      </w:r>
    </w:p>
    <w:p w14:paraId="71508FDC" w14:textId="77777777" w:rsidR="00D03FF8" w:rsidRDefault="00A14F5C">
      <w:pPr>
        <w:pStyle w:val="2"/>
        <w:rPr>
          <w:rFonts w:ascii="仿宋" w:eastAsia="仿宋" w:hAnsi="仿宋"/>
        </w:rPr>
      </w:pPr>
      <w:bookmarkStart w:id="65" w:name="_Toc15396630"/>
      <w:r>
        <w:rPr>
          <w:rStyle w:val="20"/>
          <w:rFonts w:ascii="仿宋" w:eastAsia="仿宋" w:hAnsi="仿宋" w:hint="eastAsia"/>
        </w:rPr>
        <w:t>十二、</w:t>
      </w:r>
      <w:bookmarkEnd w:id="65"/>
      <w:r>
        <w:rPr>
          <w:rStyle w:val="20"/>
          <w:rFonts w:ascii="仿宋" w:eastAsia="仿宋" w:hAnsi="仿宋" w:hint="eastAsia"/>
        </w:rPr>
        <w:t>国有资本经营预算财政拨款支出决算表</w:t>
      </w:r>
    </w:p>
    <w:p w14:paraId="3AABEFEC" w14:textId="77777777" w:rsidR="00D03FF8" w:rsidRDefault="00A14F5C">
      <w:pPr>
        <w:pStyle w:val="2"/>
        <w:rPr>
          <w:rFonts w:eastAsia="仿宋"/>
        </w:rPr>
      </w:pPr>
      <w:bookmarkStart w:id="66" w:name="_Toc15396631"/>
      <w:r>
        <w:rPr>
          <w:rStyle w:val="20"/>
          <w:rFonts w:ascii="仿宋" w:eastAsia="仿宋" w:hAnsi="仿宋" w:hint="eastAsia"/>
        </w:rPr>
        <w:t>十三、</w:t>
      </w:r>
      <w:bookmarkEnd w:id="66"/>
      <w:r>
        <w:rPr>
          <w:rStyle w:val="20"/>
          <w:rFonts w:ascii="仿宋" w:eastAsia="仿宋" w:hAnsi="仿宋" w:hint="eastAsia"/>
        </w:rPr>
        <w:t>财政拨款“三公”经费支出决算表</w:t>
      </w:r>
    </w:p>
    <w:sectPr w:rsidR="00D03FF8" w:rsidSect="00D03FF8">
      <w:headerReference w:type="default" r:id="rId14"/>
      <w:footerReference w:type="default" r:id="rId15"/>
      <w:head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E7CC" w14:textId="77777777" w:rsidR="0051425A" w:rsidRDefault="0051425A" w:rsidP="00D03FF8">
      <w:r>
        <w:separator/>
      </w:r>
    </w:p>
  </w:endnote>
  <w:endnote w:type="continuationSeparator" w:id="0">
    <w:p w14:paraId="207C5FEB" w14:textId="77777777" w:rsidR="0051425A" w:rsidRDefault="0051425A" w:rsidP="00D0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563FA395" w14:textId="77777777" w:rsidR="00D03FF8" w:rsidRDefault="00C908E8">
        <w:pPr>
          <w:pStyle w:val="a7"/>
          <w:jc w:val="center"/>
        </w:pPr>
        <w:r>
          <w:fldChar w:fldCharType="begin"/>
        </w:r>
        <w:r w:rsidR="00A14F5C">
          <w:instrText>PAGE   \* MERGEFORMAT</w:instrText>
        </w:r>
        <w:r>
          <w:fldChar w:fldCharType="separate"/>
        </w:r>
        <w:r w:rsidR="008D21B8" w:rsidRPr="008D21B8">
          <w:rPr>
            <w:noProof/>
            <w:lang w:val="zh-CN"/>
          </w:rPr>
          <w:t>12</w:t>
        </w:r>
        <w:r>
          <w:fldChar w:fldCharType="end"/>
        </w:r>
      </w:p>
    </w:sdtContent>
  </w:sdt>
  <w:p w14:paraId="62737693" w14:textId="77777777" w:rsidR="00D03FF8" w:rsidRDefault="00D03F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E855" w14:textId="77777777" w:rsidR="0051425A" w:rsidRDefault="0051425A" w:rsidP="00D03FF8">
      <w:r>
        <w:separator/>
      </w:r>
    </w:p>
  </w:footnote>
  <w:footnote w:type="continuationSeparator" w:id="0">
    <w:p w14:paraId="7F3B3D44" w14:textId="77777777" w:rsidR="0051425A" w:rsidRDefault="0051425A" w:rsidP="00D0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19AE" w14:textId="77777777" w:rsidR="00D03FF8" w:rsidRDefault="00D03FF8">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1FE6" w14:textId="77777777" w:rsidR="00D03FF8" w:rsidRDefault="00D03FF8">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SimHei" w:eastAsia="SimHei" w:hAnsi="SimHei" w:cs="SimHei"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818A09A"/>
    <w:multiLevelType w:val="singleLevel"/>
    <w:tmpl w:val="3818A09A"/>
    <w:lvl w:ilvl="0">
      <w:start w:val="1"/>
      <w:numFmt w:val="chineseCounting"/>
      <w:suff w:val="nothing"/>
      <w:lvlText w:val="%1、"/>
      <w:lvlJc w:val="left"/>
      <w:rPr>
        <w:rFonts w:hint="eastAsia"/>
      </w:rPr>
    </w:lvl>
  </w:abstractNum>
  <w:num w:numId="1" w16cid:durableId="2121217303">
    <w:abstractNumId w:val="3"/>
  </w:num>
  <w:num w:numId="2" w16cid:durableId="1695380314">
    <w:abstractNumId w:val="2"/>
  </w:num>
  <w:num w:numId="3" w16cid:durableId="1963070711">
    <w:abstractNumId w:val="0"/>
  </w:num>
  <w:num w:numId="4" w16cid:durableId="114636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E4MDIwMGVhMjFkYWUxZjE5ZGY4NjRiYjg3Y2UyYjEifQ=="/>
  </w:docVars>
  <w:rsids>
    <w:rsidRoot w:val="00F1361C"/>
    <w:rsid w:val="9E3A10E2"/>
    <w:rsid w:val="F2E1F9D4"/>
    <w:rsid w:val="F7880819"/>
    <w:rsid w:val="000222C6"/>
    <w:rsid w:val="0002549F"/>
    <w:rsid w:val="000468DB"/>
    <w:rsid w:val="00062009"/>
    <w:rsid w:val="0006487A"/>
    <w:rsid w:val="00065F8F"/>
    <w:rsid w:val="00070A43"/>
    <w:rsid w:val="00070ADD"/>
    <w:rsid w:val="000768F2"/>
    <w:rsid w:val="0008476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111F6"/>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D039F"/>
    <w:rsid w:val="004E0A2D"/>
    <w:rsid w:val="004E206B"/>
    <w:rsid w:val="004E6DF7"/>
    <w:rsid w:val="004F0FBD"/>
    <w:rsid w:val="00505A47"/>
    <w:rsid w:val="00512FDA"/>
    <w:rsid w:val="0051425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46C"/>
    <w:rsid w:val="0066343B"/>
    <w:rsid w:val="00664777"/>
    <w:rsid w:val="006748A4"/>
    <w:rsid w:val="00681A31"/>
    <w:rsid w:val="00683E73"/>
    <w:rsid w:val="006A3141"/>
    <w:rsid w:val="006A5E34"/>
    <w:rsid w:val="006B2422"/>
    <w:rsid w:val="006B2B9A"/>
    <w:rsid w:val="006C1937"/>
    <w:rsid w:val="006F020C"/>
    <w:rsid w:val="007127B7"/>
    <w:rsid w:val="0071798E"/>
    <w:rsid w:val="00726A14"/>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D21B8"/>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4F5C"/>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4AC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12DE3"/>
    <w:rsid w:val="00C33E72"/>
    <w:rsid w:val="00C354B2"/>
    <w:rsid w:val="00C35554"/>
    <w:rsid w:val="00C42709"/>
    <w:rsid w:val="00C533CC"/>
    <w:rsid w:val="00C5751C"/>
    <w:rsid w:val="00C61BFC"/>
    <w:rsid w:val="00C62B85"/>
    <w:rsid w:val="00C65438"/>
    <w:rsid w:val="00C7524A"/>
    <w:rsid w:val="00C87FD8"/>
    <w:rsid w:val="00C908E8"/>
    <w:rsid w:val="00C91381"/>
    <w:rsid w:val="00C91CBB"/>
    <w:rsid w:val="00CB4E70"/>
    <w:rsid w:val="00CC09B6"/>
    <w:rsid w:val="00CC666F"/>
    <w:rsid w:val="00CD1E3F"/>
    <w:rsid w:val="00CE44F6"/>
    <w:rsid w:val="00CE49DA"/>
    <w:rsid w:val="00CE7B61"/>
    <w:rsid w:val="00D00095"/>
    <w:rsid w:val="00D03FF8"/>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5F1B"/>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46537"/>
    <w:rsid w:val="00F602DF"/>
    <w:rsid w:val="00F754A1"/>
    <w:rsid w:val="00F81FD9"/>
    <w:rsid w:val="00F841AA"/>
    <w:rsid w:val="00F84A94"/>
    <w:rsid w:val="00F87E96"/>
    <w:rsid w:val="00FA23E8"/>
    <w:rsid w:val="00FD3CC1"/>
    <w:rsid w:val="00FF1E02"/>
    <w:rsid w:val="00FF30B4"/>
    <w:rsid w:val="032552C8"/>
    <w:rsid w:val="037460D1"/>
    <w:rsid w:val="03ED4857"/>
    <w:rsid w:val="053A62B5"/>
    <w:rsid w:val="08B103EE"/>
    <w:rsid w:val="08C16BFB"/>
    <w:rsid w:val="09324AA2"/>
    <w:rsid w:val="09C92B38"/>
    <w:rsid w:val="09D5345C"/>
    <w:rsid w:val="0A2032A3"/>
    <w:rsid w:val="0AEE5B51"/>
    <w:rsid w:val="0B8A37D8"/>
    <w:rsid w:val="0C8235E4"/>
    <w:rsid w:val="0ED76CD7"/>
    <w:rsid w:val="10C055FF"/>
    <w:rsid w:val="1120319B"/>
    <w:rsid w:val="118107EC"/>
    <w:rsid w:val="11DD6519"/>
    <w:rsid w:val="12FB3F33"/>
    <w:rsid w:val="14010222"/>
    <w:rsid w:val="155D4D39"/>
    <w:rsid w:val="15FD073C"/>
    <w:rsid w:val="16BB723D"/>
    <w:rsid w:val="178A5AFC"/>
    <w:rsid w:val="18015F3F"/>
    <w:rsid w:val="18F7519C"/>
    <w:rsid w:val="196470BB"/>
    <w:rsid w:val="1AB71087"/>
    <w:rsid w:val="1BE8440E"/>
    <w:rsid w:val="1D155CEE"/>
    <w:rsid w:val="20F57F95"/>
    <w:rsid w:val="240371BF"/>
    <w:rsid w:val="25190B88"/>
    <w:rsid w:val="25711CC6"/>
    <w:rsid w:val="25C741E6"/>
    <w:rsid w:val="26407923"/>
    <w:rsid w:val="27842671"/>
    <w:rsid w:val="28387D1D"/>
    <w:rsid w:val="29FD04D3"/>
    <w:rsid w:val="2ABE7A3E"/>
    <w:rsid w:val="2CA234A8"/>
    <w:rsid w:val="2CA63E6E"/>
    <w:rsid w:val="2CD70BC3"/>
    <w:rsid w:val="2E275724"/>
    <w:rsid w:val="2EFA178C"/>
    <w:rsid w:val="305B205D"/>
    <w:rsid w:val="30B46D73"/>
    <w:rsid w:val="319F7F4E"/>
    <w:rsid w:val="3446341C"/>
    <w:rsid w:val="356257B5"/>
    <w:rsid w:val="36206572"/>
    <w:rsid w:val="369710C5"/>
    <w:rsid w:val="383B2EA0"/>
    <w:rsid w:val="383D272C"/>
    <w:rsid w:val="39AE70AB"/>
    <w:rsid w:val="39FD7F8C"/>
    <w:rsid w:val="3A043A77"/>
    <w:rsid w:val="3C0C0783"/>
    <w:rsid w:val="3D597E80"/>
    <w:rsid w:val="3DB62F39"/>
    <w:rsid w:val="3F5E3F0A"/>
    <w:rsid w:val="3F9F3A96"/>
    <w:rsid w:val="3FB61AB9"/>
    <w:rsid w:val="3FC90FBB"/>
    <w:rsid w:val="42892500"/>
    <w:rsid w:val="439D4A0F"/>
    <w:rsid w:val="43C26223"/>
    <w:rsid w:val="46D54510"/>
    <w:rsid w:val="470F2BCE"/>
    <w:rsid w:val="48194880"/>
    <w:rsid w:val="488E5CD4"/>
    <w:rsid w:val="48BF60AB"/>
    <w:rsid w:val="49296D45"/>
    <w:rsid w:val="493C27E9"/>
    <w:rsid w:val="496F39ED"/>
    <w:rsid w:val="49FF41D3"/>
    <w:rsid w:val="4A9A1736"/>
    <w:rsid w:val="4BE068DB"/>
    <w:rsid w:val="4BF6002B"/>
    <w:rsid w:val="4C3212BF"/>
    <w:rsid w:val="4ECE2238"/>
    <w:rsid w:val="4F3508D0"/>
    <w:rsid w:val="4F5B577E"/>
    <w:rsid w:val="518C1C1F"/>
    <w:rsid w:val="51DB4B86"/>
    <w:rsid w:val="52DA3F43"/>
    <w:rsid w:val="55333C3E"/>
    <w:rsid w:val="56A36FFB"/>
    <w:rsid w:val="5B121F82"/>
    <w:rsid w:val="5C175494"/>
    <w:rsid w:val="5DA850D1"/>
    <w:rsid w:val="5FCF1A4D"/>
    <w:rsid w:val="5FE570CA"/>
    <w:rsid w:val="61B03707"/>
    <w:rsid w:val="64217961"/>
    <w:rsid w:val="64B252F9"/>
    <w:rsid w:val="64C01291"/>
    <w:rsid w:val="64CA39A1"/>
    <w:rsid w:val="69630ADE"/>
    <w:rsid w:val="6C396D03"/>
    <w:rsid w:val="6C4A05C8"/>
    <w:rsid w:val="6C664BF1"/>
    <w:rsid w:val="6CF25BD4"/>
    <w:rsid w:val="6D3B1A89"/>
    <w:rsid w:val="6E673C86"/>
    <w:rsid w:val="71BF4EC2"/>
    <w:rsid w:val="72734D90"/>
    <w:rsid w:val="7412278C"/>
    <w:rsid w:val="79E7B28D"/>
    <w:rsid w:val="7B2368A0"/>
    <w:rsid w:val="7E2C042F"/>
    <w:rsid w:val="7EB919F5"/>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76C532"/>
  <w15:docId w15:val="{36747BBD-523C-4DA6-97B0-C8B6E90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03FF8"/>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D03FF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03F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03FF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D03FF8"/>
    <w:pPr>
      <w:spacing w:beforeLines="30"/>
    </w:pPr>
    <w:rPr>
      <w:rFonts w:ascii="仿宋_GB2312" w:eastAsia="仿宋_GB2312"/>
      <w:kern w:val="0"/>
      <w:sz w:val="30"/>
    </w:rPr>
  </w:style>
  <w:style w:type="paragraph" w:styleId="TOC3">
    <w:name w:val="toc 3"/>
    <w:basedOn w:val="a"/>
    <w:next w:val="a"/>
    <w:uiPriority w:val="39"/>
    <w:unhideWhenUsed/>
    <w:qFormat/>
    <w:rsid w:val="00D03FF8"/>
    <w:pPr>
      <w:tabs>
        <w:tab w:val="right" w:leader="dot" w:pos="8296"/>
      </w:tabs>
      <w:ind w:leftChars="400" w:left="840"/>
    </w:pPr>
  </w:style>
  <w:style w:type="paragraph" w:styleId="a5">
    <w:name w:val="Balloon Text"/>
    <w:basedOn w:val="a"/>
    <w:link w:val="a6"/>
    <w:uiPriority w:val="99"/>
    <w:semiHidden/>
    <w:unhideWhenUsed/>
    <w:qFormat/>
    <w:rsid w:val="00D03FF8"/>
    <w:rPr>
      <w:sz w:val="18"/>
      <w:szCs w:val="18"/>
    </w:rPr>
  </w:style>
  <w:style w:type="paragraph" w:styleId="a7">
    <w:name w:val="footer"/>
    <w:basedOn w:val="a"/>
    <w:link w:val="a8"/>
    <w:uiPriority w:val="99"/>
    <w:qFormat/>
    <w:rsid w:val="00D03FF8"/>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D03FF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rsid w:val="00D03FF8"/>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rsid w:val="00D03FF8"/>
    <w:pPr>
      <w:tabs>
        <w:tab w:val="right" w:leader="dot" w:pos="8296"/>
      </w:tabs>
      <w:ind w:leftChars="200" w:left="420"/>
    </w:pPr>
  </w:style>
  <w:style w:type="character" w:styleId="ab">
    <w:name w:val="Strong"/>
    <w:basedOn w:val="a1"/>
    <w:uiPriority w:val="99"/>
    <w:qFormat/>
    <w:rsid w:val="00D03FF8"/>
    <w:rPr>
      <w:b/>
    </w:rPr>
  </w:style>
  <w:style w:type="character" w:styleId="ac">
    <w:name w:val="Hyperlink"/>
    <w:basedOn w:val="a1"/>
    <w:uiPriority w:val="99"/>
    <w:unhideWhenUsed/>
    <w:qFormat/>
    <w:rsid w:val="00D03FF8"/>
    <w:rPr>
      <w:color w:val="0000FF" w:themeColor="hyperlink"/>
      <w:u w:val="single"/>
    </w:rPr>
  </w:style>
  <w:style w:type="character" w:customStyle="1" w:styleId="HeaderChar">
    <w:name w:val="Header Char"/>
    <w:basedOn w:val="a1"/>
    <w:uiPriority w:val="99"/>
    <w:semiHidden/>
    <w:qFormat/>
    <w:rsid w:val="00D03FF8"/>
    <w:rPr>
      <w:rFonts w:ascii="Times New Roman" w:hAnsi="Times New Roman"/>
      <w:sz w:val="18"/>
      <w:szCs w:val="18"/>
    </w:rPr>
  </w:style>
  <w:style w:type="character" w:customStyle="1" w:styleId="aa">
    <w:name w:val="页眉 字符"/>
    <w:link w:val="a9"/>
    <w:uiPriority w:val="99"/>
    <w:semiHidden/>
    <w:qFormat/>
    <w:locked/>
    <w:rsid w:val="00D03FF8"/>
    <w:rPr>
      <w:sz w:val="18"/>
    </w:rPr>
  </w:style>
  <w:style w:type="character" w:customStyle="1" w:styleId="FooterChar">
    <w:name w:val="Footer Char"/>
    <w:basedOn w:val="a1"/>
    <w:uiPriority w:val="99"/>
    <w:semiHidden/>
    <w:qFormat/>
    <w:rsid w:val="00D03FF8"/>
    <w:rPr>
      <w:rFonts w:ascii="Times New Roman" w:hAnsi="Times New Roman"/>
      <w:sz w:val="18"/>
      <w:szCs w:val="18"/>
    </w:rPr>
  </w:style>
  <w:style w:type="character" w:customStyle="1" w:styleId="a8">
    <w:name w:val="页脚 字符"/>
    <w:link w:val="a7"/>
    <w:uiPriority w:val="99"/>
    <w:qFormat/>
    <w:locked/>
    <w:rsid w:val="00D03FF8"/>
    <w:rPr>
      <w:sz w:val="18"/>
    </w:rPr>
  </w:style>
  <w:style w:type="character" w:customStyle="1" w:styleId="BodyTextChar">
    <w:name w:val="Body Text Char"/>
    <w:basedOn w:val="a1"/>
    <w:uiPriority w:val="99"/>
    <w:semiHidden/>
    <w:qFormat/>
    <w:rsid w:val="00D03FF8"/>
    <w:rPr>
      <w:rFonts w:ascii="Times New Roman" w:hAnsi="Times New Roman"/>
      <w:szCs w:val="24"/>
    </w:rPr>
  </w:style>
  <w:style w:type="character" w:customStyle="1" w:styleId="a4">
    <w:name w:val="正文文本 字符"/>
    <w:link w:val="a0"/>
    <w:uiPriority w:val="99"/>
    <w:qFormat/>
    <w:locked/>
    <w:rsid w:val="00D03FF8"/>
    <w:rPr>
      <w:rFonts w:ascii="仿宋_GB2312" w:eastAsia="仿宋_GB2312" w:hAnsi="Times New Roman"/>
      <w:sz w:val="24"/>
    </w:rPr>
  </w:style>
  <w:style w:type="paragraph" w:customStyle="1" w:styleId="Default">
    <w:name w:val="Default"/>
    <w:uiPriority w:val="99"/>
    <w:qFormat/>
    <w:rsid w:val="00D03FF8"/>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rsid w:val="00D03FF8"/>
    <w:pPr>
      <w:ind w:firstLineChars="200" w:firstLine="420"/>
    </w:pPr>
  </w:style>
  <w:style w:type="character" w:customStyle="1" w:styleId="10">
    <w:name w:val="标题 1 字符"/>
    <w:basedOn w:val="a1"/>
    <w:link w:val="1"/>
    <w:uiPriority w:val="9"/>
    <w:qFormat/>
    <w:rsid w:val="00D03FF8"/>
    <w:rPr>
      <w:rFonts w:ascii="Times New Roman" w:hAnsi="Times New Roman"/>
      <w:b/>
      <w:bCs/>
      <w:kern w:val="44"/>
      <w:sz w:val="44"/>
      <w:szCs w:val="44"/>
    </w:rPr>
  </w:style>
  <w:style w:type="character" w:customStyle="1" w:styleId="20">
    <w:name w:val="标题 2 字符"/>
    <w:basedOn w:val="a1"/>
    <w:link w:val="2"/>
    <w:uiPriority w:val="9"/>
    <w:qFormat/>
    <w:rsid w:val="00D03FF8"/>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rsid w:val="00D03F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sid w:val="00D03FF8"/>
    <w:rPr>
      <w:rFonts w:ascii="Times New Roman" w:hAnsi="Times New Roman"/>
      <w:kern w:val="2"/>
      <w:sz w:val="18"/>
      <w:szCs w:val="18"/>
    </w:rPr>
  </w:style>
  <w:style w:type="character" w:customStyle="1" w:styleId="30">
    <w:name w:val="标题 3 字符"/>
    <w:basedOn w:val="a1"/>
    <w:link w:val="3"/>
    <w:uiPriority w:val="9"/>
    <w:qFormat/>
    <w:rsid w:val="00D03FF8"/>
    <w:rPr>
      <w:rFonts w:ascii="Times New Roman" w:hAnsi="Times New Roman"/>
      <w:b/>
      <w:bCs/>
      <w:kern w:val="2"/>
      <w:sz w:val="32"/>
      <w:szCs w:val="32"/>
    </w:rPr>
  </w:style>
  <w:style w:type="paragraph" w:customStyle="1" w:styleId="TOC20">
    <w:name w:val="TOC 标题2"/>
    <w:basedOn w:val="1"/>
    <w:next w:val="a"/>
    <w:uiPriority w:val="39"/>
    <w:unhideWhenUsed/>
    <w:qFormat/>
    <w:rsid w:val="00D03F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823</Words>
  <Characters>4692</Characters>
  <Application>Microsoft Office Word</Application>
  <DocSecurity>0</DocSecurity>
  <Lines>39</Lines>
  <Paragraphs>11</Paragraphs>
  <ScaleCrop>false</ScaleCrop>
  <Company>四川省财政厅</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48</cp:revision>
  <cp:lastPrinted>2023-07-31T02:35:00Z</cp:lastPrinted>
  <dcterms:created xsi:type="dcterms:W3CDTF">2020-08-05T01:49:00Z</dcterms:created>
  <dcterms:modified xsi:type="dcterms:W3CDTF">2023-09-26T01:45:00Z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E51EA69EA90B4922932692F4050650A0_13</vt:lpwstr>
  </property>
</Properties>
</file>