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攀枝花市自然资源和规划局</w:t>
      </w:r>
    </w:p>
    <w:p>
      <w:pPr>
        <w:spacing w:line="640" w:lineRule="exact"/>
        <w:ind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关于公开征求《</w:t>
      </w:r>
      <w:r>
        <w:rPr>
          <w:rFonts w:hint="eastAsia" w:eastAsia="方正小标宋_GBK"/>
          <w:color w:val="000000"/>
          <w:sz w:val="44"/>
          <w:szCs w:val="44"/>
        </w:rPr>
        <w:t>盐边县红格镇老山建筑用白云岩矿采矿权公开出让方案</w:t>
      </w:r>
      <w:r>
        <w:rPr>
          <w:rFonts w:hint="eastAsia" w:ascii="Times New Roman" w:hAnsi="Times New Roman" w:eastAsia="方正小标宋_GBK" w:cs="Times New Roman"/>
          <w:sz w:val="44"/>
          <w:szCs w:val="44"/>
          <w:lang w:val="en-US" w:eastAsia="zh-CN"/>
        </w:rPr>
        <w:t>（征求意</w:t>
      </w:r>
    </w:p>
    <w:p>
      <w:pPr>
        <w:spacing w:line="640" w:lineRule="exact"/>
        <w:ind w:firstLine="0" w:firstLineChars="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见稿）》意见的公告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FangSong_GB2312" w:cs="Times New Roman"/>
          <w:color w:val="000000"/>
          <w:sz w:val="32"/>
          <w:szCs w:val="32"/>
        </w:rPr>
      </w:pPr>
      <w:r>
        <w:rPr>
          <w:rFonts w:eastAsia="FangSong_GB2312"/>
          <w:bCs/>
          <w:color w:val="000000"/>
          <w:sz w:val="32"/>
          <w:szCs w:val="32"/>
        </w:rPr>
        <w:t>为保障攀宁、攀盐高速建设的砂石需求，</w:t>
      </w:r>
      <w:r>
        <w:rPr>
          <w:rFonts w:hint="eastAsia" w:eastAsia="FangSong_GB2312"/>
          <w:bCs/>
          <w:color w:val="000000"/>
          <w:sz w:val="32"/>
          <w:szCs w:val="32"/>
          <w:lang w:eastAsia="zh-CN"/>
        </w:rPr>
        <w:t>我市</w:t>
      </w:r>
      <w:r>
        <w:rPr>
          <w:rFonts w:eastAsia="FangSong_GB2312"/>
          <w:bCs/>
          <w:color w:val="000000"/>
          <w:sz w:val="32"/>
          <w:szCs w:val="32"/>
        </w:rPr>
        <w:t>拟设“盐边县红格镇老山建筑用白云岩矿”采矿权，并编制了</w:t>
      </w:r>
      <w:r>
        <w:rPr>
          <w:rFonts w:eastAsia="FangSong_GB2312"/>
          <w:color w:val="000000"/>
          <w:sz w:val="32"/>
          <w:szCs w:val="32"/>
        </w:rPr>
        <w:t>《盐边县红格镇老山建筑用</w:t>
      </w:r>
      <w:r>
        <w:rPr>
          <w:rFonts w:ascii="Times New Roman" w:hAnsi="Times New Roman" w:eastAsia="FangSong_GB2312" w:cs="Times New Roman"/>
          <w:color w:val="000000"/>
          <w:sz w:val="32"/>
          <w:szCs w:val="32"/>
        </w:rPr>
        <w:t>白云岩矿采矿权公开出让方案</w:t>
      </w:r>
      <w:r>
        <w:rPr>
          <w:rFonts w:hint="eastAsia" w:ascii="Times New Roman" w:hAnsi="Times New Roman" w:eastAsia="FangSong_GB2312" w:cs="Times New Roman"/>
          <w:color w:val="000000"/>
          <w:sz w:val="32"/>
          <w:szCs w:val="32"/>
          <w:lang w:val="en-US" w:eastAsia="zh-CN"/>
        </w:rPr>
        <w:t>（征求意见稿）</w:t>
      </w:r>
      <w:r>
        <w:rPr>
          <w:rFonts w:ascii="Times New Roman" w:hAnsi="Times New Roman" w:eastAsia="FangSong_GB2312" w:cs="Times New Roman"/>
          <w:color w:val="000000"/>
          <w:sz w:val="32"/>
          <w:szCs w:val="32"/>
        </w:rPr>
        <w:t>》</w:t>
      </w:r>
      <w:r>
        <w:rPr>
          <w:rFonts w:hint="eastAsia" w:ascii="Times New Roman" w:hAnsi="Times New Roman" w:eastAsia="FangSong_GB2312" w:cs="Times New Roman"/>
          <w:color w:val="000000"/>
          <w:sz w:val="32"/>
          <w:szCs w:val="32"/>
          <w:lang w:eastAsia="zh-CN"/>
        </w:rPr>
        <w:t>。</w:t>
      </w:r>
      <w:r>
        <w:rPr>
          <w:rFonts w:ascii="Times New Roman" w:hAnsi="Times New Roman" w:eastAsia="FangSong_GB2312" w:cs="Times New Roman"/>
          <w:color w:val="000000"/>
          <w:sz w:val="32"/>
          <w:szCs w:val="32"/>
        </w:rPr>
        <w:t>现向社会公开征求意见，欢迎社会各界人士就有关内容提出宝贵意见和建议。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FangSong_GB2312" w:cs="Times New Roman"/>
          <w:color w:val="000000"/>
          <w:sz w:val="32"/>
          <w:szCs w:val="32"/>
        </w:rPr>
      </w:pPr>
      <w:r>
        <w:rPr>
          <w:rFonts w:ascii="Times New Roman" w:hAnsi="Times New Roman" w:eastAsia="FangSong_GB2312" w:cs="Times New Roman"/>
          <w:color w:val="000000"/>
          <w:sz w:val="32"/>
          <w:szCs w:val="32"/>
        </w:rPr>
        <w:t>公开征求意见时间截止到</w:t>
      </w:r>
      <w:r>
        <w:rPr>
          <w:rFonts w:hint="eastAsia" w:ascii="Times New Roman" w:hAnsi="Times New Roman" w:eastAsia="FangSong_GB2312" w:cs="Times New Roman"/>
          <w:color w:val="000000"/>
          <w:sz w:val="32"/>
          <w:szCs w:val="32"/>
        </w:rPr>
        <w:t>20</w:t>
      </w:r>
      <w:bookmarkStart w:id="0" w:name="_GoBack"/>
      <w:bookmarkEnd w:id="0"/>
      <w:r>
        <w:rPr>
          <w:rFonts w:hint="eastAsia" w:ascii="Times New Roman" w:hAnsi="Times New Roman" w:eastAsia="FangSong_GB2312" w:cs="Times New Roman"/>
          <w:color w:val="000000"/>
          <w:sz w:val="32"/>
          <w:szCs w:val="32"/>
        </w:rPr>
        <w:t>22年</w:t>
      </w:r>
      <w:r>
        <w:rPr>
          <w:rFonts w:hint="eastAsia" w:ascii="Times New Roman" w:hAnsi="Times New Roman" w:eastAsia="FangSong_GB2312" w:cs="Times New Roman"/>
          <w:color w:val="000000"/>
          <w:sz w:val="32"/>
          <w:szCs w:val="32"/>
          <w:lang w:val="en-US" w:eastAsia="zh-CN"/>
        </w:rPr>
        <w:t>9</w:t>
      </w:r>
      <w:r>
        <w:rPr>
          <w:rFonts w:hint="eastAsia" w:ascii="Times New Roman" w:hAnsi="Times New Roman" w:eastAsia="FangSong_GB2312" w:cs="Times New Roman"/>
          <w:color w:val="000000"/>
          <w:sz w:val="32"/>
          <w:szCs w:val="32"/>
        </w:rPr>
        <w:t>月</w:t>
      </w:r>
      <w:r>
        <w:rPr>
          <w:rFonts w:hint="eastAsia" w:eastAsia="FangSong_GB2312" w:cs="Times New Roman"/>
          <w:color w:val="000000"/>
          <w:sz w:val="32"/>
          <w:szCs w:val="32"/>
          <w:lang w:val="en-US" w:eastAsia="zh-CN"/>
        </w:rPr>
        <w:t>27</w:t>
      </w:r>
      <w:r>
        <w:rPr>
          <w:rFonts w:hint="eastAsia" w:ascii="Times New Roman" w:hAnsi="Times New Roman" w:eastAsia="FangSong_GB2312" w:cs="Times New Roman"/>
          <w:color w:val="000000"/>
          <w:sz w:val="32"/>
          <w:szCs w:val="32"/>
        </w:rPr>
        <w:t>日，</w:t>
      </w:r>
      <w:r>
        <w:rPr>
          <w:rFonts w:ascii="Times New Roman" w:hAnsi="Times New Roman" w:eastAsia="FangSong_GB2312" w:cs="Times New Roman"/>
          <w:color w:val="000000"/>
          <w:sz w:val="32"/>
          <w:szCs w:val="32"/>
        </w:rPr>
        <w:t>公众</w:t>
      </w:r>
      <w:r>
        <w:rPr>
          <w:rFonts w:hint="eastAsia" w:ascii="Times New Roman" w:hAnsi="Times New Roman" w:eastAsia="FangSong_GB2312" w:cs="Times New Roman"/>
          <w:color w:val="000000"/>
          <w:sz w:val="32"/>
          <w:szCs w:val="32"/>
        </w:rPr>
        <w:t>可通过以下途径和方式提出意见建议：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FangSong_GB2312" w:cs="Times New Roman"/>
          <w:color w:val="000000"/>
          <w:sz w:val="32"/>
          <w:szCs w:val="32"/>
        </w:rPr>
      </w:pPr>
      <w:r>
        <w:rPr>
          <w:rFonts w:hint="eastAsia" w:ascii="Times New Roman" w:hAnsi="Times New Roman" w:eastAsia="FangSong_GB2312" w:cs="Times New Roman"/>
          <w:color w:val="000000"/>
          <w:sz w:val="32"/>
          <w:szCs w:val="32"/>
          <w:lang w:val="en-US" w:eastAsia="zh-CN"/>
        </w:rPr>
        <w:t>1.</w:t>
      </w:r>
      <w:r>
        <w:rPr>
          <w:rFonts w:ascii="Times New Roman" w:hAnsi="Times New Roman" w:eastAsia="FangSong_GB2312" w:cs="Times New Roman"/>
          <w:color w:val="000000"/>
          <w:sz w:val="32"/>
          <w:szCs w:val="32"/>
        </w:rPr>
        <w:fldChar w:fldCharType="begin"/>
      </w:r>
      <w:r>
        <w:rPr>
          <w:rFonts w:ascii="Times New Roman" w:hAnsi="Times New Roman" w:eastAsia="FangSong_GB2312" w:cs="Times New Roman"/>
          <w:color w:val="000000"/>
          <w:sz w:val="32"/>
          <w:szCs w:val="32"/>
        </w:rPr>
        <w:instrText xml:space="preserve"> HYPERLINK "mailto:通过电子邮件发送至220015671@qq.com。" </w:instrText>
      </w:r>
      <w:r>
        <w:rPr>
          <w:rFonts w:ascii="Times New Roman" w:hAnsi="Times New Roman" w:eastAsia="FangSong_GB2312" w:cs="Times New Roman"/>
          <w:color w:val="000000"/>
          <w:sz w:val="32"/>
          <w:szCs w:val="32"/>
        </w:rPr>
        <w:fldChar w:fldCharType="separate"/>
      </w:r>
      <w:r>
        <w:rPr>
          <w:rFonts w:ascii="Times New Roman" w:hAnsi="Times New Roman" w:eastAsia="FangSong_GB2312" w:cs="Times New Roman"/>
          <w:color w:val="000000"/>
          <w:sz w:val="32"/>
          <w:szCs w:val="32"/>
        </w:rPr>
        <w:t>通过电子邮件发送至</w:t>
      </w:r>
      <w:r>
        <w:rPr>
          <w:rFonts w:hint="eastAsia" w:ascii="Times New Roman" w:hAnsi="Times New Roman" w:eastAsia="FangSong_GB2312" w:cs="Times New Roman"/>
          <w:color w:val="000000"/>
          <w:sz w:val="32"/>
          <w:szCs w:val="32"/>
          <w:lang w:val="en-US" w:eastAsia="zh-CN"/>
        </w:rPr>
        <w:t>2200151671@qq.com</w:t>
      </w:r>
      <w:r>
        <w:rPr>
          <w:rFonts w:ascii="Times New Roman" w:hAnsi="Times New Roman" w:eastAsia="FangSong_GB2312" w:cs="Times New Roman"/>
          <w:color w:val="000000"/>
          <w:sz w:val="32"/>
          <w:szCs w:val="32"/>
        </w:rPr>
        <w:t>。</w:t>
      </w:r>
      <w:r>
        <w:rPr>
          <w:rFonts w:ascii="Times New Roman" w:hAnsi="Times New Roman" w:eastAsia="FangSong_GB2312" w:cs="Times New Roman"/>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FangSong_GB2312" w:cs="Times New Roman"/>
          <w:color w:val="000000"/>
          <w:sz w:val="32"/>
          <w:szCs w:val="32"/>
          <w:lang w:val="en-US" w:eastAsia="zh-CN"/>
        </w:rPr>
      </w:pPr>
      <w:r>
        <w:rPr>
          <w:rFonts w:hint="eastAsia" w:ascii="Times New Roman" w:hAnsi="Times New Roman" w:eastAsia="FangSong_GB2312" w:cs="Times New Roman"/>
          <w:color w:val="000000"/>
          <w:sz w:val="32"/>
          <w:szCs w:val="32"/>
          <w:lang w:val="en-US" w:eastAsia="zh-CN"/>
        </w:rPr>
        <w:t>2.</w:t>
      </w:r>
      <w:r>
        <w:rPr>
          <w:rFonts w:ascii="Times New Roman" w:hAnsi="Times New Roman" w:eastAsia="FangSong_GB2312" w:cs="Times New Roman"/>
          <w:color w:val="000000"/>
          <w:sz w:val="32"/>
          <w:szCs w:val="32"/>
        </w:rPr>
        <w:t>办公电话：</w:t>
      </w:r>
      <w:r>
        <w:rPr>
          <w:rFonts w:hint="eastAsia" w:ascii="Times New Roman" w:hAnsi="Times New Roman" w:eastAsia="FangSong_GB2312" w:cs="Times New Roman"/>
          <w:color w:val="000000"/>
          <w:sz w:val="32"/>
          <w:szCs w:val="32"/>
          <w:lang w:eastAsia="zh-CN"/>
        </w:rPr>
        <w:t>攀枝花市自然资源和规划局矿业权管理科</w:t>
      </w:r>
      <w:r>
        <w:rPr>
          <w:rFonts w:hint="eastAsia" w:ascii="Times New Roman" w:hAnsi="Times New Roman" w:eastAsia="FangSong_GB2312" w:cs="Times New Roman"/>
          <w:color w:val="000000"/>
          <w:sz w:val="32"/>
          <w:szCs w:val="32"/>
          <w:lang w:val="en-US" w:eastAsia="zh-CN"/>
        </w:rPr>
        <w:t xml:space="preserve"> 0812-3364129</w:t>
      </w:r>
      <w:r>
        <w:rPr>
          <w:rFonts w:hint="eastAsia" w:eastAsia="FangSong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608" w:leftChars="304"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FangSong_GB2312" w:cs="Times New Roman"/>
          <w:color w:val="000000"/>
          <w:sz w:val="32"/>
          <w:szCs w:val="32"/>
        </w:rPr>
      </w:pPr>
      <w:r>
        <w:rPr>
          <w:rFonts w:hint="eastAsia" w:ascii="Times New Roman" w:hAnsi="Times New Roman" w:eastAsia="FangSong_GB2312" w:cs="Times New Roman"/>
          <w:color w:val="000000"/>
          <w:sz w:val="32"/>
          <w:szCs w:val="32"/>
          <w:lang w:val="en-US" w:eastAsia="zh-CN"/>
        </w:rPr>
        <w:t>附件：</w:t>
      </w:r>
      <w:r>
        <w:rPr>
          <w:rFonts w:hint="eastAsia" w:ascii="Times New Roman" w:hAnsi="Times New Roman" w:eastAsia="FangSong_GB2312" w:cs="Times New Roman"/>
          <w:color w:val="000000"/>
          <w:sz w:val="32"/>
          <w:szCs w:val="32"/>
        </w:rPr>
        <w:t>盐边县红格镇老山建筑用白云岩矿采矿权公开出让</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Times New Roman" w:hAnsi="Times New Roman" w:eastAsia="FangSong_GB2312" w:cs="Times New Roman"/>
          <w:color w:val="000000"/>
          <w:sz w:val="32"/>
          <w:szCs w:val="32"/>
          <w:lang w:val="en-US" w:eastAsia="zh-CN"/>
        </w:rPr>
      </w:pPr>
      <w:r>
        <w:rPr>
          <w:rFonts w:hint="eastAsia" w:ascii="Times New Roman" w:hAnsi="Times New Roman" w:eastAsia="FangSong_GB2312" w:cs="Times New Roman"/>
          <w:color w:val="000000"/>
          <w:sz w:val="32"/>
          <w:szCs w:val="32"/>
        </w:rPr>
        <w:t>方案</w:t>
      </w:r>
      <w:r>
        <w:rPr>
          <w:rFonts w:hint="eastAsia" w:ascii="Times New Roman" w:hAnsi="Times New Roman" w:eastAsia="FangSong_GB2312" w:cs="Times New Roman"/>
          <w:color w:val="00000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608" w:leftChars="304"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08" w:leftChars="304"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攀枝花市自然资源和规划局</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2022年9月21日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right"/>
        <w:rPr>
          <w:rFonts w:hint="eastAsia" w:eastAsia="方正小标宋_GBK"/>
          <w:color w:val="000000"/>
          <w:sz w:val="44"/>
          <w:szCs w:val="44"/>
        </w:rPr>
      </w:pPr>
      <w:r>
        <w:rPr>
          <w:rFonts w:hint="eastAsia" w:ascii="仿宋_GB2312" w:hAnsi="仿宋_GB2312" w:eastAsia="仿宋_GB2312" w:cs="仿宋_GB2312"/>
          <w:sz w:val="32"/>
          <w:szCs w:val="32"/>
          <w:lang w:val="en-US" w:eastAsia="zh-CN"/>
        </w:rPr>
        <w:t xml:space="preserve"> </w:t>
      </w:r>
    </w:p>
    <w:p>
      <w:pPr>
        <w:spacing w:line="640" w:lineRule="exact"/>
        <w:ind w:firstLine="0" w:firstLineChars="0"/>
        <w:jc w:val="center"/>
        <w:rPr>
          <w:rFonts w:eastAsia="方正小标宋_GBK"/>
          <w:color w:val="000000"/>
          <w:sz w:val="44"/>
          <w:szCs w:val="44"/>
        </w:rPr>
      </w:pPr>
      <w:r>
        <w:rPr>
          <w:rFonts w:hint="eastAsia" w:eastAsia="方正小标宋_GBK"/>
          <w:color w:val="000000"/>
          <w:sz w:val="44"/>
          <w:szCs w:val="44"/>
        </w:rPr>
        <w:t>盐边县红格镇老山建筑用白云岩矿采矿权</w:t>
      </w:r>
    </w:p>
    <w:p>
      <w:pPr>
        <w:spacing w:line="640" w:lineRule="exact"/>
        <w:ind w:firstLine="0" w:firstLineChars="0"/>
        <w:jc w:val="center"/>
        <w:rPr>
          <w:rFonts w:eastAsia="方正小标宋_GBK"/>
          <w:color w:val="000000"/>
          <w:sz w:val="44"/>
          <w:szCs w:val="44"/>
        </w:rPr>
      </w:pPr>
      <w:r>
        <w:rPr>
          <w:rFonts w:hint="eastAsia" w:eastAsia="方正小标宋_GBK"/>
          <w:color w:val="000000"/>
          <w:sz w:val="44"/>
          <w:szCs w:val="44"/>
        </w:rPr>
        <w:t>公开出让方案</w:t>
      </w:r>
    </w:p>
    <w:p>
      <w:pPr>
        <w:spacing w:line="560" w:lineRule="exact"/>
        <w:ind w:firstLine="640"/>
        <w:jc w:val="center"/>
        <w:rPr>
          <w:rFonts w:eastAsia="FangSong_GB2312"/>
          <w:color w:val="000000"/>
          <w:sz w:val="32"/>
          <w:szCs w:val="32"/>
        </w:rPr>
      </w:pPr>
      <w:r>
        <w:rPr>
          <w:rFonts w:hint="eastAsia" w:ascii="仿宋_GB2312" w:hAnsi="仿宋_GB2312" w:eastAsia="仿宋_GB2312" w:cs="仿宋_GB2312"/>
          <w:sz w:val="32"/>
          <w:szCs w:val="32"/>
          <w:lang w:val="en-US" w:eastAsia="zh-CN"/>
        </w:rPr>
        <w:t>（征求意见稿）</w:t>
      </w:r>
    </w:p>
    <w:p>
      <w:pPr>
        <w:spacing w:line="560" w:lineRule="exact"/>
        <w:ind w:firstLine="640"/>
        <w:rPr>
          <w:rFonts w:hint="eastAsia" w:eastAsia="FangSong_GB2312"/>
          <w:color w:val="000000"/>
          <w:sz w:val="32"/>
          <w:szCs w:val="32"/>
        </w:rPr>
      </w:pPr>
    </w:p>
    <w:p>
      <w:pPr>
        <w:spacing w:line="560" w:lineRule="exact"/>
        <w:ind w:firstLine="640"/>
        <w:rPr>
          <w:rFonts w:eastAsia="FangSong_GB2312"/>
          <w:color w:val="000000"/>
          <w:sz w:val="32"/>
          <w:szCs w:val="32"/>
        </w:rPr>
      </w:pPr>
      <w:r>
        <w:rPr>
          <w:rFonts w:hint="eastAsia" w:eastAsia="FangSong_GB2312"/>
          <w:color w:val="000000"/>
          <w:sz w:val="32"/>
          <w:szCs w:val="32"/>
        </w:rPr>
        <w:t>根据《矿产资源开采登记管理办法》（国务院241号令）、《矿业权交易规则》（国土资规〔2017〕7号）</w:t>
      </w:r>
      <w:r>
        <w:rPr>
          <w:rFonts w:hint="eastAsia" w:eastAsia="FangSong_GB2312"/>
          <w:color w:val="000000"/>
          <w:sz w:val="32"/>
          <w:szCs w:val="32"/>
          <w:lang w:eastAsia="zh-CN"/>
        </w:rPr>
        <w:t>、</w:t>
      </w:r>
      <w:r>
        <w:rPr>
          <w:rFonts w:hint="eastAsia" w:eastAsia="FangSong_GB2312"/>
          <w:color w:val="000000"/>
          <w:sz w:val="32"/>
          <w:szCs w:val="32"/>
        </w:rPr>
        <w:t>《自然资源部关于推进矿产资源管理改革若干事项的意见（试行）》（自然资规〔2019〕7号）、《四川省自然资源厅关于贯彻落&lt;自然资源部关于推进矿产资源管理改革若干事项的意见（试行）&gt;的通知》（川自然资规〔2020〕9号）的相关规定，编制本公开出让方案。</w:t>
      </w:r>
    </w:p>
    <w:p>
      <w:pPr>
        <w:spacing w:line="560" w:lineRule="exact"/>
        <w:ind w:firstLine="640"/>
        <w:rPr>
          <w:rFonts w:eastAsia="黑体"/>
          <w:color w:val="000000"/>
          <w:sz w:val="32"/>
          <w:szCs w:val="32"/>
        </w:rPr>
      </w:pPr>
      <w:r>
        <w:rPr>
          <w:rFonts w:eastAsia="黑体"/>
          <w:color w:val="000000"/>
          <w:sz w:val="32"/>
          <w:szCs w:val="32"/>
        </w:rPr>
        <w:t>一、</w:t>
      </w:r>
      <w:r>
        <w:rPr>
          <w:rFonts w:hint="eastAsia" w:eastAsia="黑体"/>
          <w:color w:val="000000"/>
          <w:sz w:val="32"/>
          <w:szCs w:val="32"/>
        </w:rPr>
        <w:t>拟出让采矿权的基本情况</w:t>
      </w:r>
    </w:p>
    <w:p>
      <w:pPr>
        <w:adjustRightInd w:val="0"/>
        <w:snapToGrid w:val="0"/>
        <w:spacing w:line="560" w:lineRule="exact"/>
        <w:ind w:firstLine="640"/>
        <w:rPr>
          <w:rFonts w:eastAsia="FangSong_GB2312"/>
          <w:color w:val="000000"/>
          <w:spacing w:val="10"/>
          <w:sz w:val="32"/>
          <w:szCs w:val="32"/>
        </w:rPr>
      </w:pPr>
      <w:r>
        <w:rPr>
          <w:rFonts w:eastAsia="FangSong_GB2312"/>
          <w:color w:val="000000"/>
          <w:sz w:val="32"/>
          <w:szCs w:val="32"/>
        </w:rPr>
        <w:t>盐边县红格镇老山建筑用白云岩</w:t>
      </w:r>
      <w:r>
        <w:rPr>
          <w:rFonts w:eastAsia="FangSong_GB2312"/>
          <w:color w:val="000000"/>
          <w:spacing w:val="10"/>
          <w:sz w:val="32"/>
          <w:szCs w:val="32"/>
        </w:rPr>
        <w:t>矿拟设采矿区范围中心点位于盐边县新县城150°方向，平距24km处，中心点地理坐标(2000国家大地坐标系):东经101°58′28″，北纬26°31′38″，行政区划属盐边县红格镇所辖。</w:t>
      </w:r>
    </w:p>
    <w:p>
      <w:pPr>
        <w:adjustRightInd w:val="0"/>
        <w:snapToGrid w:val="0"/>
        <w:spacing w:line="560" w:lineRule="exact"/>
        <w:ind w:firstLine="680"/>
        <w:rPr>
          <w:rFonts w:eastAsia="FangSong_GB2312"/>
          <w:color w:val="000000"/>
          <w:spacing w:val="10"/>
          <w:sz w:val="32"/>
          <w:szCs w:val="32"/>
        </w:rPr>
      </w:pPr>
      <w:r>
        <w:rPr>
          <w:rFonts w:eastAsia="FangSong_GB2312"/>
          <w:color w:val="000000"/>
          <w:spacing w:val="10"/>
          <w:sz w:val="32"/>
          <w:szCs w:val="32"/>
        </w:rPr>
        <w:t>矿区有乡村道路同省道310线相连，至省道310线直线距离为600m，沿省道310线至红格镇公路里程约2km，红格镇至西攀高速公路新九出口约10km；距盐边县县城公路里程约42km；到攀枝花市区公路里程约35km；到成昆铁路三堆子火车站公路里程为15km。</w:t>
      </w:r>
    </w:p>
    <w:p>
      <w:pPr>
        <w:widowControl/>
        <w:adjustRightInd w:val="0"/>
        <w:snapToGrid w:val="0"/>
        <w:spacing w:line="560" w:lineRule="exact"/>
        <w:ind w:firstLine="640"/>
        <w:rPr>
          <w:rFonts w:eastAsia="FangSong_GB2312"/>
          <w:color w:val="000000"/>
          <w:spacing w:val="10"/>
          <w:sz w:val="32"/>
          <w:szCs w:val="32"/>
        </w:rPr>
      </w:pPr>
      <w:r>
        <w:rPr>
          <w:rFonts w:eastAsia="FangSong_GB2312"/>
          <w:color w:val="000000"/>
          <w:sz w:val="32"/>
          <w:szCs w:val="32"/>
        </w:rPr>
        <w:t>盐边县红格镇老山建筑用白云岩</w:t>
      </w:r>
      <w:r>
        <w:rPr>
          <w:rFonts w:eastAsia="FangSong_GB2312"/>
          <w:color w:val="000000"/>
          <w:spacing w:val="10"/>
          <w:sz w:val="32"/>
          <w:szCs w:val="32"/>
        </w:rPr>
        <w:t>矿拟设采矿权</w:t>
      </w:r>
      <w:r>
        <w:rPr>
          <w:rFonts w:hint="eastAsia" w:eastAsia="FangSong_GB2312"/>
          <w:color w:val="000000"/>
          <w:sz w:val="32"/>
          <w:szCs w:val="32"/>
        </w:rPr>
        <w:t>为支持和满足攀宁高速等重大工程建设砂石的需求</w:t>
      </w:r>
      <w:r>
        <w:rPr>
          <w:rFonts w:eastAsia="FangSong_GB2312"/>
          <w:color w:val="000000"/>
          <w:spacing w:val="10"/>
          <w:sz w:val="32"/>
          <w:szCs w:val="32"/>
        </w:rPr>
        <w:t>，开采矿种为建筑用白云</w:t>
      </w:r>
      <w:r>
        <w:rPr>
          <w:rFonts w:eastAsia="FangSong_GB2312"/>
          <w:color w:val="000000"/>
          <w:sz w:val="32"/>
          <w:szCs w:val="32"/>
        </w:rPr>
        <w:t>岩</w:t>
      </w:r>
      <w:r>
        <w:rPr>
          <w:rFonts w:eastAsia="FangSong_GB2312"/>
          <w:color w:val="000000"/>
          <w:spacing w:val="10"/>
          <w:sz w:val="32"/>
          <w:szCs w:val="32"/>
        </w:rPr>
        <w:t>矿，开采方式为露天开采，</w:t>
      </w:r>
      <w:r>
        <w:rPr>
          <w:rFonts w:hint="eastAsia" w:eastAsia="FangSong_GB2312"/>
          <w:color w:val="000000"/>
          <w:sz w:val="32"/>
          <w:szCs w:val="32"/>
        </w:rPr>
        <w:t>拟动用资源量147.37万</w:t>
      </w:r>
      <w:r>
        <w:rPr>
          <w:rFonts w:eastAsia="FangSong_GB2312"/>
          <w:color w:val="000000"/>
          <w:sz w:val="32"/>
          <w:szCs w:val="32"/>
        </w:rPr>
        <w:t>m</w:t>
      </w:r>
      <w:r>
        <w:rPr>
          <w:rFonts w:eastAsia="FangSong_GB2312"/>
          <w:color w:val="000000"/>
          <w:sz w:val="32"/>
          <w:szCs w:val="32"/>
          <w:vertAlign w:val="superscript"/>
        </w:rPr>
        <w:t>3</w:t>
      </w:r>
      <w:r>
        <w:rPr>
          <w:rFonts w:hint="eastAsia" w:eastAsia="FangSong_GB2312"/>
          <w:color w:val="000000"/>
          <w:sz w:val="32"/>
          <w:szCs w:val="32"/>
        </w:rPr>
        <w:t>，</w:t>
      </w:r>
      <w:r>
        <w:rPr>
          <w:rFonts w:eastAsia="FangSong_GB2312"/>
          <w:color w:val="000000"/>
          <w:sz w:val="32"/>
          <w:szCs w:val="32"/>
        </w:rPr>
        <w:t>拟设计生产规模20万m</w:t>
      </w:r>
      <w:r>
        <w:rPr>
          <w:rFonts w:eastAsia="FangSong_GB2312"/>
          <w:color w:val="000000"/>
          <w:sz w:val="32"/>
          <w:szCs w:val="32"/>
          <w:vertAlign w:val="superscript"/>
        </w:rPr>
        <w:t>3</w:t>
      </w:r>
      <w:r>
        <w:rPr>
          <w:rFonts w:eastAsia="FangSong_GB2312"/>
          <w:color w:val="000000"/>
          <w:sz w:val="32"/>
          <w:szCs w:val="32"/>
        </w:rPr>
        <w:t>/年，出让年限7年。</w:t>
      </w:r>
      <w:r>
        <w:rPr>
          <w:rFonts w:eastAsia="FangSong_GB2312"/>
          <w:color w:val="000000"/>
          <w:spacing w:val="10"/>
          <w:sz w:val="32"/>
          <w:szCs w:val="32"/>
        </w:rPr>
        <w:t>拟设矿权矿区面积0.067km</w:t>
      </w:r>
      <w:r>
        <w:rPr>
          <w:rFonts w:eastAsia="FangSong_GB2312"/>
          <w:color w:val="000000"/>
          <w:spacing w:val="10"/>
          <w:sz w:val="32"/>
          <w:szCs w:val="32"/>
          <w:vertAlign w:val="superscript"/>
        </w:rPr>
        <w:t>2</w:t>
      </w:r>
      <w:r>
        <w:rPr>
          <w:rFonts w:eastAsia="FangSong_GB2312"/>
          <w:color w:val="000000"/>
          <w:spacing w:val="10"/>
          <w:sz w:val="32"/>
          <w:szCs w:val="32"/>
        </w:rPr>
        <w:t>，矿区范围由５个拐点圈闭合组成，开采标高为+1531～+1669m。拟设采矿权拐点坐标见下表。</w:t>
      </w:r>
    </w:p>
    <w:p>
      <w:pPr>
        <w:spacing w:line="560" w:lineRule="exact"/>
        <w:ind w:firstLine="0" w:firstLineChars="0"/>
        <w:jc w:val="center"/>
        <w:rPr>
          <w:rFonts w:eastAsia="FangSong_GB2312"/>
          <w:color w:val="000000"/>
          <w:spacing w:val="10"/>
          <w:sz w:val="32"/>
          <w:szCs w:val="32"/>
        </w:rPr>
      </w:pPr>
      <w:r>
        <w:rPr>
          <w:rFonts w:hint="eastAsia" w:eastAsia="FangSong_GB2312"/>
          <w:color w:val="000000"/>
          <w:spacing w:val="10"/>
          <w:sz w:val="32"/>
          <w:szCs w:val="32"/>
        </w:rPr>
        <w:t>矿区范围拐点直角坐标表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226"/>
        <w:gridCol w:w="2415"/>
        <w:gridCol w:w="175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715" w:type="dxa"/>
            <w:vMerge w:val="restart"/>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拐点</w:t>
            </w:r>
          </w:p>
          <w:p>
            <w:pPr>
              <w:widowControl/>
              <w:spacing w:line="560" w:lineRule="exact"/>
              <w:ind w:firstLine="0" w:firstLineChars="0"/>
              <w:jc w:val="center"/>
              <w:textAlignment w:val="center"/>
              <w:rPr>
                <w:color w:val="000000"/>
                <w:sz w:val="24"/>
              </w:rPr>
            </w:pPr>
            <w:r>
              <w:rPr>
                <w:color w:val="000000"/>
                <w:sz w:val="24"/>
              </w:rPr>
              <w:t>编号</w:t>
            </w:r>
          </w:p>
        </w:tc>
        <w:tc>
          <w:tcPr>
            <w:tcW w:w="4641" w:type="dxa"/>
            <w:gridSpan w:val="2"/>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地理坐标</w:t>
            </w:r>
          </w:p>
        </w:tc>
        <w:tc>
          <w:tcPr>
            <w:tcW w:w="3459" w:type="dxa"/>
            <w:gridSpan w:val="2"/>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直角坐标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715" w:type="dxa"/>
            <w:vMerge w:val="continue"/>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p>
        </w:tc>
        <w:tc>
          <w:tcPr>
            <w:tcW w:w="2226"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东经</w:t>
            </w:r>
          </w:p>
        </w:tc>
        <w:tc>
          <w:tcPr>
            <w:tcW w:w="24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北纬</w:t>
            </w:r>
          </w:p>
        </w:tc>
        <w:tc>
          <w:tcPr>
            <w:tcW w:w="175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X</w:t>
            </w:r>
          </w:p>
        </w:tc>
        <w:tc>
          <w:tcPr>
            <w:tcW w:w="1704"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7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1</w:t>
            </w:r>
          </w:p>
        </w:tc>
        <w:tc>
          <w:tcPr>
            <w:tcW w:w="2226"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101°58′32.308″</w:t>
            </w:r>
          </w:p>
        </w:tc>
        <w:tc>
          <w:tcPr>
            <w:tcW w:w="2415"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26°31′39.882″</w:t>
            </w:r>
          </w:p>
        </w:tc>
        <w:tc>
          <w:tcPr>
            <w:tcW w:w="1755"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2935304.717</w:t>
            </w:r>
          </w:p>
        </w:tc>
        <w:tc>
          <w:tcPr>
            <w:tcW w:w="1704"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34497572.21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exact"/>
          <w:jc w:val="center"/>
        </w:trPr>
        <w:tc>
          <w:tcPr>
            <w:tcW w:w="7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2</w:t>
            </w:r>
          </w:p>
        </w:tc>
        <w:tc>
          <w:tcPr>
            <w:tcW w:w="2226"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101°58′24.946″</w:t>
            </w:r>
          </w:p>
        </w:tc>
        <w:tc>
          <w:tcPr>
            <w:tcW w:w="2415"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26°31′36.829″</w:t>
            </w:r>
          </w:p>
        </w:tc>
        <w:tc>
          <w:tcPr>
            <w:tcW w:w="1755"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2935210.855</w:t>
            </w:r>
          </w:p>
        </w:tc>
        <w:tc>
          <w:tcPr>
            <w:tcW w:w="1704"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34497368.37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7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3</w:t>
            </w:r>
          </w:p>
        </w:tc>
        <w:tc>
          <w:tcPr>
            <w:tcW w:w="2226"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101°58′19.517″</w:t>
            </w:r>
          </w:p>
        </w:tc>
        <w:tc>
          <w:tcPr>
            <w:tcW w:w="2415"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26°31′46.261″</w:t>
            </w:r>
          </w:p>
        </w:tc>
        <w:tc>
          <w:tcPr>
            <w:tcW w:w="1755"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2935501.137</w:t>
            </w:r>
          </w:p>
        </w:tc>
        <w:tc>
          <w:tcPr>
            <w:tcW w:w="1704"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34497218.13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7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4</w:t>
            </w:r>
          </w:p>
        </w:tc>
        <w:tc>
          <w:tcPr>
            <w:tcW w:w="2226"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101°58′21.59″</w:t>
            </w:r>
          </w:p>
        </w:tc>
        <w:tc>
          <w:tcPr>
            <w:tcW w:w="2415"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26°31′47.132″</w:t>
            </w:r>
          </w:p>
        </w:tc>
        <w:tc>
          <w:tcPr>
            <w:tcW w:w="1755"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2935527.915</w:t>
            </w:r>
          </w:p>
        </w:tc>
        <w:tc>
          <w:tcPr>
            <w:tcW w:w="1704"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34497275.59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jc w:val="center"/>
        </w:trPr>
        <w:tc>
          <w:tcPr>
            <w:tcW w:w="715" w:type="dxa"/>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5</w:t>
            </w:r>
          </w:p>
        </w:tc>
        <w:tc>
          <w:tcPr>
            <w:tcW w:w="2226"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101°58′29.77″</w:t>
            </w:r>
          </w:p>
        </w:tc>
        <w:tc>
          <w:tcPr>
            <w:tcW w:w="2415" w:type="dxa"/>
            <w:tcBorders>
              <w:tl2br w:val="nil"/>
              <w:tr2bl w:val="nil"/>
            </w:tcBorders>
            <w:noWrap/>
            <w:tcMar>
              <w:top w:w="15" w:type="dxa"/>
              <w:left w:w="15" w:type="dxa"/>
              <w:right w:w="15" w:type="dxa"/>
            </w:tcMar>
            <w:vAlign w:val="bottom"/>
          </w:tcPr>
          <w:p>
            <w:pPr>
              <w:widowControl/>
              <w:adjustRightInd w:val="0"/>
              <w:snapToGrid w:val="0"/>
              <w:spacing w:line="560" w:lineRule="exact"/>
              <w:ind w:firstLine="0" w:firstLineChars="0"/>
              <w:jc w:val="center"/>
              <w:textAlignment w:val="bottom"/>
              <w:rPr>
                <w:color w:val="000000"/>
                <w:sz w:val="24"/>
              </w:rPr>
            </w:pPr>
            <w:r>
              <w:rPr>
                <w:color w:val="000000"/>
                <w:sz w:val="24"/>
              </w:rPr>
              <w:t>26°31′45.988″</w:t>
            </w:r>
          </w:p>
        </w:tc>
        <w:tc>
          <w:tcPr>
            <w:tcW w:w="1755"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2935492.65</w:t>
            </w:r>
          </w:p>
        </w:tc>
        <w:tc>
          <w:tcPr>
            <w:tcW w:w="1704" w:type="dxa"/>
            <w:tcBorders>
              <w:tl2br w:val="nil"/>
              <w:tr2bl w:val="nil"/>
            </w:tcBorders>
            <w:noWrap/>
            <w:tcMar>
              <w:top w:w="15" w:type="dxa"/>
              <w:left w:w="15" w:type="dxa"/>
              <w:right w:w="15" w:type="dxa"/>
            </w:tcMar>
            <w:vAlign w:val="center"/>
          </w:tcPr>
          <w:p>
            <w:pPr>
              <w:widowControl/>
              <w:adjustRightInd w:val="0"/>
              <w:snapToGrid w:val="0"/>
              <w:spacing w:line="560" w:lineRule="exact"/>
              <w:ind w:firstLine="0" w:firstLineChars="0"/>
              <w:jc w:val="center"/>
              <w:textAlignment w:val="bottom"/>
              <w:rPr>
                <w:color w:val="000000"/>
                <w:sz w:val="24"/>
              </w:rPr>
            </w:pPr>
            <w:r>
              <w:rPr>
                <w:color w:val="000000"/>
                <w:sz w:val="24"/>
              </w:rPr>
              <w:t>34497502.05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8815" w:type="dxa"/>
            <w:gridSpan w:val="5"/>
            <w:tcBorders>
              <w:tl2br w:val="nil"/>
              <w:tr2bl w:val="nil"/>
            </w:tcBorders>
            <w:noWrap/>
            <w:tcMar>
              <w:top w:w="15" w:type="dxa"/>
              <w:left w:w="15" w:type="dxa"/>
              <w:right w:w="15" w:type="dxa"/>
            </w:tcMar>
            <w:vAlign w:val="center"/>
          </w:tcPr>
          <w:p>
            <w:pPr>
              <w:widowControl/>
              <w:spacing w:line="560" w:lineRule="exact"/>
              <w:ind w:firstLine="0" w:firstLineChars="0"/>
              <w:jc w:val="center"/>
              <w:textAlignment w:val="center"/>
              <w:rPr>
                <w:color w:val="000000"/>
                <w:sz w:val="24"/>
              </w:rPr>
            </w:pPr>
            <w:r>
              <w:rPr>
                <w:color w:val="000000"/>
                <w:sz w:val="24"/>
              </w:rPr>
              <w:t>坐标系为2000国家大地坐标系，中央经线为东经102°</w:t>
            </w:r>
          </w:p>
        </w:tc>
      </w:tr>
    </w:tbl>
    <w:p>
      <w:pPr>
        <w:spacing w:line="560" w:lineRule="exact"/>
        <w:ind w:firstLine="640"/>
        <w:rPr>
          <w:rFonts w:eastAsia="FangSong_GB2312"/>
          <w:color w:val="000000"/>
          <w:sz w:val="32"/>
          <w:szCs w:val="32"/>
        </w:rPr>
      </w:pPr>
      <w:r>
        <w:rPr>
          <w:rFonts w:eastAsia="FangSong_GB2312"/>
          <w:color w:val="000000"/>
          <w:sz w:val="32"/>
          <w:szCs w:val="32"/>
        </w:rPr>
        <w:t>2021年</w:t>
      </w:r>
      <w:r>
        <w:rPr>
          <w:rFonts w:hint="eastAsia" w:eastAsia="FangSong_GB2312"/>
          <w:color w:val="000000"/>
          <w:sz w:val="32"/>
          <w:szCs w:val="32"/>
        </w:rPr>
        <w:t>四川省地质矿产勘查开发局一</w:t>
      </w:r>
      <w:r>
        <w:rPr>
          <w:rFonts w:eastAsia="FangSong_GB2312"/>
          <w:color w:val="000000"/>
          <w:sz w:val="32"/>
          <w:szCs w:val="32"/>
        </w:rPr>
        <w:t>〇</w:t>
      </w:r>
      <w:r>
        <w:rPr>
          <w:rFonts w:hint="eastAsia" w:eastAsia="FangSong_GB2312"/>
          <w:color w:val="000000"/>
          <w:sz w:val="32"/>
          <w:szCs w:val="32"/>
        </w:rPr>
        <w:t>六地质队对</w:t>
      </w:r>
      <w:r>
        <w:rPr>
          <w:rFonts w:eastAsia="FangSong_GB2312"/>
          <w:color w:val="000000"/>
          <w:sz w:val="32"/>
          <w:szCs w:val="32"/>
        </w:rPr>
        <w:t>盐边县红格镇老山建筑用白云岩</w:t>
      </w:r>
      <w:r>
        <w:rPr>
          <w:rFonts w:eastAsia="FangSong_GB2312"/>
          <w:color w:val="000000"/>
          <w:spacing w:val="10"/>
          <w:sz w:val="32"/>
          <w:szCs w:val="32"/>
        </w:rPr>
        <w:t>矿拟设采矿权进行了储量核实，提交了《</w:t>
      </w:r>
      <w:r>
        <w:rPr>
          <w:rFonts w:eastAsia="FangSong_GB2312"/>
          <w:color w:val="000000"/>
          <w:sz w:val="32"/>
          <w:szCs w:val="32"/>
        </w:rPr>
        <w:t>盐边县红格镇老山建筑用白云岩</w:t>
      </w:r>
      <w:r>
        <w:rPr>
          <w:rFonts w:eastAsia="FangSong_GB2312"/>
          <w:color w:val="000000"/>
          <w:spacing w:val="10"/>
          <w:sz w:val="32"/>
          <w:szCs w:val="32"/>
        </w:rPr>
        <w:t>矿资源储量核实报告》并经</w:t>
      </w:r>
      <w:r>
        <w:rPr>
          <w:rFonts w:hint="eastAsia" w:eastAsia="FangSong_GB2312"/>
          <w:color w:val="000000"/>
          <w:sz w:val="32"/>
          <w:szCs w:val="32"/>
        </w:rPr>
        <w:t>攀枝花市自然资源和规划局组织专家评审、备案，根据报告该拟设采矿权范围内保有资源量224.22万m</w:t>
      </w:r>
      <w:r>
        <w:rPr>
          <w:rFonts w:hint="eastAsia" w:eastAsia="FangSong_GB2312"/>
          <w:color w:val="000000"/>
          <w:sz w:val="32"/>
          <w:szCs w:val="32"/>
          <w:vertAlign w:val="superscript"/>
        </w:rPr>
        <w:t>3</w:t>
      </w:r>
      <w:r>
        <w:rPr>
          <w:rFonts w:hint="eastAsia" w:eastAsia="FangSong_GB2312"/>
          <w:color w:val="000000"/>
          <w:sz w:val="32"/>
          <w:szCs w:val="32"/>
        </w:rPr>
        <w:t>。</w:t>
      </w:r>
    </w:p>
    <w:p>
      <w:pPr>
        <w:tabs>
          <w:tab w:val="left" w:pos="5940"/>
        </w:tabs>
        <w:spacing w:line="560" w:lineRule="exact"/>
        <w:ind w:left="44" w:leftChars="22" w:firstLine="640"/>
        <w:rPr>
          <w:rFonts w:eastAsia="黑体"/>
          <w:color w:val="000000"/>
          <w:sz w:val="32"/>
          <w:szCs w:val="32"/>
        </w:rPr>
      </w:pPr>
      <w:r>
        <w:rPr>
          <w:rFonts w:hint="eastAsia" w:eastAsia="黑体"/>
          <w:color w:val="000000"/>
          <w:sz w:val="32"/>
          <w:szCs w:val="32"/>
        </w:rPr>
        <w:t>二、本次采矿权拟出让年限</w:t>
      </w:r>
    </w:p>
    <w:p>
      <w:pPr>
        <w:spacing w:line="560" w:lineRule="exact"/>
        <w:ind w:firstLine="640"/>
        <w:rPr>
          <w:rFonts w:eastAsia="FangSong_GB2312"/>
          <w:color w:val="000000"/>
          <w:sz w:val="32"/>
          <w:szCs w:val="32"/>
        </w:rPr>
      </w:pPr>
      <w:r>
        <w:rPr>
          <w:rFonts w:hint="eastAsia" w:eastAsia="FangSong_GB2312"/>
          <w:color w:val="000000"/>
          <w:sz w:val="32"/>
          <w:szCs w:val="32"/>
        </w:rPr>
        <w:t>按照《中华人民共和国矿产资源法》《矿产资源开采登记管理办法》（国务院241号令）等法律法规规定，本次拟出让</w:t>
      </w:r>
      <w:r>
        <w:rPr>
          <w:rFonts w:eastAsia="FangSong_GB2312"/>
          <w:color w:val="000000"/>
          <w:sz w:val="32"/>
          <w:szCs w:val="32"/>
        </w:rPr>
        <w:t>盐边县红格镇老山建筑用白云岩</w:t>
      </w:r>
      <w:r>
        <w:rPr>
          <w:rFonts w:eastAsia="FangSong_GB2312"/>
          <w:color w:val="000000"/>
          <w:spacing w:val="10"/>
          <w:sz w:val="32"/>
          <w:szCs w:val="32"/>
        </w:rPr>
        <w:t>矿</w:t>
      </w:r>
      <w:r>
        <w:rPr>
          <w:rFonts w:hint="eastAsia" w:eastAsia="FangSong_GB2312"/>
          <w:color w:val="000000"/>
          <w:sz w:val="32"/>
          <w:szCs w:val="32"/>
        </w:rPr>
        <w:t>采矿权年限7年，生产规模20万</w:t>
      </w:r>
      <w:r>
        <w:rPr>
          <w:rFonts w:eastAsia="FangSong_GB2312"/>
          <w:color w:val="000000"/>
          <w:sz w:val="32"/>
          <w:szCs w:val="32"/>
        </w:rPr>
        <w:t>m</w:t>
      </w:r>
      <w:r>
        <w:rPr>
          <w:rFonts w:eastAsia="FangSong_GB2312"/>
          <w:color w:val="000000"/>
          <w:sz w:val="32"/>
          <w:szCs w:val="32"/>
          <w:vertAlign w:val="superscript"/>
        </w:rPr>
        <w:t>3</w:t>
      </w:r>
      <w:r>
        <w:rPr>
          <w:rFonts w:eastAsia="FangSong_GB2312"/>
          <w:color w:val="000000"/>
          <w:sz w:val="32"/>
          <w:szCs w:val="32"/>
        </w:rPr>
        <w:t>/年</w:t>
      </w:r>
      <w:r>
        <w:rPr>
          <w:rFonts w:hint="eastAsia" w:eastAsia="FangSong_GB2312"/>
          <w:color w:val="000000"/>
          <w:sz w:val="32"/>
          <w:szCs w:val="32"/>
        </w:rPr>
        <w:t xml:space="preserve">。 </w:t>
      </w:r>
    </w:p>
    <w:p>
      <w:pPr>
        <w:spacing w:line="560" w:lineRule="exact"/>
        <w:ind w:firstLine="640"/>
        <w:rPr>
          <w:rFonts w:eastAsia="黑体"/>
          <w:color w:val="000000"/>
          <w:sz w:val="32"/>
          <w:szCs w:val="32"/>
        </w:rPr>
      </w:pPr>
      <w:r>
        <w:rPr>
          <w:rFonts w:hint="eastAsia" w:eastAsia="黑体"/>
          <w:color w:val="000000"/>
          <w:sz w:val="32"/>
          <w:szCs w:val="32"/>
        </w:rPr>
        <w:t>三、出让方式</w:t>
      </w:r>
    </w:p>
    <w:p>
      <w:pPr>
        <w:spacing w:line="560" w:lineRule="exact"/>
        <w:ind w:firstLine="640"/>
        <w:rPr>
          <w:rFonts w:eastAsia="FangSong_GB2312"/>
          <w:color w:val="000000"/>
          <w:sz w:val="32"/>
          <w:szCs w:val="32"/>
        </w:rPr>
      </w:pPr>
      <w:r>
        <w:rPr>
          <w:rFonts w:eastAsia="FangSong_GB2312"/>
          <w:color w:val="000000"/>
          <w:sz w:val="32"/>
          <w:szCs w:val="32"/>
        </w:rPr>
        <w:t>盐边县红格镇老山建筑用白云岩</w:t>
      </w:r>
      <w:r>
        <w:rPr>
          <w:rFonts w:eastAsia="FangSong_GB2312"/>
          <w:color w:val="000000"/>
          <w:spacing w:val="10"/>
          <w:sz w:val="32"/>
          <w:szCs w:val="32"/>
        </w:rPr>
        <w:t>矿</w:t>
      </w:r>
      <w:r>
        <w:rPr>
          <w:rFonts w:hint="eastAsia" w:eastAsia="FangSong_GB2312"/>
          <w:bCs/>
          <w:color w:val="000000"/>
          <w:sz w:val="32"/>
          <w:szCs w:val="32"/>
        </w:rPr>
        <w:t>采矿权</w:t>
      </w:r>
      <w:r>
        <w:rPr>
          <w:rFonts w:hint="eastAsia" w:eastAsia="FangSong_GB2312"/>
          <w:color w:val="000000"/>
          <w:sz w:val="32"/>
          <w:szCs w:val="32"/>
        </w:rPr>
        <w:t>采取拍卖（挂牌）方式进行公开出让。本次采矿权拍卖竞买人不足3家的，该采矿权出让由拍卖转为挂牌。</w:t>
      </w:r>
    </w:p>
    <w:p>
      <w:pPr>
        <w:spacing w:line="560" w:lineRule="exact"/>
        <w:ind w:firstLine="640"/>
        <w:rPr>
          <w:rFonts w:eastAsia="黑体"/>
          <w:color w:val="000000"/>
          <w:sz w:val="32"/>
          <w:szCs w:val="32"/>
          <w:u w:color="000000"/>
        </w:rPr>
      </w:pPr>
      <w:r>
        <w:rPr>
          <w:rFonts w:hint="eastAsia" w:eastAsia="黑体"/>
          <w:color w:val="000000"/>
          <w:sz w:val="32"/>
          <w:szCs w:val="32"/>
        </w:rPr>
        <w:t>四、有关要求</w:t>
      </w:r>
    </w:p>
    <w:p>
      <w:pPr>
        <w:spacing w:line="560" w:lineRule="exact"/>
        <w:ind w:firstLine="640"/>
        <w:rPr>
          <w:rFonts w:eastAsia="FangSong_GB2312"/>
          <w:color w:val="000000"/>
          <w:sz w:val="32"/>
          <w:szCs w:val="32"/>
        </w:rPr>
      </w:pPr>
      <w:r>
        <w:rPr>
          <w:rFonts w:eastAsia="KaiTi_GB2312"/>
          <w:color w:val="000000"/>
          <w:sz w:val="32"/>
          <w:szCs w:val="32"/>
        </w:rPr>
        <w:t>（一）</w:t>
      </w:r>
      <w:r>
        <w:rPr>
          <w:rFonts w:hint="eastAsia" w:eastAsia="FangSong_GB2312"/>
          <w:color w:val="000000"/>
          <w:sz w:val="32"/>
          <w:szCs w:val="32"/>
        </w:rPr>
        <w:t>进行矿山开采时开采规模不得低于《国家矿山安全监察局关于印发加强非煤矿山重点地区安全生产工作方案的通知》（矿安〔2021〕123号）要求的最低开采规模，本次设计生产规模为20万</w:t>
      </w:r>
      <w:r>
        <w:rPr>
          <w:rFonts w:eastAsia="FangSong_GB2312"/>
          <w:color w:val="000000"/>
          <w:sz w:val="32"/>
          <w:szCs w:val="32"/>
        </w:rPr>
        <w:t>m</w:t>
      </w:r>
      <w:r>
        <w:rPr>
          <w:rFonts w:eastAsia="FangSong_GB2312"/>
          <w:color w:val="000000"/>
          <w:sz w:val="32"/>
          <w:szCs w:val="32"/>
          <w:vertAlign w:val="superscript"/>
        </w:rPr>
        <w:t>3</w:t>
      </w:r>
      <w:r>
        <w:rPr>
          <w:rFonts w:eastAsia="FangSong_GB2312"/>
          <w:color w:val="000000"/>
          <w:sz w:val="32"/>
          <w:szCs w:val="32"/>
        </w:rPr>
        <w:t>/年，为大型生产规模矿山</w:t>
      </w:r>
      <w:r>
        <w:rPr>
          <w:rFonts w:hint="eastAsia" w:eastAsia="FangSong_GB2312"/>
          <w:color w:val="000000"/>
          <w:sz w:val="32"/>
          <w:szCs w:val="32"/>
        </w:rPr>
        <w:t>。</w:t>
      </w:r>
    </w:p>
    <w:p>
      <w:pPr>
        <w:spacing w:line="560" w:lineRule="exact"/>
        <w:ind w:firstLine="640"/>
        <w:rPr>
          <w:rFonts w:eastAsia="FangSong_GB2312"/>
          <w:color w:val="000000"/>
          <w:spacing w:val="10"/>
          <w:sz w:val="32"/>
          <w:szCs w:val="32"/>
        </w:rPr>
      </w:pPr>
      <w:r>
        <w:rPr>
          <w:rFonts w:eastAsia="KaiTi_GB2312"/>
          <w:color w:val="000000"/>
          <w:sz w:val="32"/>
          <w:szCs w:val="32"/>
        </w:rPr>
        <w:t>（二）</w:t>
      </w:r>
      <w:r>
        <w:rPr>
          <w:rFonts w:hint="eastAsia" w:eastAsia="FangSong_GB2312"/>
          <w:bCs/>
          <w:color w:val="000000"/>
          <w:sz w:val="32"/>
          <w:szCs w:val="32"/>
        </w:rPr>
        <w:t>由于地质情况的差异性，该矿山储量存在一定风险，该风险由</w:t>
      </w:r>
      <w:r>
        <w:rPr>
          <w:rFonts w:hint="eastAsia" w:eastAsia="FangSong_GB2312"/>
          <w:color w:val="000000"/>
          <w:sz w:val="32"/>
          <w:szCs w:val="32"/>
        </w:rPr>
        <w:t>竞得人</w:t>
      </w:r>
      <w:r>
        <w:rPr>
          <w:rFonts w:hint="eastAsia" w:eastAsia="FangSong_GB2312"/>
          <w:bCs/>
          <w:color w:val="000000"/>
          <w:sz w:val="32"/>
          <w:szCs w:val="32"/>
        </w:rPr>
        <w:t>承担。</w:t>
      </w:r>
      <w:r>
        <w:rPr>
          <w:rFonts w:hint="eastAsia" w:eastAsia="FangSong_GB2312"/>
          <w:color w:val="000000"/>
          <w:sz w:val="32"/>
          <w:szCs w:val="32"/>
        </w:rPr>
        <w:t>竞得人应在竞得采矿权之日起18个月内按照《四川省自然资源厅关于进一步优化矿业权登记申请资料的通知》（川自然资规〔2020〕1号）要求，完成《矿山开发利用方案》、《矿山地质环境保护与土地复垦方案》等方案编审备案，备齐办理采矿许可证要件到采矿权登记机关申请办理采矿许可证，</w:t>
      </w:r>
      <w:r>
        <w:rPr>
          <w:rFonts w:hint="eastAsia" w:eastAsia="FangSong_GB2312"/>
          <w:color w:val="000000"/>
          <w:spacing w:val="10"/>
          <w:sz w:val="32"/>
          <w:szCs w:val="32"/>
        </w:rPr>
        <w:t>并</w:t>
      </w:r>
      <w:r>
        <w:rPr>
          <w:rFonts w:hint="eastAsia" w:eastAsia="FangSong_GB2312"/>
          <w:color w:val="000000"/>
          <w:sz w:val="32"/>
          <w:szCs w:val="32"/>
        </w:rPr>
        <w:t>达产形成资源供应，以上将在《采矿权出让合同》中予以约定。如竞得人未履行上述要求，出让方有权单方面解除《采矿权出让合同》，且只按原出让单价退还剩余储量的出让金，产生的其他风险和费用由竞得人一律承担。</w:t>
      </w:r>
    </w:p>
    <w:p>
      <w:pPr>
        <w:spacing w:line="560" w:lineRule="exact"/>
        <w:ind w:firstLine="640"/>
        <w:rPr>
          <w:rFonts w:eastAsia="FangSong_GB2312"/>
          <w:color w:val="000000"/>
          <w:spacing w:val="10"/>
          <w:sz w:val="32"/>
          <w:szCs w:val="32"/>
        </w:rPr>
      </w:pPr>
      <w:r>
        <w:rPr>
          <w:rFonts w:eastAsia="KaiTi_GB2312"/>
          <w:color w:val="000000"/>
          <w:sz w:val="32"/>
          <w:szCs w:val="32"/>
        </w:rPr>
        <w:t>（三）</w:t>
      </w:r>
      <w:r>
        <w:rPr>
          <w:rFonts w:hint="eastAsia" w:eastAsia="FangSong_GB2312"/>
          <w:color w:val="000000"/>
          <w:sz w:val="32"/>
          <w:szCs w:val="32"/>
        </w:rPr>
        <w:t>竞得人获得采矿权后，须依法办理土地、林业、环保、水土保持、安全、</w:t>
      </w:r>
      <w:r>
        <w:rPr>
          <w:rFonts w:hint="eastAsia" w:eastAsia="FangSong_GB2312"/>
          <w:color w:val="000000"/>
          <w:spacing w:val="10"/>
          <w:sz w:val="32"/>
          <w:szCs w:val="32"/>
        </w:rPr>
        <w:t>生态修复</w:t>
      </w:r>
      <w:r>
        <w:rPr>
          <w:rFonts w:hint="eastAsia" w:eastAsia="FangSong_GB2312"/>
          <w:color w:val="000000"/>
          <w:sz w:val="32"/>
          <w:szCs w:val="32"/>
        </w:rPr>
        <w:t>等相关手续，相关费用和风险由竞得人自行负责。进行矿山开采时必须符合环境保护、</w:t>
      </w:r>
      <w:r>
        <w:rPr>
          <w:rFonts w:hint="eastAsia" w:eastAsia="FangSong_GB2312"/>
          <w:color w:val="000000"/>
          <w:spacing w:val="10"/>
          <w:sz w:val="32"/>
          <w:szCs w:val="32"/>
        </w:rPr>
        <w:t>林业、水土保持、安全、用地、等相关法律、法规的规定，服从管理，发生费用由竞得人负责。</w:t>
      </w:r>
    </w:p>
    <w:p>
      <w:pPr>
        <w:snapToGrid w:val="0"/>
        <w:spacing w:line="560" w:lineRule="exact"/>
        <w:ind w:firstLine="640"/>
        <w:rPr>
          <w:rFonts w:eastAsia="FangSong_GB2312"/>
          <w:color w:val="000000"/>
          <w:sz w:val="32"/>
          <w:szCs w:val="32"/>
        </w:rPr>
      </w:pPr>
      <w:r>
        <w:rPr>
          <w:rFonts w:eastAsia="KaiTi_GB2312"/>
          <w:color w:val="000000"/>
          <w:sz w:val="32"/>
          <w:szCs w:val="32"/>
        </w:rPr>
        <w:t>（四）</w:t>
      </w:r>
      <w:r>
        <w:rPr>
          <w:rFonts w:hint="eastAsia" w:eastAsia="FangSong_GB2312"/>
          <w:color w:val="000000"/>
          <w:sz w:val="32"/>
          <w:szCs w:val="32"/>
        </w:rPr>
        <w:t>竞得人在采矿权所辖区内未注册成立公司的，需在辖区内新注册成立独立法人公司，</w:t>
      </w:r>
      <w:r>
        <w:rPr>
          <w:rFonts w:hint="eastAsia" w:eastAsia="FangSong_GB2312"/>
          <w:sz w:val="32"/>
          <w:szCs w:val="32"/>
        </w:rPr>
        <w:t>依法缴纳相关税费</w:t>
      </w:r>
      <w:r>
        <w:rPr>
          <w:rFonts w:hint="eastAsia" w:eastAsia="FangSong_GB2312"/>
          <w:color w:val="000000"/>
          <w:sz w:val="32"/>
          <w:szCs w:val="32"/>
        </w:rPr>
        <w:t>。</w:t>
      </w:r>
    </w:p>
    <w:p>
      <w:pPr>
        <w:spacing w:line="560" w:lineRule="exact"/>
        <w:ind w:firstLine="640"/>
        <w:rPr>
          <w:rFonts w:eastAsia="FangSong_GB2312"/>
          <w:color w:val="000000"/>
          <w:sz w:val="32"/>
          <w:szCs w:val="32"/>
        </w:rPr>
      </w:pPr>
      <w:r>
        <w:rPr>
          <w:rFonts w:eastAsia="KaiTi_GB2312"/>
          <w:color w:val="000000"/>
          <w:sz w:val="32"/>
          <w:szCs w:val="32"/>
        </w:rPr>
        <w:t>（五）</w:t>
      </w:r>
      <w:r>
        <w:rPr>
          <w:rFonts w:hint="eastAsia" w:eastAsia="FangSong_GB2312"/>
          <w:color w:val="000000"/>
          <w:sz w:val="32"/>
          <w:szCs w:val="32"/>
        </w:rPr>
        <w:t>根据川府发〔2017〕30号文件第十条规定：“除法律法规另有规定外，进行矿产资源开发的矿山企业，应当将矿产品在当地进行深加工或将矿产品供给当地深加工企业，实现资源就地转化”。本次出让采矿权为支持和满足攀宁、攀盐高速等重大工程建设对砂石的需求，矿种为建筑用白云岩矿，竞得人竞得该宗采矿权后采出的矿产品必须用于建筑用砂石生产原料。竞买人在报名时，需提交如竞得该宗采矿权后，所产出的建筑用白云岩矿在攀枝花市辖区内进行建筑用砂石生产供应攀宁、攀盐高速等重大工程建设的承诺，将在《采矿权出让合同》中予以约定。如竞得人未履行上述承诺，出让方有权单方面解除《采矿权出让合同》，且只按原出让单价退还剩余储量的出让金。</w:t>
      </w:r>
    </w:p>
    <w:p>
      <w:pPr>
        <w:spacing w:line="560" w:lineRule="exact"/>
        <w:ind w:firstLine="640"/>
        <w:rPr>
          <w:rFonts w:eastAsia="FangSong_GB2312"/>
          <w:color w:val="000000"/>
          <w:sz w:val="32"/>
          <w:szCs w:val="32"/>
        </w:rPr>
      </w:pPr>
      <w:r>
        <w:rPr>
          <w:rFonts w:eastAsia="KaiTi_GB2312"/>
          <w:color w:val="000000"/>
          <w:sz w:val="32"/>
          <w:szCs w:val="32"/>
        </w:rPr>
        <w:t>（六）</w:t>
      </w:r>
      <w:r>
        <w:rPr>
          <w:rFonts w:hint="eastAsia" w:eastAsia="FangSong_GB2312"/>
          <w:color w:val="000000"/>
          <w:sz w:val="32"/>
          <w:szCs w:val="32"/>
        </w:rPr>
        <w:t>本采矿设置主要是为支持攀宁、攀盐高速重大工程建设，服务年限与项目工期衔接，项目完工后3个月内由县级人民政府组织关闭，矿业权人在完成矿区生态修复后，按程序注销采矿权。</w:t>
      </w:r>
    </w:p>
    <w:p>
      <w:pPr>
        <w:spacing w:line="560" w:lineRule="exact"/>
        <w:ind w:firstLine="640"/>
        <w:rPr>
          <w:rFonts w:eastAsia="黑体"/>
          <w:color w:val="000000"/>
          <w:sz w:val="32"/>
          <w:szCs w:val="32"/>
        </w:rPr>
      </w:pPr>
      <w:r>
        <w:rPr>
          <w:rFonts w:hint="eastAsia" w:eastAsia="黑体"/>
          <w:color w:val="000000"/>
          <w:sz w:val="32"/>
          <w:szCs w:val="32"/>
        </w:rPr>
        <w:t>六、采矿权公开出让实施</w:t>
      </w:r>
    </w:p>
    <w:p>
      <w:pPr>
        <w:tabs>
          <w:tab w:val="left" w:pos="750"/>
        </w:tabs>
        <w:spacing w:line="560" w:lineRule="exact"/>
        <w:ind w:firstLine="640"/>
        <w:rPr>
          <w:rFonts w:eastAsia="FangSong_GB2312"/>
          <w:color w:val="000000"/>
          <w:sz w:val="32"/>
          <w:szCs w:val="32"/>
        </w:rPr>
      </w:pPr>
      <w:r>
        <w:rPr>
          <w:rFonts w:hint="eastAsia" w:eastAsia="FangSong_GB2312"/>
          <w:color w:val="000000"/>
          <w:sz w:val="32"/>
          <w:szCs w:val="32"/>
        </w:rPr>
        <w:t>详见《</w:t>
      </w:r>
      <w:r>
        <w:rPr>
          <w:rFonts w:eastAsia="FangSong_GB2312"/>
          <w:color w:val="000000"/>
          <w:sz w:val="32"/>
          <w:szCs w:val="32"/>
        </w:rPr>
        <w:t>盐边县红格镇老山建筑用白云岩</w:t>
      </w:r>
      <w:r>
        <w:rPr>
          <w:rFonts w:eastAsia="FangSong_GB2312"/>
          <w:color w:val="000000"/>
          <w:spacing w:val="10"/>
          <w:sz w:val="32"/>
          <w:szCs w:val="32"/>
        </w:rPr>
        <w:t>矿</w:t>
      </w:r>
      <w:r>
        <w:rPr>
          <w:rFonts w:hint="eastAsia" w:eastAsia="FangSong_GB2312"/>
          <w:bCs/>
          <w:color w:val="000000"/>
          <w:sz w:val="32"/>
          <w:szCs w:val="32"/>
        </w:rPr>
        <w:t>采矿权</w:t>
      </w:r>
      <w:r>
        <w:rPr>
          <w:rFonts w:hint="eastAsia" w:eastAsia="FangSong_GB2312"/>
          <w:color w:val="000000"/>
          <w:sz w:val="32"/>
          <w:szCs w:val="32"/>
        </w:rPr>
        <w:t>拍卖（挂牌）出让实施情况表》。</w:t>
      </w:r>
    </w:p>
    <w:p>
      <w:pPr>
        <w:tabs>
          <w:tab w:val="left" w:pos="750"/>
        </w:tabs>
        <w:spacing w:line="560" w:lineRule="exact"/>
        <w:ind w:firstLine="0" w:firstLineChars="0"/>
        <w:jc w:val="center"/>
        <w:rPr>
          <w:rFonts w:eastAsia="FangSong_GB2312"/>
          <w:color w:val="000000"/>
          <w:spacing w:val="-10"/>
          <w:sz w:val="32"/>
          <w:szCs w:val="32"/>
        </w:rPr>
      </w:pPr>
      <w:r>
        <w:rPr>
          <w:rFonts w:eastAsia="FangSong_GB2312"/>
          <w:color w:val="000000"/>
          <w:sz w:val="32"/>
          <w:szCs w:val="32"/>
        </w:rPr>
        <w:t>盐边县红格镇老山建筑用白云岩</w:t>
      </w:r>
      <w:r>
        <w:rPr>
          <w:rFonts w:eastAsia="FangSong_GB2312"/>
          <w:color w:val="000000"/>
          <w:spacing w:val="10"/>
          <w:sz w:val="32"/>
          <w:szCs w:val="32"/>
        </w:rPr>
        <w:t>矿</w:t>
      </w:r>
      <w:r>
        <w:rPr>
          <w:rFonts w:hint="eastAsia" w:eastAsia="FangSong_GB2312"/>
          <w:bCs/>
          <w:color w:val="000000"/>
          <w:spacing w:val="-10"/>
          <w:sz w:val="32"/>
          <w:szCs w:val="32"/>
        </w:rPr>
        <w:t>采矿权</w:t>
      </w:r>
      <w:r>
        <w:rPr>
          <w:rFonts w:hint="eastAsia" w:eastAsia="FangSong_GB2312"/>
          <w:color w:val="000000"/>
          <w:spacing w:val="-10"/>
          <w:sz w:val="32"/>
          <w:szCs w:val="32"/>
        </w:rPr>
        <w:t>拍卖（挂牌）</w:t>
      </w:r>
    </w:p>
    <w:p>
      <w:pPr>
        <w:tabs>
          <w:tab w:val="left" w:pos="750"/>
        </w:tabs>
        <w:spacing w:line="560" w:lineRule="exact"/>
        <w:ind w:firstLine="0" w:firstLineChars="0"/>
        <w:jc w:val="center"/>
        <w:rPr>
          <w:rFonts w:eastAsia="FangSong_GB2312"/>
          <w:color w:val="000000"/>
          <w:spacing w:val="-10"/>
          <w:sz w:val="32"/>
          <w:szCs w:val="32"/>
        </w:rPr>
      </w:pPr>
      <w:r>
        <w:rPr>
          <w:rFonts w:hint="eastAsia" w:eastAsia="FangSong_GB2312"/>
          <w:color w:val="000000"/>
          <w:spacing w:val="-10"/>
          <w:sz w:val="32"/>
          <w:szCs w:val="32"/>
        </w:rPr>
        <w:t>出让实施情况表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757"/>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采矿权名称</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盐边县红格镇老山建筑用白云岩</w:t>
            </w:r>
            <w:r>
              <w:rPr>
                <w:rFonts w:eastAsia="FangSong_GB2312"/>
                <w:color w:val="000000"/>
                <w:spacing w:val="10"/>
                <w:sz w:val="24"/>
              </w:rPr>
              <w:t>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位置</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盐边县红格镇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采矿权面积</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0.067平方公里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出让资源量</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147.37万m</w:t>
            </w:r>
            <w:r>
              <w:rPr>
                <w:rFonts w:eastAsia="FangSong_GB2312"/>
                <w:color w:val="000000"/>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矿权出让方式</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拍卖（挂牌）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出让年限</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出让机关</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攀枝花市自然资源和规划局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rPr>
            </w:pPr>
            <w:r>
              <w:rPr>
                <w:rFonts w:eastAsia="FangSong_GB2312"/>
                <w:color w:val="000000"/>
                <w:sz w:val="24"/>
              </w:rPr>
              <w:t>采矿权出让</w:t>
            </w:r>
          </w:p>
          <w:p>
            <w:pPr>
              <w:spacing w:line="560" w:lineRule="exact"/>
              <w:ind w:firstLine="0" w:firstLineChars="0"/>
              <w:rPr>
                <w:rFonts w:eastAsia="FangSong_GB2312"/>
                <w:color w:val="000000"/>
                <w:sz w:val="24"/>
                <w:u w:color="000000"/>
              </w:rPr>
            </w:pPr>
            <w:r>
              <w:rPr>
                <w:rFonts w:eastAsia="FangSong_GB2312"/>
                <w:color w:val="000000"/>
                <w:sz w:val="24"/>
              </w:rPr>
              <w:t>实施机构</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盐边县土地矿产储备开发中心（委托实施）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采矿权出让公告媒体</w:t>
            </w:r>
          </w:p>
        </w:tc>
        <w:tc>
          <w:tcPr>
            <w:tcW w:w="3950" w:type="pct"/>
            <w:gridSpan w:val="2"/>
            <w:tcBorders>
              <w:top w:val="single" w:color="auto" w:sz="4" w:space="0"/>
              <w:left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四川省土地矿权交易网、自然资源部门户网站、攀枝花市自然资源和规划局门户网站、盐边县自然资源和规划局门户网站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49" w:type="pct"/>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采矿权出让收益保留价、起价及加价幅度（万元）</w:t>
            </w:r>
          </w:p>
        </w:tc>
        <w:tc>
          <w:tcPr>
            <w:tcW w:w="98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pacing w:val="-6"/>
                <w:sz w:val="24"/>
                <w:u w:color="000000"/>
              </w:rPr>
            </w:pPr>
            <w:r>
              <w:rPr>
                <w:rFonts w:eastAsia="FangSong_GB2312"/>
                <w:color w:val="000000"/>
                <w:spacing w:val="-6"/>
                <w:sz w:val="24"/>
              </w:rPr>
              <w:t>是否设置保留价</w:t>
            </w:r>
          </w:p>
        </w:tc>
        <w:tc>
          <w:tcPr>
            <w:tcW w:w="29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不设置保留价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049"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p>
        </w:tc>
        <w:tc>
          <w:tcPr>
            <w:tcW w:w="98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起    价</w:t>
            </w:r>
          </w:p>
        </w:tc>
        <w:tc>
          <w:tcPr>
            <w:tcW w:w="29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049"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p>
        </w:tc>
        <w:tc>
          <w:tcPr>
            <w:tcW w:w="98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加价幅度</w:t>
            </w:r>
          </w:p>
        </w:tc>
        <w:tc>
          <w:tcPr>
            <w:tcW w:w="29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10万元或10万元的倍数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trPr>
        <w:tc>
          <w:tcPr>
            <w:tcW w:w="1049" w:type="pct"/>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矿权申请人</w:t>
            </w:r>
          </w:p>
          <w:p>
            <w:pPr>
              <w:spacing w:line="560" w:lineRule="exact"/>
              <w:ind w:firstLine="0" w:firstLineChars="0"/>
              <w:rPr>
                <w:rFonts w:eastAsia="FangSong_GB2312"/>
                <w:color w:val="000000"/>
                <w:sz w:val="24"/>
                <w:u w:color="000000"/>
              </w:rPr>
            </w:pPr>
            <w:r>
              <w:rPr>
                <w:rFonts w:eastAsia="FangSong_GB2312"/>
                <w:color w:val="000000"/>
                <w:sz w:val="24"/>
              </w:rPr>
              <w:t>条件</w:t>
            </w:r>
          </w:p>
        </w:tc>
        <w:tc>
          <w:tcPr>
            <w:tcW w:w="98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资质条件</w:t>
            </w:r>
          </w:p>
        </w:tc>
        <w:tc>
          <w:tcPr>
            <w:tcW w:w="2967" w:type="pct"/>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rPr>
                <w:rFonts w:eastAsia="FangSong_GB2312"/>
                <w:color w:val="000000"/>
                <w:sz w:val="24"/>
              </w:rPr>
            </w:pPr>
            <w:r>
              <w:rPr>
                <w:rFonts w:eastAsia="FangSong_GB2312"/>
                <w:color w:val="000000"/>
                <w:sz w:val="24"/>
              </w:rPr>
              <w:t>（一）具有营利法人资格，除法律、法规另有规定外均可申请参加，本次采矿权出让不接受联合体参与竞买。</w:t>
            </w:r>
          </w:p>
          <w:p>
            <w:pPr>
              <w:snapToGrid w:val="0"/>
              <w:spacing w:line="560" w:lineRule="exact"/>
              <w:ind w:firstLine="0" w:firstLineChars="0"/>
              <w:rPr>
                <w:rFonts w:eastAsia="FangSong_GB2312"/>
                <w:color w:val="000000"/>
                <w:sz w:val="24"/>
              </w:rPr>
            </w:pPr>
            <w:r>
              <w:rPr>
                <w:rFonts w:eastAsia="FangSong_GB2312"/>
                <w:color w:val="000000"/>
                <w:sz w:val="24"/>
              </w:rPr>
              <w:t>（二）未被列入公共资源交易领域严重失信主体名单、矿业权人勘查开采信息公示的异常名录。</w:t>
            </w:r>
          </w:p>
          <w:p>
            <w:pPr>
              <w:snapToGrid w:val="0"/>
              <w:spacing w:line="560" w:lineRule="exact"/>
              <w:ind w:firstLine="0" w:firstLineChars="0"/>
              <w:rPr>
                <w:rFonts w:eastAsia="FangSong_GB2312"/>
                <w:color w:val="000000"/>
                <w:sz w:val="24"/>
              </w:rPr>
            </w:pPr>
            <w:r>
              <w:rPr>
                <w:rFonts w:eastAsia="FangSong_GB2312"/>
                <w:color w:val="000000"/>
                <w:sz w:val="24"/>
              </w:rPr>
              <w:t>（三）竞买人应按规定缴纳竞买保证金。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49" w:type="pct"/>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p>
        </w:tc>
        <w:tc>
          <w:tcPr>
            <w:tcW w:w="98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竞买保证金</w:t>
            </w:r>
          </w:p>
        </w:tc>
        <w:tc>
          <w:tcPr>
            <w:tcW w:w="29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150万元（现金或银行保函）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矿权出让</w:t>
            </w:r>
          </w:p>
          <w:p>
            <w:pPr>
              <w:spacing w:line="560" w:lineRule="exact"/>
              <w:ind w:firstLine="0" w:firstLineChars="0"/>
              <w:rPr>
                <w:rFonts w:eastAsia="FangSong_GB2312"/>
                <w:color w:val="000000"/>
                <w:sz w:val="24"/>
                <w:u w:color="000000"/>
              </w:rPr>
            </w:pPr>
            <w:r>
              <w:rPr>
                <w:rFonts w:eastAsia="FangSong_GB2312"/>
                <w:color w:val="000000"/>
                <w:sz w:val="24"/>
              </w:rPr>
              <w:t>时间安排</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盐边县人民政府批准同意出让方案后，由盐边县人民政府上报攀枝花人民政府审核，由市自然资源和规划局集体会审决定，并组织公开出让，出让结束后，竞得人在成交之日起10个工作日内与攀枝花市自然资源和规划局签订《采矿权出让合同》。签订出让合同后10个工作日内交清采矿权成交出让收益,1年内准备相关资料到攀枝花市自然资源和规划局办理采矿权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trPr>
        <w:tc>
          <w:tcPr>
            <w:tcW w:w="1049"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矿权出让收益处置</w:t>
            </w:r>
          </w:p>
        </w:tc>
        <w:tc>
          <w:tcPr>
            <w:tcW w:w="3950"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eastAsia="FangSong_GB2312"/>
                <w:color w:val="000000"/>
                <w:sz w:val="24"/>
                <w:u w:color="000000"/>
              </w:rPr>
            </w:pPr>
            <w:r>
              <w:rPr>
                <w:rFonts w:eastAsia="FangSong_GB2312"/>
                <w:color w:val="000000"/>
                <w:sz w:val="24"/>
              </w:rPr>
              <w:t>按矿业权出让收益使用办法严格管理使用</w:t>
            </w:r>
          </w:p>
        </w:tc>
      </w:tr>
    </w:tbl>
    <w:p>
      <w:pPr>
        <w:pStyle w:val="3"/>
        <w:ind w:firstLine="360"/>
        <w:rPr>
          <w:rFonts w:eastAsia="FangSong_GB2312"/>
        </w:rPr>
      </w:pPr>
    </w:p>
    <w:p>
      <w:pPr>
        <w:spacing w:line="600" w:lineRule="exact"/>
        <w:ind w:firstLine="640"/>
        <w:rPr>
          <w:rFonts w:eastAsia="KaiTi_GB2312"/>
          <w:sz w:val="32"/>
        </w:rPr>
      </w:pPr>
    </w:p>
    <w:p>
      <w:pPr>
        <w:spacing w:line="600" w:lineRule="exact"/>
        <w:ind w:firstLine="640"/>
        <w:rPr>
          <w:rFonts w:eastAsia="KaiTi_GB2312"/>
          <w:sz w:val="32"/>
        </w:rPr>
      </w:pPr>
    </w:p>
    <w:p>
      <w:pPr>
        <w:spacing w:line="600" w:lineRule="exact"/>
        <w:ind w:firstLine="640"/>
        <w:rPr>
          <w:rFonts w:eastAsia="KaiTi_GB2312"/>
          <w:sz w:val="32"/>
        </w:rPr>
      </w:pPr>
    </w:p>
    <w:p>
      <w:pPr>
        <w:spacing w:line="600" w:lineRule="exact"/>
        <w:ind w:firstLine="640"/>
        <w:rPr>
          <w:rFonts w:eastAsia="KaiTi_GB2312"/>
          <w:sz w:val="32"/>
        </w:rPr>
      </w:pPr>
    </w:p>
    <w:p>
      <w:pPr>
        <w:spacing w:line="600" w:lineRule="exact"/>
        <w:ind w:firstLine="640"/>
        <w:rPr>
          <w:rFonts w:eastAsia="KaiTi_GB2312"/>
          <w:sz w:val="32"/>
        </w:rPr>
      </w:pPr>
    </w:p>
    <w:p>
      <w:pPr>
        <w:spacing w:line="20" w:lineRule="exact"/>
        <w:ind w:firstLine="400"/>
      </w:pPr>
    </w:p>
    <w:p>
      <w:pPr>
        <w:ind w:firstLine="400"/>
      </w:pPr>
    </w:p>
    <w:sectPr>
      <w:headerReference r:id="rId5" w:type="default"/>
      <w:footerReference r:id="rId6" w:type="default"/>
      <w:footnotePr>
        <w:numFmt w:val="decimalHalfWidth"/>
      </w:footnotePr>
      <w:endnotePr>
        <w:numFmt w:val="chineseCounting"/>
      </w:endnotePr>
      <w:pgSz w:w="11905" w:h="16837"/>
      <w:pgMar w:top="2098" w:right="1531" w:bottom="1928" w:left="1644" w:header="567" w:footer="130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4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KaiTi_GB2312">
    <w:altName w:val="楷体_GB2312"/>
    <w:panose1 w:val="0201060903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445135" cy="230505"/>
              <wp:effectExtent l="0" t="1905" r="381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6.75pt;height:18.15pt;width:35.05pt;mso-position-horizontal:outside;mso-position-horizontal-relative:margin;mso-wrap-style:none;z-index:251659264;mso-width-relative:page;mso-height-relative:page;" filled="f" stroked="f" coordsize="21600,21600" o:gfxdata="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BT6K0wAAAAYBAAAPAAAAAAAAAAEAIAAAACIAAABk&#10;cnMvZG93bnJldi54bWxQSwECFAAUAAAACACHTuJALktYrAsCAAACBAAADgAAAAAAAAABACAAAAAi&#10;AQAAZHJzL2Uyb0RvYy54bWxQSwUGAAAAAAYABgBZAQAAnw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5528945" cy="971550"/>
              <wp:effectExtent l="3175" t="0" r="190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28945" cy="971550"/>
                      </a:xfrm>
                      <a:prstGeom prst="rect">
                        <a:avLst/>
                      </a:prstGeom>
                      <a:noFill/>
                      <a:ln>
                        <a:noFill/>
                      </a:ln>
                    </wps:spPr>
                    <wps:txbx>
                      <w:txbxContent>
                        <w:p>
                          <w:pPr>
                            <w:spacing w:line="334" w:lineRule="atLeast"/>
                            <w:ind w:firstLine="420"/>
                            <w:rPr>
                              <w:sz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76.5pt;width:435.35pt;mso-position-horizontal:center;z-index:-251657216;mso-width-relative:page;mso-height-relative:page;" filled="f" stroked="f" coordsize="21600,21600" o:gfxdata="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AKXK7VAAAABQEAAA8AAAAAAAAAAQAgAAAA&#10;IgAAAGRycy9kb3ducmV2LnhtbFBLAQIUABQAAAAIAIdO4kBVTVWWDgIAAAUEAAAOAAAAAAAAAAEA&#10;IAAAACQBAABkcnMvZTJvRG9jLnhtbFBLBQYAAAAABgAGAFkBAACkBQAAAAA=&#10;">
              <v:fill on="f" focussize="0,0"/>
              <v:stroke on="f"/>
              <v:imagedata o:title=""/>
              <o:lock v:ext="edit" aspectratio="f"/>
              <v:textbox inset="0mm,0mm,0mm,0mm">
                <w:txbxContent>
                  <w:p>
                    <w:pPr>
                      <w:spacing w:line="334" w:lineRule="atLeast"/>
                      <w:ind w:firstLine="420"/>
                      <w:rPr>
                        <w:sz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4MDYwZTQ1NjAyNzU4Y2JhZWI2NDE0MzBkZmY2ZmUifQ=="/>
  </w:docVars>
  <w:rsids>
    <w:rsidRoot w:val="003664B5"/>
    <w:rsid w:val="003664B5"/>
    <w:rsid w:val="008851AA"/>
    <w:rsid w:val="00C2269E"/>
    <w:rsid w:val="00D51C3A"/>
    <w:rsid w:val="0CF64308"/>
    <w:rsid w:val="21BC317C"/>
    <w:rsid w:val="25B063B3"/>
    <w:rsid w:val="3A8E3CFF"/>
    <w:rsid w:val="4D383FDC"/>
    <w:rsid w:val="529212BE"/>
    <w:rsid w:val="68D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kern w:val="0"/>
      <w:sz w:val="20"/>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3">
    <w:name w:val="footer"/>
    <w:basedOn w:val="1"/>
    <w:link w:val="11"/>
    <w:unhideWhenUsed/>
    <w:qFormat/>
    <w:uiPriority w:val="99"/>
    <w:pPr>
      <w:tabs>
        <w:tab w:val="center" w:pos="4153"/>
        <w:tab w:val="right" w:pos="8306"/>
      </w:tabs>
      <w:snapToGrid w:val="0"/>
      <w:ind w:firstLine="0" w:firstLineChars="0"/>
    </w:pPr>
    <w:rPr>
      <w:rFonts w:asciiTheme="minorHAnsi" w:hAnsiTheme="minorHAnsi" w:eastAsiaTheme="minorEastAsia" w:cstheme="minorBidi"/>
      <w:kern w:val="2"/>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kern w:val="2"/>
      <w:sz w:val="18"/>
      <w:szCs w:val="18"/>
    </w:rPr>
  </w:style>
  <w:style w:type="paragraph" w:styleId="5">
    <w:name w:val="Body Text 2"/>
    <w:basedOn w:val="1"/>
    <w:link w:val="12"/>
    <w:qFormat/>
    <w:uiPriority w:val="99"/>
    <w:pPr>
      <w:spacing w:after="120" w:line="480" w:lineRule="auto"/>
      <w:ind w:firstLine="0" w:firstLineChars="0"/>
      <w:jc w:val="both"/>
    </w:pPr>
    <w:rPr>
      <w:rFonts w:ascii="Calibri" w:hAnsi="Calibri"/>
      <w:kern w:val="2"/>
      <w:sz w:val="21"/>
      <w:szCs w:val="24"/>
    </w:rPr>
  </w:style>
  <w:style w:type="paragraph" w:styleId="6">
    <w:name w:val="Normal (Web)"/>
    <w:basedOn w:val="1"/>
    <w:semiHidden/>
    <w:unhideWhenUsed/>
    <w:qFormat/>
    <w:uiPriority w:val="99"/>
    <w:pPr>
      <w:widowControl/>
      <w:spacing w:before="100" w:beforeAutospacing="1" w:after="100" w:afterAutospacing="1"/>
      <w:ind w:firstLine="0" w:firstLineChars="0"/>
    </w:pPr>
    <w:rPr>
      <w:rFonts w:ascii="宋体" w:hAnsi="宋体" w:cs="宋体"/>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0"/>
    <w:rPr>
      <w:sz w:val="18"/>
      <w:szCs w:val="18"/>
    </w:rPr>
  </w:style>
  <w:style w:type="character" w:customStyle="1" w:styleId="11">
    <w:name w:val="页脚 Char"/>
    <w:basedOn w:val="8"/>
    <w:link w:val="3"/>
    <w:qFormat/>
    <w:uiPriority w:val="99"/>
    <w:rPr>
      <w:sz w:val="18"/>
      <w:szCs w:val="18"/>
    </w:rPr>
  </w:style>
  <w:style w:type="character" w:customStyle="1" w:styleId="12">
    <w:name w:val="正文文本 2 Char"/>
    <w:basedOn w:val="8"/>
    <w:link w:val="5"/>
    <w:qFormat/>
    <w:uiPriority w:val="99"/>
    <w:rPr>
      <w:rFonts w:ascii="Calibri" w:hAnsi="Calibri" w:eastAsia="宋体" w:cs="Times New Roman"/>
      <w:szCs w:val="24"/>
    </w:rPr>
  </w:style>
  <w:style w:type="paragraph" w:customStyle="1" w:styleId="13">
    <w:name w:val="公文抄送"/>
    <w:basedOn w:val="1"/>
    <w:qFormat/>
    <w:uiPriority w:val="0"/>
    <w:pPr>
      <w:spacing w:line="600" w:lineRule="exact"/>
      <w:ind w:firstLine="0" w:firstLineChars="0"/>
      <w:jc w:val="both"/>
    </w:pPr>
    <w:rPr>
      <w:rFonts w:eastAsia="FangSong_GB2312" w:cs="宋体"/>
      <w:kern w:val="2"/>
      <w:sz w:val="32"/>
    </w:rPr>
  </w:style>
  <w:style w:type="paragraph" w:customStyle="1" w:styleId="14">
    <w:name w:val="发文时间和印发时间"/>
    <w:basedOn w:val="1"/>
    <w:qFormat/>
    <w:uiPriority w:val="0"/>
    <w:pPr>
      <w:spacing w:line="600" w:lineRule="exact"/>
      <w:ind w:firstLine="0" w:firstLineChars="0"/>
      <w:jc w:val="right"/>
    </w:pPr>
    <w:rPr>
      <w:rFonts w:eastAsia="FangSong_GB2312" w:cs="宋体"/>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2752</Words>
  <Characters>3153</Characters>
  <Lines>24</Lines>
  <Paragraphs>6</Paragraphs>
  <TotalTime>11</TotalTime>
  <ScaleCrop>false</ScaleCrop>
  <LinksUpToDate>false</LinksUpToDate>
  <CharactersWithSpaces>3163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2022-09-16T03:37:00Z</dcterms:created>
  <dc:creator>雷学勇</dc:creator>
  <cp:lastModifiedBy>谢仕荣</cp:lastModifiedBy>
  <cp:lastPrinted>2022-09-16T08:05:00Z</cp:lastPrinted>
  <dcterms:modified xsi:type="dcterms:W3CDTF">2022-09-22T02:21:38Z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A2AC239388E04BC090ECCD871709D067</vt:lpwstr>
  </property>
</Properties>
</file>