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方正小标宋_GBK" w:hAnsi="方正小标宋_GBK" w:eastAsia="方正小标宋_GBK" w:cs="方正小标宋_GBK"/>
          <w:color w:val="000000" w:themeColor="text1"/>
          <w:sz w:val="44"/>
          <w:szCs w:val="44"/>
          <w:highlight w:val="none"/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highlight w:val="none"/>
        </w:rPr>
        <w:t>攀枝花市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highlight w:val="none"/>
          <w:lang w:val="en-US" w:eastAsia="zh-CN"/>
        </w:rPr>
        <w:t>南山循环经济园区橄榄坪片区控制性详细规划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highlight w:val="none"/>
        </w:rPr>
        <w:t>中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highlight w:val="none"/>
          <w:lang w:val="en-US" w:eastAsia="zh-CN"/>
        </w:rPr>
        <w:t>橄A25等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highlight w:val="none"/>
        </w:rPr>
        <w:t>地块规划调整事宜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highlight w:val="none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highlight w:val="none"/>
        </w:rPr>
        <w:t>公示说明</w:t>
      </w:r>
    </w:p>
    <w:p>
      <w:pPr>
        <w:pStyle w:val="2"/>
        <w:spacing w:line="600" w:lineRule="exact"/>
        <w:rPr>
          <w:rFonts w:ascii="仿宋_GB2312" w:hAnsi="仿宋_GB2312" w:eastAsia="仿宋_GB2312" w:cs="仿宋_GB2312"/>
          <w:color w:val="000000" w:themeColor="text1"/>
          <w:sz w:val="32"/>
          <w:szCs w:val="32"/>
          <w:highlight w:val="none"/>
          <w:lang w:eastAsia="zh-CN"/>
        </w:rPr>
      </w:pPr>
    </w:p>
    <w:p>
      <w:pPr>
        <w:spacing w:line="353" w:lineRule="auto"/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</w:rPr>
        <w:t>一、规划调整申请主体</w:t>
      </w:r>
    </w:p>
    <w:p>
      <w:pPr>
        <w:spacing w:line="353" w:lineRule="auto"/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</w:rPr>
        <w:t>攀枝花市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eastAsia="zh-CN"/>
        </w:rPr>
        <w:t>仁和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</w:rPr>
        <w:t>区政府</w:t>
      </w:r>
    </w:p>
    <w:p>
      <w:pPr>
        <w:spacing w:line="353" w:lineRule="auto"/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</w:rPr>
        <w:t>二、规划调整区域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42"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 w:themeColor="text1"/>
          <w:kern w:val="2"/>
          <w:sz w:val="32"/>
          <w:szCs w:val="32"/>
          <w:highlight w:val="none"/>
          <w:lang w:val="en-US" w:eastAsia="zh-CN" w:bidi="ar-SA"/>
        </w:rPr>
        <w:t>本次规划调整范围位于</w:t>
      </w:r>
      <w:r>
        <w:rPr>
          <w:rFonts w:hint="eastAsia" w:ascii="Times New Roman" w:hAnsi="Times New Roman" w:eastAsia="仿宋_GB2312" w:cs="Times New Roman"/>
          <w:color w:val="000000" w:themeColor="text1"/>
          <w:kern w:val="2"/>
          <w:sz w:val="32"/>
          <w:szCs w:val="32"/>
          <w:highlight w:val="none"/>
          <w:lang w:val="en-US" w:eastAsia="zh-CN" w:bidi="ar-SA"/>
        </w:rPr>
        <w:t>攀枝花市仁和区南山循环经济园区</w:t>
      </w:r>
      <w:r>
        <w:rPr>
          <w:rFonts w:hint="default" w:ascii="Times New Roman" w:hAnsi="Times New Roman" w:eastAsia="仿宋_GB2312" w:cs="Times New Roman"/>
          <w:color w:val="000000" w:themeColor="text1"/>
          <w:kern w:val="2"/>
          <w:sz w:val="32"/>
          <w:szCs w:val="32"/>
          <w:highlight w:val="none"/>
          <w:lang w:val="en-US" w:eastAsia="zh-CN" w:bidi="ar-SA"/>
        </w:rPr>
        <w:t>，涉及《</w:t>
      </w:r>
      <w:r>
        <w:rPr>
          <w:rFonts w:hint="eastAsia" w:ascii="Times New Roman" w:hAnsi="Times New Roman" w:eastAsia="仿宋_GB2312" w:cs="Times New Roman"/>
          <w:color w:val="000000" w:themeColor="text1"/>
          <w:kern w:val="2"/>
          <w:sz w:val="32"/>
          <w:szCs w:val="32"/>
          <w:highlight w:val="none"/>
          <w:lang w:val="en-US" w:eastAsia="zh-CN" w:bidi="ar-SA"/>
        </w:rPr>
        <w:t>攀枝花市南山循环经济园区橄榄坪片区（橄榄坪单元）控制性详细规划</w:t>
      </w:r>
      <w:r>
        <w:rPr>
          <w:rFonts w:hint="default" w:ascii="Times New Roman" w:hAnsi="Times New Roman" w:eastAsia="仿宋_GB2312" w:cs="Times New Roman"/>
          <w:color w:val="000000" w:themeColor="text1"/>
          <w:kern w:val="2"/>
          <w:sz w:val="32"/>
          <w:szCs w:val="32"/>
          <w:highlight w:val="none"/>
          <w:lang w:val="en-US" w:eastAsia="zh-CN" w:bidi="ar-SA"/>
        </w:rPr>
        <w:t>》</w:t>
      </w:r>
      <w:r>
        <w:rPr>
          <w:rFonts w:hint="eastAsia" w:ascii="Times New Roman" w:hAnsi="Times New Roman" w:eastAsia="仿宋_GB2312" w:cs="Times New Roman"/>
          <w:color w:val="000000" w:themeColor="text1"/>
          <w:kern w:val="2"/>
          <w:sz w:val="32"/>
          <w:szCs w:val="32"/>
          <w:highlight w:val="none"/>
          <w:lang w:val="en-US" w:eastAsia="zh-CN" w:bidi="ar-SA"/>
        </w:rPr>
        <w:t>中橄A23、橄A24等六个地块。</w:t>
      </w:r>
    </w:p>
    <w:p>
      <w:pPr>
        <w:spacing w:line="353" w:lineRule="auto"/>
        <w:ind w:firstLine="640" w:firstLineChars="200"/>
        <w:jc w:val="both"/>
        <w:rPr>
          <w:rFonts w:ascii="黑体" w:hAnsi="黑体" w:eastAsia="黑体" w:cs="黑体"/>
          <w:color w:val="000000" w:themeColor="text1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</w:rPr>
        <w:t>三、规划调整背景</w:t>
      </w:r>
    </w:p>
    <w:p>
      <w:pPr>
        <w:spacing w:line="353" w:lineRule="auto"/>
        <w:ind w:firstLine="640" w:firstLineChars="200"/>
        <w:jc w:val="both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  <w:t>为完善南山循环经济园区配套功能，集约高效用地，保障市水文勘测中心建设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  <w:t>仁和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  <w:t>区政府向市政府申请对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  <w:t>《攀枝花市南山循环经济园区橄榄坪片区控制性详细规划》橄A28等地块用地规划进行调整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  <w:t>。</w:t>
      </w:r>
    </w:p>
    <w:p>
      <w:pPr>
        <w:spacing w:line="353" w:lineRule="auto"/>
        <w:ind w:firstLine="640" w:firstLineChars="200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:highlight w:val="none"/>
        </w:rPr>
        <w:t>四、规划调整内容</w:t>
      </w:r>
    </w:p>
    <w:p>
      <w:pPr>
        <w:spacing w:line="353" w:lineRule="auto"/>
        <w:ind w:firstLine="640" w:firstLineChars="200"/>
        <w:jc w:val="both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  <w:t>主要结合用地权属对相关地块重新进行规划布局，一是将行政办公用地缩减并布局在园区主要出入口干道旁；二是新增商业用地作为园区职工公寓，并明确相关规划指标，具体如下。</w:t>
      </w:r>
    </w:p>
    <w:p>
      <w:pPr>
        <w:spacing w:line="353" w:lineRule="auto"/>
        <w:ind w:firstLine="640" w:firstLineChars="200"/>
        <w:jc w:val="both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  <w:t>（一）橄A23地块：用地性质为行政办公用地（A1），用地面积由原规划的22700平方米（约34.05亩）缩减为5518平方米（约8.28亩），绿地率由≥25%调整为≥30%，其余指标与原控规保持一致（容积率为≤1.5，建筑密度为≤30%）。</w:t>
      </w:r>
    </w:p>
    <w:p>
      <w:pPr>
        <w:spacing w:line="353" w:lineRule="auto"/>
        <w:ind w:firstLine="640" w:firstLineChars="200"/>
        <w:jc w:val="both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  <w:t>（二）橄A24地块：用地性质为公园绿地（G1），仅对位置进行调整，用地面积与其余指标与原控规保持一致（用地面积约8.7亩）。</w:t>
      </w:r>
    </w:p>
    <w:p>
      <w:pPr>
        <w:spacing w:line="353" w:lineRule="auto"/>
        <w:ind w:firstLine="640" w:firstLineChars="200"/>
        <w:jc w:val="both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  <w:t>（三）橄A25地块：用地性质为社会停车场（S42），仅对位置进行调整，用地面积与其余指标与原控规保持一致（用地面积约3.3亩）。</w:t>
      </w:r>
    </w:p>
    <w:p>
      <w:pPr>
        <w:spacing w:line="353" w:lineRule="auto"/>
        <w:ind w:firstLine="640" w:firstLineChars="200"/>
        <w:jc w:val="both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  <w:t>（四）橄A26地块：用地性质为消防用地（U31），根据用地权属将其向西平移紧邻工业用地，用地面积为5300平方米（约7.95亩），面积与其余指标与原控规保持一致（容积率≤0.5，建筑密度≤30%，绿地率≥25%）。</w:t>
      </w:r>
    </w:p>
    <w:p>
      <w:pPr>
        <w:spacing w:line="353" w:lineRule="auto"/>
        <w:ind w:firstLine="640" w:firstLineChars="200"/>
        <w:jc w:val="both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  <w:t>（五）橄A27地块：用地性质为防护绿地（G2），拟将用地权属以外的部分破碎用地规划为防护绿地，用地面积由75699平方米（约113.56亩）调整为85895.52平方米（128.84亩），未设置其余规划指标。</w:t>
      </w:r>
    </w:p>
    <w:p>
      <w:pPr>
        <w:spacing w:line="353" w:lineRule="auto"/>
        <w:ind w:firstLine="640" w:firstLineChars="200"/>
        <w:jc w:val="both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  <w:t>（六）橄A28地块：用地性质为一类工业用地（M1），结合用地权属将用地面积由原规划6700平方米（约10.05亩）缩减为3600平方米（约5.4亩），其余指标与原控规保持一致（容积率≥0.8，建筑密度≤30%，绿地率≤20%）。</w:t>
      </w:r>
    </w:p>
    <w:p>
      <w:pPr>
        <w:spacing w:line="353" w:lineRule="auto"/>
        <w:ind w:firstLine="640" w:firstLineChars="200"/>
        <w:jc w:val="both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/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</w:rPr>
        <w:t>（七）橄A33地块：为新增用地，用地性质为商业用地（B1），用地面积10059平方米（约15.09亩），容积率为≤2.0，绿地率为≥20%，建筑密度为≤30%。</w:t>
      </w:r>
    </w:p>
    <w:p>
      <w:pPr>
        <w:pStyle w:val="2"/>
        <w:rPr>
          <w:lang w:eastAsia="zh-CN"/>
        </w:rPr>
        <w:sectPr>
          <w:pgSz w:w="11906" w:h="16838"/>
          <w:pgMar w:top="1134" w:right="1633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ind w:firstLine="400"/>
        <w:jc w:val="both"/>
        <w:rPr>
          <w:rFonts w:hint="default" w:ascii="黑体" w:hAnsi="黑体" w:eastAsia="黑体"/>
          <w:spacing w:val="0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1049020</wp:posOffset>
            </wp:positionH>
            <wp:positionV relativeFrom="paragraph">
              <wp:posOffset>328295</wp:posOffset>
            </wp:positionV>
            <wp:extent cx="5881370" cy="5723890"/>
            <wp:effectExtent l="12700" t="12700" r="30480" b="16510"/>
            <wp:wrapTight wrapText="bothSides">
              <wp:wrapPolygon>
                <wp:start x="-47" y="-48"/>
                <wp:lineTo x="-47" y="21590"/>
                <wp:lineTo x="21572" y="21590"/>
                <wp:lineTo x="21572" y="-48"/>
                <wp:lineTo x="-47" y="-48"/>
              </wp:wrapPolygon>
            </wp:wrapTight>
            <wp:docPr id="9" name="图片 5" descr="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位置图"/>
                    <pic:cNvPicPr>
                      <a:picLocks noChangeAspect="1"/>
                    </pic:cNvPicPr>
                  </pic:nvPicPr>
                  <pic:blipFill>
                    <a:blip r:embed="rId4"/>
                    <a:srcRect l="4671" t="4301" r="23811" b="15584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5723890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pacing w:val="0"/>
          <w:sz w:val="32"/>
          <w:szCs w:val="32"/>
          <w:lang w:val="en-US" w:eastAsia="zh-CN"/>
        </w:rPr>
        <w:t xml:space="preserve">附件                 </w:t>
      </w:r>
      <w:r>
        <w:rPr>
          <w:rFonts w:hint="eastAsia" w:ascii="黑体" w:hAnsi="黑体"/>
          <w:spacing w:val="0"/>
          <w:sz w:val="32"/>
          <w:szCs w:val="32"/>
          <w:lang w:val="en-US" w:eastAsia="zh-CN"/>
        </w:rPr>
        <w:t xml:space="preserve">     </w:t>
      </w:r>
      <w:r>
        <w:rPr>
          <w:rFonts w:hint="eastAsia" w:ascii="黑体" w:hAnsi="黑体" w:eastAsia="黑体"/>
          <w:spacing w:val="0"/>
          <w:sz w:val="32"/>
          <w:szCs w:val="32"/>
          <w:lang w:val="en-US" w:eastAsia="zh-CN"/>
        </w:rPr>
        <w:t xml:space="preserve"> 拟调</w:t>
      </w:r>
      <w:r>
        <w:rPr>
          <w:rFonts w:hint="eastAsia" w:ascii="黑体" w:hAnsi="黑体"/>
          <w:spacing w:val="0"/>
          <w:sz w:val="32"/>
          <w:szCs w:val="32"/>
          <w:lang w:val="en-US" w:eastAsia="zh-CN"/>
        </w:rPr>
        <w:t>整地块区位图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jc w:val="left"/>
        <w:textAlignment w:val="auto"/>
        <w:rPr>
          <w:rFonts w:hint="default" w:ascii="黑体" w:hAnsi="黑体" w:eastAsia="黑体"/>
          <w:spacing w:val="0"/>
          <w:sz w:val="32"/>
          <w:szCs w:val="32"/>
          <w:lang w:val="en-US" w:eastAsia="zh-CN"/>
        </w:rPr>
        <w:sectPr>
          <w:footnotePr>
            <w:numFmt w:val="decimalHalfWidth"/>
          </w:footnotePr>
          <w:endnotePr>
            <w:numFmt w:val="chineseCounting"/>
          </w:endnotePr>
          <w:pgSz w:w="16837" w:h="11905" w:orient="landscape"/>
          <w:pgMar w:top="1531" w:right="2154" w:bottom="1417" w:left="2041" w:header="566" w:footer="130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linePitch="272" w:charSpace="0"/>
        </w:sectPr>
      </w:pPr>
    </w:p>
    <w:p>
      <w:pPr>
        <w:pStyle w:val="2"/>
        <w:spacing w:after="0" w:line="240" w:lineRule="auto"/>
        <w:ind w:firstLine="0"/>
        <w:jc w:val="center"/>
        <w:rPr>
          <w:rFonts w:hint="eastAsia" w:ascii="黑体" w:hAnsi="黑体" w:eastAsia="黑体" w:cs="Times New Roman"/>
          <w:bCs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Times New Roman"/>
          <w:bCs/>
          <w:spacing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180975</wp:posOffset>
            </wp:positionV>
            <wp:extent cx="9040495" cy="4965700"/>
            <wp:effectExtent l="0" t="0" r="0" b="0"/>
            <wp:wrapTight wrapText="bothSides">
              <wp:wrapPolygon>
                <wp:start x="0" y="0"/>
                <wp:lineTo x="0" y="21545"/>
                <wp:lineTo x="21574" y="21545"/>
                <wp:lineTo x="21574" y="0"/>
                <wp:lineTo x="0" y="0"/>
              </wp:wrapPolygon>
            </wp:wrapTight>
            <wp:docPr id="1" name="图片 1" descr="ff0eb8fe4bd48727f937efb92fdc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f0eb8fe4bd48727f937efb92fdcb92"/>
                    <pic:cNvPicPr>
                      <a:picLocks noChangeAspect="1"/>
                    </pic:cNvPicPr>
                  </pic:nvPicPr>
                  <pic:blipFill>
                    <a:blip r:embed="rId5"/>
                    <a:srcRect t="10300" b="6144"/>
                    <a:stretch>
                      <a:fillRect/>
                    </a:stretch>
                  </pic:blipFill>
                  <pic:spPr>
                    <a:xfrm>
                      <a:off x="0" y="0"/>
                      <a:ext cx="9040495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after="0" w:line="240" w:lineRule="auto"/>
        <w:ind w:firstLine="0"/>
        <w:rPr>
          <w:rFonts w:hint="default" w:ascii="黑体" w:hAnsi="黑体" w:eastAsia="黑体" w:cs="Times New Roman"/>
          <w:bCs/>
          <w:spacing w:val="0"/>
          <w:sz w:val="32"/>
          <w:szCs w:val="32"/>
          <w:lang w:val="en-US"/>
        </w:rPr>
        <w:sectPr>
          <w:footnotePr>
            <w:numFmt w:val="decimalHalfWidth"/>
          </w:footnotePr>
          <w:endnotePr>
            <w:numFmt w:val="chineseCounting"/>
          </w:endnotePr>
          <w:pgSz w:w="16837" w:h="11905" w:orient="landscape"/>
          <w:pgMar w:top="1531" w:right="2154" w:bottom="1417" w:left="2041" w:header="566" w:footer="130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linePitch="272" w:charSpace="0"/>
        </w:sectPr>
      </w:pPr>
    </w:p>
    <w:tbl>
      <w:tblPr>
        <w:tblStyle w:val="7"/>
        <w:tblpPr w:leftFromText="180" w:rightFromText="180" w:vertAnchor="text" w:horzAnchor="page" w:tblpX="1417" w:tblpY="58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"/>
        <w:gridCol w:w="984"/>
        <w:gridCol w:w="1234"/>
        <w:gridCol w:w="1472"/>
        <w:gridCol w:w="931"/>
        <w:gridCol w:w="931"/>
        <w:gridCol w:w="833"/>
        <w:gridCol w:w="1472"/>
        <w:gridCol w:w="1321"/>
        <w:gridCol w:w="1840"/>
        <w:gridCol w:w="24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0" w:type="auto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调整前用地指标表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地块编号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用地性质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eastAsia="zh-CN"/>
              </w:rPr>
              <w:t>用地</w:t>
            </w: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eastAsia="zh-CN"/>
              </w:rPr>
              <w:t>类型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用地面积</w:t>
            </w: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ha)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兼容性质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兼容比例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容积率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建筑系数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建筑密度</w:t>
            </w: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%）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绿地率</w:t>
            </w: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%）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公共服务及其配套设施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橄A23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A1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行政办公用地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2.27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1.5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30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25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原编号C-03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橄A24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G1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eastAsia="zh-CN"/>
              </w:rPr>
              <w:t>公园绿地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0.58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公厕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开发用地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橄A25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S42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社会停车场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0.22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原编号C-05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橄A26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U31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消防用地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0.53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0.5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30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25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原编号C-04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橄A27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G2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防护绿地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7.57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开发用地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橄A28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M1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一类工业用地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0.67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0.8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30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20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已出让用地，原编码C-11璟禾</w:t>
            </w:r>
          </w:p>
        </w:tc>
      </w:tr>
    </w:tbl>
    <w:p>
      <w:pPr>
        <w:pStyle w:val="2"/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</w:p>
    <w:p>
      <w:pPr>
        <w:pStyle w:val="2"/>
        <w:jc w:val="both"/>
        <w:rPr>
          <w:rFonts w:hint="eastAsia"/>
          <w:sz w:val="26"/>
          <w:szCs w:val="26"/>
          <w:lang w:val="en-US" w:eastAsia="zh-CN"/>
        </w:rPr>
      </w:pPr>
    </w:p>
    <w:tbl>
      <w:tblPr>
        <w:tblStyle w:val="7"/>
        <w:tblpPr w:leftFromText="180" w:rightFromText="180" w:vertAnchor="text" w:horzAnchor="page" w:tblpX="1401" w:tblpY="39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"/>
        <w:gridCol w:w="792"/>
        <w:gridCol w:w="1294"/>
        <w:gridCol w:w="1045"/>
        <w:gridCol w:w="784"/>
        <w:gridCol w:w="750"/>
        <w:gridCol w:w="780"/>
        <w:gridCol w:w="1320"/>
        <w:gridCol w:w="1110"/>
        <w:gridCol w:w="1395"/>
        <w:gridCol w:w="4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0" w:type="auto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整后用地指标表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  <w:t>地块编号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  <w:t>用地性质</w:t>
            </w: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eastAsia="zh-CN"/>
              </w:rPr>
              <w:t>用地</w:t>
            </w: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 xml:space="preserve">   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eastAsia="zh-CN"/>
              </w:rPr>
              <w:t>类型</w:t>
            </w:r>
          </w:p>
        </w:tc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  <w:t>用地面积</w:t>
            </w: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ha)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  <w:t>兼容性质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  <w:t>兼容比例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  <w:t>容积率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建筑系数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  <w:t>建筑密度</w:t>
            </w: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%）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  <w:t>绿地率</w:t>
            </w: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%）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公共服务及其配套设施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橄A23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A1</w:t>
            </w: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行政办公用地</w:t>
            </w:r>
          </w:p>
        </w:tc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0.92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1.5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30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cs="Times New Roman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30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cs="Times New Roman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auto"/>
                <w:sz w:val="26"/>
                <w:szCs w:val="26"/>
                <w:highlight w:val="none"/>
                <w:lang w:val="en-US" w:eastAsia="zh-CN"/>
              </w:rPr>
              <w:t>配建车位不少于</w:t>
            </w:r>
            <w:r>
              <w:rPr>
                <w:rFonts w:hint="eastAsia" w:cs="等线"/>
                <w:color w:val="auto"/>
                <w:sz w:val="26"/>
                <w:szCs w:val="26"/>
                <w:highlight w:val="none"/>
                <w:lang w:val="en-US" w:eastAsia="zh-CN"/>
              </w:rPr>
              <w:t>28</w:t>
            </w:r>
            <w:r>
              <w:rPr>
                <w:rFonts w:hint="eastAsia" w:ascii="等线" w:hAnsi="等线" w:eastAsia="等线" w:cs="等线"/>
                <w:color w:val="auto"/>
                <w:sz w:val="26"/>
                <w:szCs w:val="26"/>
                <w:highlight w:val="none"/>
                <w:lang w:val="en-US" w:eastAsia="zh-CN"/>
              </w:rPr>
              <w:t>个车位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橄A24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  <w:t>G1</w:t>
            </w: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eastAsia="zh-CN"/>
              </w:rPr>
              <w:t>公园绿地</w:t>
            </w:r>
          </w:p>
        </w:tc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0.58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  <w:t>-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公厕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橄A25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S42</w:t>
            </w: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社会停车场</w:t>
            </w:r>
          </w:p>
        </w:tc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0.22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橄A26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U31</w:t>
            </w: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消防用地</w:t>
            </w:r>
          </w:p>
        </w:tc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0.53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0.5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30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25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橄A27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G2</w:t>
            </w: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防护绿地</w:t>
            </w:r>
          </w:p>
        </w:tc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8.22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橄A28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M1</w:t>
            </w: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6"/>
                <w:szCs w:val="26"/>
                <w:highlight w:val="none"/>
                <w:lang w:val="en-US" w:eastAsia="zh-CN"/>
              </w:rPr>
              <w:t>一类工业用地</w:t>
            </w:r>
          </w:p>
        </w:tc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0.36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0.8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30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20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橄A33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B1</w:t>
            </w: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商业用地</w:t>
            </w:r>
          </w:p>
        </w:tc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1.01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2.0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30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30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  <w:t>-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6"/>
                <w:szCs w:val="26"/>
                <w:highlight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color w:val="auto"/>
                <w:sz w:val="26"/>
                <w:szCs w:val="26"/>
                <w:highlight w:val="none"/>
                <w:lang w:val="en-US" w:eastAsia="zh-CN"/>
              </w:rPr>
              <w:t>配建车位不少于20个车位，其余车位将通过橄A25社会停车场统筹考虑</w:t>
            </w:r>
          </w:p>
        </w:tc>
      </w:tr>
    </w:tbl>
    <w:p>
      <w:pPr>
        <w:pStyle w:val="2"/>
        <w:jc w:val="both"/>
        <w:rPr>
          <w:rFonts w:hint="eastAsia"/>
          <w:sz w:val="26"/>
          <w:szCs w:val="26"/>
          <w:lang w:val="en-US" w:eastAsia="zh-CN"/>
        </w:rPr>
      </w:pPr>
    </w:p>
    <w:p>
      <w:pPr>
        <w:pStyle w:val="2"/>
        <w:ind w:left="0" w:leftChars="0" w:firstLine="0" w:firstLineChars="0"/>
        <w:jc w:val="both"/>
        <w:rPr>
          <w:rFonts w:ascii="方正小标宋_GBK" w:hAnsi="方正小标宋_GBK" w:eastAsia="方正小标宋_GBK" w:cs="方正小标宋_GBK"/>
          <w:color w:val="000000" w:themeColor="text1"/>
          <w:kern w:val="2"/>
          <w:sz w:val="44"/>
          <w:szCs w:val="44"/>
          <w:highlight w:val="none"/>
          <w:lang w:eastAsia="zh-CN"/>
        </w:rPr>
      </w:pPr>
      <w:r>
        <w:rPr>
          <w:rFonts w:ascii="方正小标宋_GBK" w:hAnsi="方正小标宋_GBK" w:eastAsia="方正小标宋_GBK" w:cs="方正小标宋_GBK"/>
          <w:color w:val="000000" w:themeColor="text1"/>
          <w:kern w:val="2"/>
          <w:sz w:val="44"/>
          <w:szCs w:val="44"/>
          <w:highlight w:val="none"/>
          <w:lang w:eastAsia="zh-CN"/>
        </w:rPr>
        <w:drawing>
          <wp:inline distT="0" distB="0" distL="114300" distR="114300">
            <wp:extent cx="8579485" cy="6110605"/>
            <wp:effectExtent l="0" t="0" r="12065" b="4445"/>
            <wp:docPr id="2" name="图片 2" descr="e36b2c7b8b2f3c171247f518061e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36b2c7b8b2f3c171247f518061e5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79485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134" w:right="1134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B2386"/>
    <w:rsid w:val="000609A9"/>
    <w:rsid w:val="0011747D"/>
    <w:rsid w:val="001E4C31"/>
    <w:rsid w:val="002917D0"/>
    <w:rsid w:val="002F0FEB"/>
    <w:rsid w:val="00354183"/>
    <w:rsid w:val="00433641"/>
    <w:rsid w:val="004A1480"/>
    <w:rsid w:val="0053276A"/>
    <w:rsid w:val="005563B6"/>
    <w:rsid w:val="006573A9"/>
    <w:rsid w:val="006F7142"/>
    <w:rsid w:val="007542FC"/>
    <w:rsid w:val="007B2386"/>
    <w:rsid w:val="007B67DE"/>
    <w:rsid w:val="007C02A5"/>
    <w:rsid w:val="008753D7"/>
    <w:rsid w:val="00967336"/>
    <w:rsid w:val="00974948"/>
    <w:rsid w:val="00C44C8A"/>
    <w:rsid w:val="00D129A2"/>
    <w:rsid w:val="00EF27F1"/>
    <w:rsid w:val="00F440EA"/>
    <w:rsid w:val="01047CF3"/>
    <w:rsid w:val="052F3715"/>
    <w:rsid w:val="076A27FE"/>
    <w:rsid w:val="0BEE3A8D"/>
    <w:rsid w:val="0C0232B7"/>
    <w:rsid w:val="0E8434B5"/>
    <w:rsid w:val="101A2CB6"/>
    <w:rsid w:val="10D753A2"/>
    <w:rsid w:val="11E413A5"/>
    <w:rsid w:val="135739D2"/>
    <w:rsid w:val="14C84235"/>
    <w:rsid w:val="15C61161"/>
    <w:rsid w:val="1A370343"/>
    <w:rsid w:val="1B8340C6"/>
    <w:rsid w:val="1F5F3DF1"/>
    <w:rsid w:val="1FA83A3C"/>
    <w:rsid w:val="212139F6"/>
    <w:rsid w:val="220A1918"/>
    <w:rsid w:val="2C32179A"/>
    <w:rsid w:val="314B7B33"/>
    <w:rsid w:val="33BF08B5"/>
    <w:rsid w:val="38AF54BE"/>
    <w:rsid w:val="3A551E2D"/>
    <w:rsid w:val="3B0D0939"/>
    <w:rsid w:val="41132242"/>
    <w:rsid w:val="41DA2A3C"/>
    <w:rsid w:val="44743BDA"/>
    <w:rsid w:val="44AA47B5"/>
    <w:rsid w:val="45467E40"/>
    <w:rsid w:val="45833DF4"/>
    <w:rsid w:val="492321E5"/>
    <w:rsid w:val="4EB86BA1"/>
    <w:rsid w:val="5018729A"/>
    <w:rsid w:val="509D1683"/>
    <w:rsid w:val="64FB7A59"/>
    <w:rsid w:val="65003B52"/>
    <w:rsid w:val="6CC62009"/>
    <w:rsid w:val="6F3232B4"/>
    <w:rsid w:val="76C751AD"/>
    <w:rsid w:val="77154E68"/>
    <w:rsid w:val="7A552612"/>
    <w:rsid w:val="7F1A4CA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40"/>
      <w:jc w:val="left"/>
    </w:pPr>
    <w:rPr>
      <w:rFonts w:ascii="宋体" w:hAnsi="宋体" w:eastAsia="宋体"/>
      <w:kern w:val="0"/>
      <w:sz w:val="24"/>
      <w:szCs w:val="24"/>
      <w:lang w:eastAsia="en-US"/>
    </w:rPr>
  </w:style>
  <w:style w:type="paragraph" w:styleId="3">
    <w:name w:val="caption"/>
    <w:basedOn w:val="1"/>
    <w:next w:val="1"/>
    <w:qFormat/>
    <w:uiPriority w:val="35"/>
    <w:rPr>
      <w:rFonts w:ascii="等线 Light" w:hAnsi="等线 Light" w:eastAsia="黑体" w:cs="Times New Roman"/>
      <w:sz w:val="20"/>
      <w:szCs w:val="20"/>
    </w:r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font0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0">
    <w:name w:val="页眉 Char"/>
    <w:basedOn w:val="8"/>
    <w:link w:val="6"/>
    <w:qFormat/>
    <w:uiPriority w:val="0"/>
    <w:rPr>
      <w:rFonts w:ascii="等线" w:hAnsi="等线" w:eastAsia="等线"/>
      <w:kern w:val="2"/>
      <w:sz w:val="18"/>
      <w:szCs w:val="18"/>
    </w:rPr>
  </w:style>
  <w:style w:type="character" w:customStyle="1" w:styleId="11">
    <w:name w:val="页脚 Char"/>
    <w:basedOn w:val="8"/>
    <w:link w:val="5"/>
    <w:qFormat/>
    <w:uiPriority w:val="0"/>
    <w:rPr>
      <w:rFonts w:ascii="等线" w:hAnsi="等线" w:eastAsia="等线"/>
      <w:kern w:val="2"/>
      <w:sz w:val="18"/>
      <w:szCs w:val="18"/>
    </w:rPr>
  </w:style>
  <w:style w:type="character" w:customStyle="1" w:styleId="12">
    <w:name w:val="批注框文本 Char"/>
    <w:basedOn w:val="8"/>
    <w:link w:val="4"/>
    <w:qFormat/>
    <w:uiPriority w:val="0"/>
    <w:rPr>
      <w:rFonts w:ascii="等线" w:hAnsi="等线" w:eastAsia="等线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1271</Words>
  <Characters>1523</Characters>
  <Lines>12</Lines>
  <Paragraphs>3</Paragraphs>
  <TotalTime>6</TotalTime>
  <ScaleCrop>false</ScaleCrop>
  <LinksUpToDate>false</LinksUpToDate>
  <CharactersWithSpaces>1549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2022-02-28T09:50:00Z</dcterms:created>
  <dc:creator>sponge</dc:creator>
  <cp:lastModifiedBy>Town</cp:lastModifiedBy>
  <dcterms:modified xsi:type="dcterms:W3CDTF">2022-04-18T08:40:45Z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F90B9C44384D405A8D0A781CD7B36173</vt:lpwstr>
  </property>
</Properties>
</file>